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Pursuant to Section 13 OR 15(d) of</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23, 2019</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(Exact Name of Registrant</w:t>
      </w:r>
    </w:p>
    <w:p>
      <w:pPr>
        <w:ind w:left="494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18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82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4160" w:type="dxa"/>
            <w:vAlign w:val="bottom"/>
          </w:tcPr>
          <w:p>
            <w:pPr>
              <w:jc w:val="center"/>
              <w:ind w:right="1737"/>
              <w:spacing w:after="0"/>
              <w:rPr>
                <w:sz w:val="20"/>
                <w:szCs w:val="20"/>
                <w:color w:val="auto"/>
              </w:rPr>
            </w:pPr>
            <w:r>
              <w:rPr>
                <w:rFonts w:ascii="Times New Roman" w:cs="Times New Roman" w:eastAsia="Times New Roman" w:hAnsi="Times New Roman"/>
                <w:sz w:val="14"/>
                <w:szCs w:val="14"/>
                <w:color w:val="auto"/>
              </w:rPr>
              <w:t>(Commission File Number)</w:t>
            </w:r>
          </w:p>
        </w:tc>
        <w:tc>
          <w:tcPr>
            <w:tcW w:w="3820" w:type="dxa"/>
            <w:vAlign w:val="bottom"/>
          </w:tcPr>
          <w:p>
            <w:pPr>
              <w:jc w:val="center"/>
              <w:ind w:left="17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4160" w:type="dxa"/>
            <w:vAlign w:val="bottom"/>
          </w:tcPr>
          <w:p>
            <w:pPr>
              <w:jc w:val="center"/>
              <w:ind w:right="17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382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4160" w:type="dxa"/>
            <w:vAlign w:val="bottom"/>
          </w:tcPr>
          <w:p>
            <w:pPr>
              <w:jc w:val="center"/>
              <w:ind w:right="17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20" w:type="dxa"/>
            <w:vAlign w:val="bottom"/>
          </w:tcPr>
          <w:p>
            <w:pPr>
              <w:jc w:val="center"/>
              <w:ind w:left="173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8" w:lineRule="exact"/>
        <w:rPr>
          <w:sz w:val="24"/>
          <w:szCs w:val="24"/>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6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23, 2019, Comcast Corporation (“Comcast”) issued a press release reporting the results of its operations for the three and twelve months ended December 31, 2018.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7" w:lineRule="exact"/>
        <w:rPr>
          <w:sz w:val="20"/>
          <w:szCs w:val="20"/>
          <w:color w:val="auto"/>
        </w:rPr>
      </w:pPr>
    </w:p>
    <w:p>
      <w:pPr>
        <w:ind w:left="64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3">
        <w:r>
          <w:rPr>
            <w:rFonts w:ascii="Times New Roman" w:cs="Times New Roman" w:eastAsia="Times New Roman" w:hAnsi="Times New Roman"/>
            <w:sz w:val="17"/>
            <w:szCs w:val="17"/>
            <w:u w:val="single" w:color="auto"/>
            <w:color w:val="0000EE"/>
          </w:rPr>
          <w:t>Comcast Corporation press release dated January 23, 2019.</w:t>
        </w:r>
      </w:hyperlink>
    </w:p>
    <w:p>
      <w:pPr>
        <w:spacing w:after="0" w:line="27" w:lineRule="exact"/>
        <w:rPr>
          <w:sz w:val="20"/>
          <w:szCs w:val="20"/>
          <w:color w:val="auto"/>
        </w:rPr>
      </w:pPr>
    </w:p>
    <w:p>
      <w:pPr>
        <w:ind w:left="64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20">
        <w:r>
          <w:rPr>
            <w:rFonts w:ascii="Times New Roman" w:cs="Times New Roman" w:eastAsia="Times New Roman" w:hAnsi="Times New Roman"/>
            <w:sz w:val="17"/>
            <w:szCs w:val="17"/>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8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2019</w:t>
            </w:r>
          </w:p>
        </w:tc>
        <w:tc>
          <w:tcPr>
            <w:tcW w:w="78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Daniel C. Murdock</w:t>
            </w:r>
          </w:p>
        </w:tc>
        <w:tc>
          <w:tcPr>
            <w:tcW w:w="4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C. Murdock</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152654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6540" cy="6000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70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160"/>
        <w:spacing w:after="0"/>
        <w:rPr>
          <w:sz w:val="20"/>
          <w:szCs w:val="20"/>
          <w:color w:val="auto"/>
        </w:rPr>
      </w:pPr>
      <w:r>
        <w:rPr>
          <w:rFonts w:ascii="Arial" w:cs="Arial" w:eastAsia="Arial" w:hAnsi="Arial"/>
          <w:sz w:val="22"/>
          <w:szCs w:val="22"/>
          <w:b w:val="1"/>
          <w:bCs w:val="1"/>
          <w:u w:val="single" w:color="auto"/>
          <w:color w:val="auto"/>
        </w:rPr>
        <w:t>COMCAST REPORTS 4th QUARTER AND FULL YEAR 2018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2018 Highlights:</w:t>
      </w:r>
    </w:p>
    <w:p>
      <w:pPr>
        <w:spacing w:after="0" w:line="200" w:lineRule="exact"/>
        <w:rPr>
          <w:sz w:val="20"/>
          <w:szCs w:val="20"/>
          <w:color w:val="auto"/>
        </w:rPr>
      </w:pPr>
    </w:p>
    <w:p>
      <w:pPr>
        <w:ind w:left="660" w:hanging="328"/>
        <w:spacing w:after="0" w:line="291" w:lineRule="auto"/>
        <w:tabs>
          <w:tab w:leader="none" w:pos="691"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Revenue Increased 11.1%; Net Income Attributable to Comcast Decreased 48.4%; On an Adjusted Basis, Net Income Attributable to Comcast Increased 22.0%; Adjusted EBITDA Increased 7.9%</w:t>
      </w:r>
    </w:p>
    <w:p>
      <w:pPr>
        <w:spacing w:after="0" w:line="118"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Net Cash Provided by Operating Activities was $24.3 Billion; Free Cash Flow was $12.6 Billion</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Earnings per Share Decreased 46.7% to $2.53; On an Adjusted Basis, Earnings per Share Increased 25.6% to $2.55</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Cable Communications Revenue Increased 3.9%; Adjusted EBITDA Increased 6.5%</w:t>
      </w:r>
    </w:p>
    <w:p>
      <w:pPr>
        <w:spacing w:after="0" w:line="210" w:lineRule="exact"/>
        <w:rPr>
          <w:rFonts w:ascii="Times New Roman" w:cs="Times New Roman" w:eastAsia="Times New Roman" w:hAnsi="Times New Roman"/>
          <w:sz w:val="18"/>
          <w:szCs w:val="18"/>
          <w:color w:val="auto"/>
        </w:rPr>
      </w:pPr>
    </w:p>
    <w:p>
      <w:pPr>
        <w:ind w:left="660" w:hanging="328"/>
        <w:spacing w:after="0" w:line="291" w:lineRule="auto"/>
        <w:tabs>
          <w:tab w:leader="none" w:pos="664"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Cable Communications Customer Relationships Increased by 1.0 Million to 30.3 Million; Over 1 Million High-Speed Internet Customer Net Additions for the 13</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Year</w:t>
      </w:r>
    </w:p>
    <w:p>
      <w:pPr>
        <w:spacing w:after="0" w:line="118"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NBCUniversal Revenue Increased 8.9%; Adjusted EBITDA Increased 4.6%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2018 Highlights:</w:t>
      </w:r>
    </w:p>
    <w:p>
      <w:pPr>
        <w:spacing w:after="0" w:line="200" w:lineRule="exact"/>
        <w:rPr>
          <w:sz w:val="20"/>
          <w:szCs w:val="20"/>
          <w:color w:val="auto"/>
        </w:rPr>
      </w:pPr>
    </w:p>
    <w:p>
      <w:pPr>
        <w:ind w:left="660" w:hanging="328"/>
        <w:spacing w:after="0" w:line="291" w:lineRule="auto"/>
        <w:tabs>
          <w:tab w:leader="none" w:pos="691"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Revenue Increased 26.1%; Net Income Attributable to Comcast Decreased 83.3%; On an Adjusted Basis, Net Income Attributable to Comcast Increased 31.8%; Adjusted EBITDA Increased 21.6%</w:t>
      </w:r>
    </w:p>
    <w:p>
      <w:pPr>
        <w:spacing w:after="0" w:line="118"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Cash Provided by Operating Activities was $5.8 Billion; Free Cash Flow was $2.1 Billion</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Earnings per Share Decreased 82.6% to $0.55; On an Adjusted Basis, Earnings per Share Increased 36.2% to $0.64</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Cable Communications Revenue Increased 5.2%; Adjusted EBITDA Increased 7.3%</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Cable Communications Customer Relationship Net Additions were 258,000; High-Speed Internet Customer Net Additions were 351,000</w:t>
      </w:r>
    </w:p>
    <w:p>
      <w:pPr>
        <w:spacing w:after="0" w:line="210"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NBCUniversal Revenue Increased 7.1%; Adjusted EBITDA Increased 12.3%</w:t>
      </w:r>
    </w:p>
    <w:p>
      <w:pPr>
        <w:spacing w:after="0" w:line="210" w:lineRule="exact"/>
        <w:rPr>
          <w:rFonts w:ascii="Times New Roman" w:cs="Times New Roman" w:eastAsia="Times New Roman" w:hAnsi="Times New Roman"/>
          <w:sz w:val="18"/>
          <w:szCs w:val="18"/>
          <w:color w:val="auto"/>
        </w:rPr>
      </w:pPr>
    </w:p>
    <w:p>
      <w:pPr>
        <w:ind w:left="660" w:right="20" w:hanging="328"/>
        <w:spacing w:after="0" w:line="291" w:lineRule="auto"/>
        <w:tabs>
          <w:tab w:leader="none" w:pos="799"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Closed Our Acquisition of Sky; Sky Customer Relationship Net Additions were 164,000, Bringing Second Half Net Additions to a Record 590,000 and Total Customer Relationships to 23.6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Repurchases:</w:t>
      </w:r>
    </w:p>
    <w:p>
      <w:pPr>
        <w:spacing w:after="0" w:line="200" w:lineRule="exact"/>
        <w:rPr>
          <w:sz w:val="20"/>
          <w:szCs w:val="20"/>
          <w:color w:val="auto"/>
        </w:rPr>
      </w:pPr>
    </w:p>
    <w:p>
      <w:pPr>
        <w:ind w:left="660" w:right="20" w:hanging="328"/>
        <w:spacing w:after="0" w:line="291" w:lineRule="auto"/>
        <w:tabs>
          <w:tab w:leader="none" w:pos="624"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Dividends and Share Repurchases Totaled $8.4 Billion in 2018; Increased Dividend by 10% to $0.84 per Share on an Annualized Basis for 2019</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PHILADELPHIA - January 23, 2019… Comcast Corporation (NASDAQ: CMCSA) today reported results for the quarter and year ended December 31, 2018.</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Chairman and Chief Executive Officer of Comcast Corporation, said, “2018 was a successful and pivotal year for Comcast. I’m pleased with the strong operational and financial results that we delivered across the company. Highlighting a few of our accomplishments during the past year, Comcast Cable’s customer relationship growth accelerated, driven by our 13</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year of over 1 million broadband net additions. 2018 Cable EBITDA growth was the highest in seven years, underscoring the financially attractive transition of our business to connectivity. NBCUniversal had a great year, fueled by double-digit growth in our TV businesses, reflecting our terrific broadcasts of big events like the NFL’s Super Bowl LII, the 2018 Olympics, and the FIFA World Cup</w:t>
      </w:r>
      <w:r>
        <w:rPr>
          <w:rFonts w:ascii="Arial" w:cs="Arial" w:eastAsia="Arial" w:hAnsi="Arial"/>
          <w:sz w:val="18"/>
          <w:szCs w:val="18"/>
          <w:color w:val="auto"/>
          <w:vertAlign w:val="superscript"/>
        </w:rPr>
        <w:t>TM</w:t>
      </w:r>
      <w:r>
        <w:rPr>
          <w:rFonts w:ascii="Arial" w:cs="Arial" w:eastAsia="Arial" w:hAnsi="Arial"/>
          <w:sz w:val="18"/>
          <w:szCs w:val="18"/>
          <w:color w:val="auto"/>
        </w:rPr>
        <w:t>, and overall robust demand for our leading sports, news and entertainment content. We truly became a global company with our acquisition of Sky, and are excited about its future and the potential of our combined company in 2019 and beyond. Comcast’s track record of consistent financial performance and our confidence in our outlook for continued, profitable growth is what underpins our announcement of a 10% increase in our dividend in 2019, our 11</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annual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4th Quarter</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Full Year</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350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920" w:type="dxa"/>
            <w:vAlign w:val="bottom"/>
          </w:tcPr>
          <w:p>
            <w:pPr>
              <w:jc w:val="right"/>
              <w:ind w:right="188"/>
              <w:spacing w:after="0" w:line="207"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60" w:type="dxa"/>
            <w:vAlign w:val="bottom"/>
          </w:tcPr>
          <w:p>
            <w:pPr>
              <w:jc w:val="right"/>
              <w:ind w:right="308"/>
              <w:spacing w:after="0" w:line="207"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4</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Growth</w:t>
            </w:r>
          </w:p>
        </w:tc>
        <w:tc>
          <w:tcPr>
            <w:tcW w:w="1220" w:type="dxa"/>
            <w:vAlign w:val="bottom"/>
          </w:tcPr>
          <w:p>
            <w:pPr>
              <w:jc w:val="right"/>
              <w:ind w:right="268"/>
              <w:spacing w:after="0" w:line="207"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280" w:type="dxa"/>
            <w:vAlign w:val="bottom"/>
          </w:tcPr>
          <w:p>
            <w:pPr>
              <w:jc w:val="right"/>
              <w:ind w:right="288"/>
              <w:spacing w:after="0" w:line="207"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4</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Growth</w:t>
            </w:r>
          </w:p>
        </w:tc>
      </w:tr>
      <w:tr>
        <w:trPr>
          <w:trHeight w:val="176"/>
        </w:trPr>
        <w:tc>
          <w:tcPr>
            <w:tcW w:w="3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9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$22,075</w:t>
            </w:r>
          </w:p>
        </w:tc>
        <w:tc>
          <w:tcPr>
            <w:tcW w:w="13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$27,846</w:t>
            </w:r>
          </w:p>
        </w:tc>
        <w:tc>
          <w:tcPr>
            <w:tcW w:w="12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26.1%</w:t>
            </w:r>
          </w:p>
        </w:tc>
        <w:tc>
          <w:tcPr>
            <w:tcW w:w="12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$85,029</w:t>
            </w:r>
          </w:p>
        </w:tc>
        <w:tc>
          <w:tcPr>
            <w:tcW w:w="12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$94,507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15"/>
                <w:szCs w:val="15"/>
                <w:color w:val="auto"/>
              </w:rPr>
            </w:pPr>
          </w:p>
        </w:tc>
      </w:tr>
      <w:tr>
        <w:trPr>
          <w:trHeight w:val="156"/>
        </w:trPr>
        <w:tc>
          <w:tcPr>
            <w:tcW w:w="3500" w:type="dxa"/>
            <w:vAlign w:val="bottom"/>
          </w:tcPr>
          <w:p>
            <w:pPr>
              <w:ind w:left="40"/>
              <w:spacing w:after="0" w:line="156" w:lineRule="exact"/>
              <w:rPr>
                <w:sz w:val="20"/>
                <w:szCs w:val="20"/>
                <w:color w:val="auto"/>
              </w:rPr>
            </w:pPr>
            <w:r>
              <w:rPr>
                <w:rFonts w:ascii="Arial" w:cs="Arial" w:eastAsia="Arial" w:hAnsi="Arial"/>
                <w:sz w:val="14"/>
                <w:szCs w:val="14"/>
                <w:color w:val="auto"/>
              </w:rPr>
              <w:t>Net Income Attributable to Comcast</w:t>
            </w:r>
          </w:p>
        </w:tc>
        <w:tc>
          <w:tcPr>
            <w:tcW w:w="1920" w:type="dxa"/>
            <w:vAlign w:val="bottom"/>
          </w:tcPr>
          <w:p>
            <w:pPr>
              <w:jc w:val="right"/>
              <w:ind w:right="188"/>
              <w:spacing w:after="0" w:line="156" w:lineRule="exact"/>
              <w:rPr>
                <w:sz w:val="20"/>
                <w:szCs w:val="20"/>
                <w:color w:val="auto"/>
              </w:rPr>
            </w:pPr>
            <w:r>
              <w:rPr>
                <w:rFonts w:ascii="Arial" w:cs="Arial" w:eastAsia="Arial" w:hAnsi="Arial"/>
                <w:sz w:val="14"/>
                <w:szCs w:val="14"/>
                <w:color w:val="auto"/>
              </w:rPr>
              <w:t>$14,999</w:t>
            </w:r>
          </w:p>
        </w:tc>
        <w:tc>
          <w:tcPr>
            <w:tcW w:w="1360" w:type="dxa"/>
            <w:vAlign w:val="bottom"/>
          </w:tcPr>
          <w:p>
            <w:pPr>
              <w:jc w:val="right"/>
              <w:ind w:right="308"/>
              <w:spacing w:after="0" w:line="156" w:lineRule="exact"/>
              <w:rPr>
                <w:sz w:val="20"/>
                <w:szCs w:val="20"/>
                <w:color w:val="auto"/>
              </w:rPr>
            </w:pPr>
            <w:r>
              <w:rPr>
                <w:rFonts w:ascii="Arial" w:cs="Arial" w:eastAsia="Arial" w:hAnsi="Arial"/>
                <w:sz w:val="14"/>
                <w:szCs w:val="14"/>
                <w:color w:val="auto"/>
              </w:rPr>
              <w:t>$2,511</w:t>
            </w:r>
          </w:p>
        </w:tc>
        <w:tc>
          <w:tcPr>
            <w:tcW w:w="1260" w:type="dxa"/>
            <w:vAlign w:val="bottom"/>
          </w:tcPr>
          <w:p>
            <w:pPr>
              <w:jc w:val="right"/>
              <w:ind w:right="308"/>
              <w:spacing w:after="0" w:line="156" w:lineRule="exact"/>
              <w:rPr>
                <w:sz w:val="20"/>
                <w:szCs w:val="20"/>
                <w:color w:val="auto"/>
              </w:rPr>
            </w:pPr>
            <w:r>
              <w:rPr>
                <w:rFonts w:ascii="Arial" w:cs="Arial" w:eastAsia="Arial" w:hAnsi="Arial"/>
                <w:sz w:val="14"/>
                <w:szCs w:val="14"/>
                <w:color w:val="auto"/>
              </w:rPr>
              <w:t>(83.3%)</w:t>
            </w:r>
          </w:p>
        </w:tc>
        <w:tc>
          <w:tcPr>
            <w:tcW w:w="122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$22,735</w:t>
            </w:r>
          </w:p>
        </w:tc>
        <w:tc>
          <w:tcPr>
            <w:tcW w:w="1280" w:type="dxa"/>
            <w:vAlign w:val="bottom"/>
          </w:tcPr>
          <w:p>
            <w:pPr>
              <w:jc w:val="right"/>
              <w:ind w:right="288"/>
              <w:spacing w:after="0" w:line="156" w:lineRule="exact"/>
              <w:rPr>
                <w:sz w:val="20"/>
                <w:szCs w:val="20"/>
                <w:color w:val="auto"/>
              </w:rPr>
            </w:pPr>
            <w:r>
              <w:rPr>
                <w:rFonts w:ascii="Arial" w:cs="Arial" w:eastAsia="Arial" w:hAnsi="Arial"/>
                <w:sz w:val="14"/>
                <w:szCs w:val="14"/>
                <w:color w:val="auto"/>
              </w:rPr>
              <w:t>$11,731</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(48.4%)</w:t>
            </w:r>
          </w:p>
        </w:tc>
        <w:tc>
          <w:tcPr>
            <w:tcW w:w="20" w:type="dxa"/>
            <w:vAlign w:val="bottom"/>
          </w:tcPr>
          <w:p>
            <w:pPr>
              <w:spacing w:after="0"/>
              <w:rPr>
                <w:sz w:val="13"/>
                <w:szCs w:val="13"/>
                <w:color w:val="auto"/>
              </w:rPr>
            </w:pPr>
          </w:p>
        </w:tc>
      </w:tr>
      <w:tr>
        <w:trPr>
          <w:trHeight w:val="189"/>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920" w:type="dxa"/>
            <w:vAlign w:val="bottom"/>
          </w:tcPr>
          <w:p>
            <w:pPr>
              <w:jc w:val="right"/>
              <w:ind w:right="188"/>
              <w:spacing w:after="0"/>
              <w:rPr>
                <w:sz w:val="20"/>
                <w:szCs w:val="20"/>
                <w:color w:val="auto"/>
              </w:rPr>
            </w:pPr>
            <w:r>
              <w:rPr>
                <w:rFonts w:ascii="Arial" w:cs="Arial" w:eastAsia="Arial" w:hAnsi="Arial"/>
                <w:sz w:val="14"/>
                <w:szCs w:val="14"/>
                <w:color w:val="auto"/>
              </w:rPr>
              <w:t>$2,223</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$2,931</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31.8%</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$9,709</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$11,844</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22.0%</w:t>
            </w:r>
          </w:p>
        </w:tc>
      </w:tr>
      <w:tr>
        <w:trPr>
          <w:trHeight w:val="169"/>
        </w:trPr>
        <w:tc>
          <w:tcPr>
            <w:tcW w:w="3500" w:type="dxa"/>
            <w:vAlign w:val="bottom"/>
            <w:tcBorders>
              <w:top w:val="single" w:sz="8" w:color="auto"/>
              <w:bottom w:val="single" w:sz="8" w:color="auto"/>
            </w:tcBorders>
          </w:tcPr>
          <w:p>
            <w:pPr>
              <w:ind w:left="40"/>
              <w:spacing w:after="0" w:line="169" w:lineRule="exact"/>
              <w:rPr>
                <w:sz w:val="20"/>
                <w:szCs w:val="20"/>
                <w:color w:val="auto"/>
              </w:rPr>
            </w:pPr>
            <w:r>
              <w:rPr>
                <w:rFonts w:ascii="Arial" w:cs="Arial" w:eastAsia="Arial" w:hAnsi="Arial"/>
                <w:sz w:val="13"/>
                <w:szCs w:val="13"/>
                <w:color w:val="auto"/>
              </w:rPr>
              <w:t>Adjusted EBITDA</w:t>
            </w:r>
            <w:r>
              <w:rPr>
                <w:rFonts w:ascii="Arial" w:cs="Arial" w:eastAsia="Arial" w:hAnsi="Arial"/>
                <w:sz w:val="19"/>
                <w:szCs w:val="19"/>
                <w:color w:val="auto"/>
                <w:vertAlign w:val="superscript"/>
              </w:rPr>
              <w:t>1</w:t>
            </w:r>
          </w:p>
        </w:tc>
        <w:tc>
          <w:tcPr>
            <w:tcW w:w="19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$6,738</w:t>
            </w:r>
          </w:p>
        </w:tc>
        <w:tc>
          <w:tcPr>
            <w:tcW w:w="13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$8,191</w:t>
            </w:r>
          </w:p>
        </w:tc>
        <w:tc>
          <w:tcPr>
            <w:tcW w:w="12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21.6%</w:t>
            </w:r>
          </w:p>
        </w:tc>
        <w:tc>
          <w:tcPr>
            <w:tcW w:w="12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$27,956</w:t>
            </w:r>
          </w:p>
        </w:tc>
        <w:tc>
          <w:tcPr>
            <w:tcW w:w="12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$30,165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r>
      <w:tr>
        <w:trPr>
          <w:trHeight w:val="158"/>
        </w:trPr>
        <w:tc>
          <w:tcPr>
            <w:tcW w:w="3500" w:type="dxa"/>
            <w:vAlign w:val="bottom"/>
          </w:tcPr>
          <w:p>
            <w:pPr>
              <w:ind w:left="40"/>
              <w:spacing w:after="0" w:line="158" w:lineRule="exact"/>
              <w:rPr>
                <w:sz w:val="20"/>
                <w:szCs w:val="20"/>
                <w:color w:val="auto"/>
              </w:rPr>
            </w:pPr>
            <w:r>
              <w:rPr>
                <w:rFonts w:ascii="Arial" w:cs="Arial" w:eastAsia="Arial" w:hAnsi="Arial"/>
                <w:sz w:val="13"/>
                <w:szCs w:val="13"/>
                <w:color w:val="auto"/>
              </w:rPr>
              <w:t>Earnings per Share</w:t>
            </w:r>
            <w:r>
              <w:rPr>
                <w:rFonts w:ascii="Arial" w:cs="Arial" w:eastAsia="Arial" w:hAnsi="Arial"/>
                <w:sz w:val="18"/>
                <w:szCs w:val="18"/>
                <w:color w:val="auto"/>
                <w:vertAlign w:val="superscript"/>
              </w:rPr>
              <w:t>2</w:t>
            </w:r>
          </w:p>
        </w:tc>
        <w:tc>
          <w:tcPr>
            <w:tcW w:w="1920" w:type="dxa"/>
            <w:vAlign w:val="bottom"/>
          </w:tcPr>
          <w:p>
            <w:pPr>
              <w:jc w:val="right"/>
              <w:ind w:right="188"/>
              <w:spacing w:after="0" w:line="158" w:lineRule="exact"/>
              <w:rPr>
                <w:sz w:val="20"/>
                <w:szCs w:val="20"/>
                <w:color w:val="auto"/>
              </w:rPr>
            </w:pPr>
            <w:r>
              <w:rPr>
                <w:rFonts w:ascii="Arial" w:cs="Arial" w:eastAsia="Arial" w:hAnsi="Arial"/>
                <w:sz w:val="14"/>
                <w:szCs w:val="14"/>
                <w:color w:val="auto"/>
              </w:rPr>
              <w:t>$3.17</w:t>
            </w:r>
          </w:p>
        </w:tc>
        <w:tc>
          <w:tcPr>
            <w:tcW w:w="1360" w:type="dxa"/>
            <w:vAlign w:val="bottom"/>
          </w:tcPr>
          <w:p>
            <w:pPr>
              <w:jc w:val="right"/>
              <w:ind w:right="308"/>
              <w:spacing w:after="0" w:line="158" w:lineRule="exact"/>
              <w:rPr>
                <w:sz w:val="20"/>
                <w:szCs w:val="20"/>
                <w:color w:val="auto"/>
              </w:rPr>
            </w:pPr>
            <w:r>
              <w:rPr>
                <w:rFonts w:ascii="Arial" w:cs="Arial" w:eastAsia="Arial" w:hAnsi="Arial"/>
                <w:sz w:val="14"/>
                <w:szCs w:val="14"/>
                <w:color w:val="auto"/>
              </w:rPr>
              <w:t>$0.55</w:t>
            </w:r>
          </w:p>
        </w:tc>
        <w:tc>
          <w:tcPr>
            <w:tcW w:w="1260" w:type="dxa"/>
            <w:vAlign w:val="bottom"/>
          </w:tcPr>
          <w:p>
            <w:pPr>
              <w:jc w:val="right"/>
              <w:ind w:right="308"/>
              <w:spacing w:after="0" w:line="158" w:lineRule="exact"/>
              <w:rPr>
                <w:sz w:val="20"/>
                <w:szCs w:val="20"/>
                <w:color w:val="auto"/>
              </w:rPr>
            </w:pPr>
            <w:r>
              <w:rPr>
                <w:rFonts w:ascii="Arial" w:cs="Arial" w:eastAsia="Arial" w:hAnsi="Arial"/>
                <w:sz w:val="14"/>
                <w:szCs w:val="14"/>
                <w:color w:val="auto"/>
              </w:rPr>
              <w:t>(82.6%)</w:t>
            </w:r>
          </w:p>
        </w:tc>
        <w:tc>
          <w:tcPr>
            <w:tcW w:w="1220" w:type="dxa"/>
            <w:vAlign w:val="bottom"/>
          </w:tcPr>
          <w:p>
            <w:pPr>
              <w:jc w:val="right"/>
              <w:ind w:right="268"/>
              <w:spacing w:after="0" w:line="158" w:lineRule="exact"/>
              <w:rPr>
                <w:sz w:val="20"/>
                <w:szCs w:val="20"/>
                <w:color w:val="auto"/>
              </w:rPr>
            </w:pPr>
            <w:r>
              <w:rPr>
                <w:rFonts w:ascii="Arial" w:cs="Arial" w:eastAsia="Arial" w:hAnsi="Arial"/>
                <w:sz w:val="14"/>
                <w:szCs w:val="14"/>
                <w:color w:val="auto"/>
              </w:rPr>
              <w:t>$4.75</w:t>
            </w:r>
          </w:p>
        </w:tc>
        <w:tc>
          <w:tcPr>
            <w:tcW w:w="1280" w:type="dxa"/>
            <w:vAlign w:val="bottom"/>
          </w:tcPr>
          <w:p>
            <w:pPr>
              <w:jc w:val="right"/>
              <w:ind w:right="288"/>
              <w:spacing w:after="0" w:line="158" w:lineRule="exact"/>
              <w:rPr>
                <w:sz w:val="20"/>
                <w:szCs w:val="20"/>
                <w:color w:val="auto"/>
              </w:rPr>
            </w:pPr>
            <w:r>
              <w:rPr>
                <w:rFonts w:ascii="Arial" w:cs="Arial" w:eastAsia="Arial" w:hAnsi="Arial"/>
                <w:sz w:val="14"/>
                <w:szCs w:val="14"/>
                <w:color w:val="auto"/>
              </w:rPr>
              <w:t>$2.53</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(46.7%)</w:t>
            </w:r>
          </w:p>
        </w:tc>
        <w:tc>
          <w:tcPr>
            <w:tcW w:w="20" w:type="dxa"/>
            <w:vAlign w:val="bottom"/>
          </w:tcPr>
          <w:p>
            <w:pPr>
              <w:spacing w:after="0"/>
              <w:rPr>
                <w:sz w:val="13"/>
                <w:szCs w:val="13"/>
                <w:color w:val="auto"/>
              </w:rPr>
            </w:pP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920" w:type="dxa"/>
            <w:vAlign w:val="bottom"/>
          </w:tcPr>
          <w:p>
            <w:pPr>
              <w:jc w:val="right"/>
              <w:ind w:right="188"/>
              <w:spacing w:after="0"/>
              <w:rPr>
                <w:sz w:val="20"/>
                <w:szCs w:val="20"/>
                <w:color w:val="auto"/>
              </w:rPr>
            </w:pPr>
            <w:r>
              <w:rPr>
                <w:rFonts w:ascii="Arial" w:cs="Arial" w:eastAsia="Arial" w:hAnsi="Arial"/>
                <w:sz w:val="14"/>
                <w:szCs w:val="14"/>
                <w:i w:val="1"/>
                <w:iCs w:val="1"/>
                <w:color w:val="auto"/>
              </w:rPr>
              <w:t>$0.47</w:t>
            </w:r>
          </w:p>
        </w:tc>
        <w:tc>
          <w:tcPr>
            <w:tcW w:w="1360" w:type="dxa"/>
            <w:vAlign w:val="bottom"/>
          </w:tcPr>
          <w:p>
            <w:pPr>
              <w:jc w:val="right"/>
              <w:ind w:right="308"/>
              <w:spacing w:after="0"/>
              <w:rPr>
                <w:sz w:val="20"/>
                <w:szCs w:val="20"/>
                <w:color w:val="auto"/>
              </w:rPr>
            </w:pPr>
            <w:r>
              <w:rPr>
                <w:rFonts w:ascii="Arial" w:cs="Arial" w:eastAsia="Arial" w:hAnsi="Arial"/>
                <w:sz w:val="14"/>
                <w:szCs w:val="14"/>
                <w:i w:val="1"/>
                <w:iCs w:val="1"/>
                <w:color w:val="auto"/>
              </w:rPr>
              <w:t>$0.64</w:t>
            </w:r>
          </w:p>
        </w:tc>
        <w:tc>
          <w:tcPr>
            <w:tcW w:w="1260" w:type="dxa"/>
            <w:vAlign w:val="bottom"/>
          </w:tcPr>
          <w:p>
            <w:pPr>
              <w:jc w:val="right"/>
              <w:ind w:right="308"/>
              <w:spacing w:after="0"/>
              <w:rPr>
                <w:sz w:val="20"/>
                <w:szCs w:val="20"/>
                <w:color w:val="auto"/>
              </w:rPr>
            </w:pPr>
            <w:r>
              <w:rPr>
                <w:rFonts w:ascii="Arial" w:cs="Arial" w:eastAsia="Arial" w:hAnsi="Arial"/>
                <w:sz w:val="14"/>
                <w:szCs w:val="14"/>
                <w:i w:val="1"/>
                <w:iCs w:val="1"/>
                <w:color w:val="auto"/>
              </w:rPr>
              <w:t>36.2%</w:t>
            </w:r>
          </w:p>
        </w:tc>
        <w:tc>
          <w:tcPr>
            <w:tcW w:w="1220" w:type="dxa"/>
            <w:vAlign w:val="bottom"/>
          </w:tcPr>
          <w:p>
            <w:pPr>
              <w:jc w:val="right"/>
              <w:ind w:right="268"/>
              <w:spacing w:after="0"/>
              <w:rPr>
                <w:sz w:val="20"/>
                <w:szCs w:val="20"/>
                <w:color w:val="auto"/>
              </w:rPr>
            </w:pPr>
            <w:r>
              <w:rPr>
                <w:rFonts w:ascii="Arial" w:cs="Arial" w:eastAsia="Arial" w:hAnsi="Arial"/>
                <w:sz w:val="14"/>
                <w:szCs w:val="14"/>
                <w:i w:val="1"/>
                <w:iCs w:val="1"/>
                <w:color w:val="auto"/>
              </w:rPr>
              <w:t>$2.03</w:t>
            </w:r>
          </w:p>
        </w:tc>
        <w:tc>
          <w:tcPr>
            <w:tcW w:w="1280" w:type="dxa"/>
            <w:vAlign w:val="bottom"/>
          </w:tcPr>
          <w:p>
            <w:pPr>
              <w:jc w:val="right"/>
              <w:ind w:right="288"/>
              <w:spacing w:after="0"/>
              <w:rPr>
                <w:sz w:val="20"/>
                <w:szCs w:val="20"/>
                <w:color w:val="auto"/>
              </w:rPr>
            </w:pPr>
            <w:r>
              <w:rPr>
                <w:rFonts w:ascii="Arial" w:cs="Arial" w:eastAsia="Arial" w:hAnsi="Arial"/>
                <w:sz w:val="14"/>
                <w:szCs w:val="14"/>
                <w:i w:val="1"/>
                <w:iCs w:val="1"/>
                <w:color w:val="auto"/>
              </w:rPr>
              <w:t>$2.55</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25.6%</w:t>
            </w:r>
          </w:p>
        </w:tc>
      </w:tr>
    </w:tbl>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for 2018 include Sky results from October 9, 2018 through December 31, 2018.</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2018 increased 26.1% to $27.8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decreased 83.3% to $2.5 billion. </w:t>
      </w:r>
      <w:r>
        <w:rPr>
          <w:rFonts w:ascii="Arial" w:cs="Arial" w:eastAsia="Arial" w:hAnsi="Arial"/>
          <w:sz w:val="18"/>
          <w:szCs w:val="18"/>
          <w:b w:val="1"/>
          <w:bCs w:val="1"/>
          <w:i w:val="1"/>
          <w:iCs w:val="1"/>
          <w:color w:val="auto"/>
        </w:rPr>
        <w:t>Consolidated Adjusted Net Income Attributable to Comcast</w:t>
      </w:r>
      <w:r>
        <w:rPr>
          <w:rFonts w:ascii="Arial" w:cs="Arial" w:eastAsia="Arial" w:hAnsi="Arial"/>
          <w:sz w:val="18"/>
          <w:szCs w:val="18"/>
          <w:color w:val="auto"/>
        </w:rPr>
        <w:t xml:space="preserve"> increased 31.8% to $2.9 billion (see Table 5). </w:t>
      </w:r>
      <w:r>
        <w:rPr>
          <w:rFonts w:ascii="Arial" w:cs="Arial" w:eastAsia="Arial" w:hAnsi="Arial"/>
          <w:sz w:val="18"/>
          <w:szCs w:val="18"/>
          <w:b w:val="1"/>
          <w:bCs w:val="1"/>
          <w:i w:val="1"/>
          <w:iCs w:val="1"/>
          <w:color w:val="auto"/>
        </w:rPr>
        <w:t xml:space="preserve">Consolidated Adjusted EBITDA </w:t>
      </w:r>
      <w:r>
        <w:rPr>
          <w:rFonts w:ascii="Arial" w:cs="Arial" w:eastAsia="Arial" w:hAnsi="Arial"/>
          <w:sz w:val="18"/>
          <w:szCs w:val="18"/>
          <w:color w:val="auto"/>
        </w:rPr>
        <w:t>increased 21.6% to $8.2 billion.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twelve months ended December 31, 2018, consolidated revenue increased 11.1% to $94.5 billion compared to 2017. Consolidated net income attributable to Comcast decreased 48.4% to $11.7 billion. Consolidated adjusted net income attributable to Comcast increased 22.0% to $11.8 billion (see Table 5). Consolidated Adjusted EBITDA increased 7.9% to $30.2 billion.</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2018 was $ 0.55, a decrease of 82.6% compared to the fourth quarter of 2017.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$12.7 billion of net income tax benefits primarily associated with a reduction of our net deferred income tax liabilities as a result of the 2017 tax reform legislation in the fourth quarter of 2017, as well as other adjustments in the fourth quarters of 2017 and 2018, EPS increased 36.2% to $0.64 (see Table 5).</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twelve months ended December 31, 2018, EPS was $2.53, a 46.7% decrease compared to the prior year. Excluding $12.7 billion of net income tax benefits primarily associated with a reduction of our net deferred income tax liabilities as a result of the 2017 tax reform legislation in the fourth quarter of 2017, as well as other adjustments in 2017 and 2018, EPS increased 25.6% to $2.55 (see Table 5).</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16.8% to $3.2 billion in the fourth quarter of 2018.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 to $2.3 billion in the fourth quarter of 2018, reflecting higher spending on scalable infrastructure, customer premise equipment and line extensions, partially offset by decreased investment in support capital. Cable capital expenditures represented 16.4% of Cable revenue in the fourth quarter of 2018 compared to 16.0% in last year’s fourth quarter. NBCUniversal’s capital expenditures of $595 million increased 13.5%, reflecting the timing of spending on facilities, as well as continued investment at Theme Parks. Sky had capital expenditures of $222 million, reflecting continued deployment of Sky Q.</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twelve months ended December 31, 2018, capital expenditures increased 2.3% to $9.8 billion compared to 2017. Cable Communications’ capital expenditures decreased 3.0% to $7.7 billion, reflecting decreased spending on customer premise equipment and support capital, partially offset by higher investment in scalable infrastructure and line extensions. For the year, Cable capital expenditures represented 14.0% of Cable revenue compared to 15.0% in 2017. NBCUniversal’s capital expenditures increased 15.2% to $1.7 billion in 2018, primarily reflecting investment at Theme Parks.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$5.8 billion in the fourth quarter of 2018.</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$2.1 billion (see Table 4).</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twelve months ended December 31, 2018, net cash provided by operating activities was $24.3 billion. Free cash flow was $12.6 billion (see Table 4).</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2018, Comcast paid dividends totaling $865 million and repurchased 27.2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$1.0 billion. For the full year, Comcast made four cash dividend payments totaling $3.4 billion and repurchased 139.7 million of its common shares for $5.0 billion, resulting in a total return of capital to shareholders of $8.4 billion.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8"/>
          <w:szCs w:val="18"/>
          <w:color w:val="auto"/>
        </w:rPr>
        <w:t>As previously announced, Comcast will pause its common stock repurchase program in 2019 to accelerate the reduction of indebtedness it incurred in connection with its acquisition of Sky.</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Today Comcast announced that it increased its dividend by 10% to $0.84 per share on an annualized basis for 2019. In accordance with the increase, the Board of Directors declared a quarterly cash dividend of $0.21 a share on the company’s stock, payable April 24, 2019 to shareholders of record as of the close of business on April 3, 2019.</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Pro Forma Financial Results</w:t>
      </w:r>
    </w:p>
    <w:p>
      <w:pPr>
        <w:spacing w:after="0" w:line="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 forma results are presented as if the Sky transaction occurred on January 1, 2017. The pro forma amounts are primarily based on historical results of operations, adjusted for the allocation of purchase price and excluding costs directly related to the transaction. These amounts are not necessarily indicative of what our results would have been had we operated Sky since January 1, 2017, and are subject to change as our acquisition accounting is finalized (see Table 7 for reconciliations of pro forma financial data).</w:t>
      </w:r>
    </w:p>
    <w:p>
      <w:pPr>
        <w:spacing w:after="0" w:line="16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for the fourth quarter of 2018 increased 5.2% to $28.3 billion.</w:t>
      </w:r>
      <w:r>
        <w:rPr>
          <w:rFonts w:ascii="Arial" w:cs="Arial" w:eastAsia="Arial" w:hAnsi="Arial"/>
          <w:sz w:val="18"/>
          <w:szCs w:val="18"/>
          <w:b w:val="1"/>
          <w:bCs w:val="1"/>
          <w:i w:val="1"/>
          <w:iCs w:val="1"/>
          <w:color w:val="auto"/>
        </w:rPr>
        <w:t xml:space="preserve"> Consolidated Pro Forma Adjusted EBITDA </w:t>
      </w:r>
      <w:r>
        <w:rPr>
          <w:rFonts w:ascii="Arial" w:cs="Arial" w:eastAsia="Arial" w:hAnsi="Arial"/>
          <w:sz w:val="18"/>
          <w:szCs w:val="18"/>
          <w:color w:val="auto"/>
        </w:rPr>
        <w:t>increased 11.1% to $8.3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 2018, consolidated pro forma revenue increased 6.4% to $109.5 billion compared to 2017.</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Pro Forma Adjusted EBITDA increased 4.8% to $32.4 billion.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4th Quarter</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Full Year</w:t>
            </w:r>
          </w:p>
        </w:tc>
        <w:tc>
          <w:tcPr>
            <w:tcW w:w="680" w:type="dxa"/>
            <w:vAlign w:val="bottom"/>
          </w:tcPr>
          <w:p>
            <w:pPr>
              <w:spacing w:after="0"/>
              <w:rPr>
                <w:sz w:val="16"/>
                <w:szCs w:val="16"/>
                <w:color w:val="auto"/>
              </w:rPr>
            </w:pPr>
          </w:p>
        </w:tc>
      </w:tr>
      <w:tr>
        <w:trPr>
          <w:trHeight w:val="231"/>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2120" w:type="dxa"/>
            <w:vAlign w:val="bottom"/>
            <w:tcBorders>
              <w:bottom w:val="single" w:sz="8" w:color="auto"/>
            </w:tcBorders>
          </w:tcPr>
          <w:p>
            <w:pPr>
              <w:jc w:val="right"/>
              <w:ind w:right="28"/>
              <w:spacing w:after="0" w:line="224"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Growth</w:t>
            </w:r>
          </w:p>
        </w:tc>
        <w:tc>
          <w:tcPr>
            <w:tcW w:w="1020" w:type="dxa"/>
            <w:vAlign w:val="bottom"/>
            <w:tcBorders>
              <w:bottom w:val="single" w:sz="8" w:color="auto"/>
            </w:tcBorders>
          </w:tcPr>
          <w:p>
            <w:pPr>
              <w:jc w:val="right"/>
              <w:ind w:right="108"/>
              <w:spacing w:after="0" w:line="224"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8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$4,404</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10.1%</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$15,681</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$17,144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5,668</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5,577</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22,874</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978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(3.0%)</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4,090</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1,839</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9.5%</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6,437</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863</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27.7%</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2,450</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2,795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9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467</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19.1%</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1,538</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1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20" w:type="dxa"/>
            <w:vAlign w:val="bottom"/>
          </w:tcPr>
          <w:p>
            <w:pPr>
              <w:jc w:val="right"/>
              <w:ind w:right="28"/>
              <w:spacing w:after="0"/>
              <w:rPr>
                <w:sz w:val="20"/>
                <w:szCs w:val="20"/>
                <w:color w:val="auto"/>
              </w:rPr>
            </w:pPr>
            <w:r>
              <w:rPr>
                <w:rFonts w:ascii="Arial" w:cs="Arial" w:eastAsia="Arial" w:hAnsi="Arial"/>
                <w:sz w:val="14"/>
                <w:szCs w:val="14"/>
                <w:b w:val="1"/>
                <w:bCs w:val="1"/>
                <w:color w:val="auto"/>
              </w:rPr>
              <w:t>$13,424</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$14,128</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5.2%</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$53,070</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$55,143</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171"/>
        </w:trPr>
        <w:tc>
          <w:tcPr>
            <w:tcW w:w="46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8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$5,385</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$5,779</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7.3%</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$21,068</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$22,447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r>
      <w:tr>
        <w:trPr>
          <w:trHeight w:val="202"/>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2120" w:type="dxa"/>
            <w:vAlign w:val="bottom"/>
          </w:tcPr>
          <w:p>
            <w:pPr>
              <w:jc w:val="right"/>
              <w:ind w:right="28"/>
              <w:spacing w:after="0"/>
              <w:rPr>
                <w:sz w:val="20"/>
                <w:szCs w:val="20"/>
                <w:color w:val="auto"/>
              </w:rPr>
            </w:pPr>
            <w:r>
              <w:rPr>
                <w:rFonts w:ascii="Arial" w:cs="Arial" w:eastAsia="Arial" w:hAnsi="Arial"/>
                <w:sz w:val="14"/>
                <w:szCs w:val="14"/>
                <w:i w:val="1"/>
                <w:iCs w:val="1"/>
                <w:color w:val="auto"/>
              </w:rPr>
              <w:t>40.1%</w:t>
            </w:r>
          </w:p>
        </w:tc>
        <w:tc>
          <w:tcPr>
            <w:tcW w:w="1040" w:type="dxa"/>
            <w:vAlign w:val="bottom"/>
          </w:tcPr>
          <w:p>
            <w:pPr>
              <w:jc w:val="right"/>
              <w:ind w:right="148"/>
              <w:spacing w:after="0"/>
              <w:rPr>
                <w:sz w:val="20"/>
                <w:szCs w:val="20"/>
                <w:color w:val="auto"/>
              </w:rPr>
            </w:pPr>
            <w:r>
              <w:rPr>
                <w:rFonts w:ascii="Arial" w:cs="Arial" w:eastAsia="Arial" w:hAnsi="Arial"/>
                <w:sz w:val="14"/>
                <w:szCs w:val="14"/>
                <w:i w:val="1"/>
                <w:iCs w:val="1"/>
                <w:color w:val="auto"/>
              </w:rPr>
              <w:t>40.9%</w:t>
            </w:r>
          </w:p>
        </w:tc>
        <w:tc>
          <w:tcPr>
            <w:tcW w:w="10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i w:val="1"/>
                <w:iCs w:val="1"/>
                <w:color w:val="auto"/>
              </w:rPr>
              <w:t>39.7%</w:t>
            </w:r>
          </w:p>
        </w:tc>
        <w:tc>
          <w:tcPr>
            <w:tcW w:w="940" w:type="dxa"/>
            <w:vAlign w:val="bottom"/>
          </w:tcPr>
          <w:p>
            <w:pPr>
              <w:jc w:val="right"/>
              <w:ind w:right="148"/>
              <w:spacing w:after="0"/>
              <w:rPr>
                <w:sz w:val="20"/>
                <w:szCs w:val="20"/>
                <w:color w:val="auto"/>
              </w:rPr>
            </w:pPr>
            <w:r>
              <w:rPr>
                <w:rFonts w:ascii="Arial" w:cs="Arial" w:eastAsia="Arial" w:hAnsi="Arial"/>
                <w:sz w:val="14"/>
                <w:szCs w:val="14"/>
                <w:i w:val="1"/>
                <w:iCs w:val="1"/>
                <w:color w:val="auto"/>
              </w:rPr>
              <w:t>40.7%</w:t>
            </w:r>
          </w:p>
        </w:tc>
        <w:tc>
          <w:tcPr>
            <w:tcW w:w="680" w:type="dxa"/>
            <w:vAlign w:val="bottom"/>
          </w:tcPr>
          <w:p>
            <w:pPr>
              <w:spacing w:after="0"/>
              <w:rPr>
                <w:sz w:val="17"/>
                <w:szCs w:val="17"/>
                <w:color w:val="auto"/>
              </w:rPr>
            </w:pPr>
          </w:p>
        </w:tc>
      </w:tr>
      <w:tr>
        <w:trPr>
          <w:trHeight w:val="177"/>
        </w:trPr>
        <w:tc>
          <w:tcPr>
            <w:tcW w:w="46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8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$2,154</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$2,318</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7.6%</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$7,952</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$7,716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r>
      <w:tr>
        <w:trPr>
          <w:trHeight w:val="18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16.0%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16.4%</w:t>
            </w:r>
          </w:p>
        </w:tc>
        <w:tc>
          <w:tcPr>
            <w:tcW w:w="1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15.0%</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14.0%</w:t>
            </w:r>
          </w:p>
        </w:tc>
        <w:tc>
          <w:tcPr>
            <w:tcW w:w="680" w:type="dxa"/>
            <w:vAlign w:val="bottom"/>
            <w:tcBorders>
              <w:bottom w:val="single" w:sz="8" w:color="auto"/>
            </w:tcBorders>
          </w:tcPr>
          <w:p>
            <w:pPr>
              <w:spacing w:after="0"/>
              <w:rPr>
                <w:sz w:val="15"/>
                <w:szCs w:val="15"/>
                <w:color w:val="auto"/>
              </w:rPr>
            </w:pPr>
          </w:p>
        </w:tc>
      </w:tr>
    </w:tbl>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5.2% to $14.1 billion in the fourth quarter of 2018, driven by increases in 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business services and other revenue, partially offset by a decrease in video revenue. High-speed internet revenue increased 10.1%, driven by an increase in the number of residential high-speed internet customers and rate adjustments. Advertising revenue increased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27.7%, primarily reflecting an increase in political advertising revenue. Excluding political advertising revenue, advertising revenue increased 3.1%. Business services revenue increased 9.5%, primarily driven by increases in the number of customers receiving our services. Other revenue increased 19.1%, primarily driven by the timing of X1 licensing revenue. Video revenue decreased 1.6%, primarily reflecting a decrease in the number of residential video customers. Voice revenue decreased 3.0%, primarily due to a decrease in the number of residential voice customers.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twelve months ended December 31, 2018, Cable revenue increased 3.9% to $55.1 billion compared to 2017, primarily driven by growth in high-speed internet, business services and advertising revenue, partially offset by a decrease in video revenue.</w:t>
      </w:r>
    </w:p>
    <w:p>
      <w:pPr>
        <w:spacing w:after="0" w:line="13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258,000 to 30.3 million in the fourth quarter of 2018.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229,000 and business customer relationships increased by 29,000. At the end of the fourth quarter, 67.6% of our residential customers received at least two Xfinity products. Total high-speed internet customer net additions were 351,000, total video customer net losses were 29,000, total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voice customer net additions were 2,000 and total security and automation customer net additions were 39,000.</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2018, total customer relationships increased by 1.0 million. Residential customer relationships increased by 878,000 and business customer relationships increased by 123,000. Total high-speed internet customer net additions were 1.4 million, total video customer net losses were 370,000, total voice customer net losses were 103,000 and total security and automation customer net additions were 186,000.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3240" w:type="dxa"/>
            <w:vAlign w:val="bottom"/>
            <w:gridSpan w:val="2"/>
          </w:tcPr>
          <w:p>
            <w:pPr>
              <w:jc w:val="right"/>
              <w:ind w:right="968"/>
              <w:spacing w:after="0"/>
              <w:rPr>
                <w:sz w:val="20"/>
                <w:szCs w:val="20"/>
                <w:color w:val="auto"/>
              </w:rPr>
            </w:pPr>
            <w:r>
              <w:rPr>
                <w:rFonts w:ascii="Arial" w:cs="Arial" w:eastAsia="Arial" w:hAnsi="Arial"/>
                <w:sz w:val="14"/>
                <w:szCs w:val="14"/>
                <w:color w:val="auto"/>
              </w:rPr>
              <w:t>Customers</w:t>
            </w:r>
          </w:p>
        </w:tc>
        <w:tc>
          <w:tcPr>
            <w:tcW w:w="1160" w:type="dxa"/>
            <w:vAlign w:val="bottom"/>
          </w:tcPr>
          <w:p>
            <w:pPr>
              <w:spacing w:after="0"/>
              <w:rPr>
                <w:sz w:val="16"/>
                <w:szCs w:val="16"/>
                <w:color w:val="auto"/>
              </w:rPr>
            </w:pPr>
          </w:p>
        </w:tc>
        <w:tc>
          <w:tcPr>
            <w:tcW w:w="1680" w:type="dxa"/>
            <w:vAlign w:val="bottom"/>
            <w:gridSpan w:val="2"/>
          </w:tcPr>
          <w:p>
            <w:pPr>
              <w:jc w:val="right"/>
              <w:ind w:right="428"/>
              <w:spacing w:after="0"/>
              <w:rPr>
                <w:sz w:val="20"/>
                <w:szCs w:val="20"/>
                <w:color w:val="auto"/>
              </w:rPr>
            </w:pPr>
            <w:r>
              <w:rPr>
                <w:rFonts w:ascii="Arial" w:cs="Arial" w:eastAsia="Arial" w:hAnsi="Arial"/>
                <w:sz w:val="14"/>
                <w:szCs w:val="14"/>
                <w:color w:val="auto"/>
              </w:rPr>
              <w:t>Net Additions</w:t>
            </w:r>
          </w:p>
        </w:tc>
        <w:tc>
          <w:tcPr>
            <w:tcW w:w="540" w:type="dxa"/>
            <w:vAlign w:val="bottom"/>
          </w:tcPr>
          <w:p>
            <w:pPr>
              <w:spacing w:after="0"/>
              <w:rPr>
                <w:sz w:val="16"/>
                <w:szCs w:val="16"/>
                <w:color w:val="auto"/>
              </w:rPr>
            </w:pPr>
          </w:p>
        </w:tc>
      </w:tr>
      <w:tr>
        <w:trPr>
          <w:trHeight w:val="231"/>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YE17</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YE18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4Q17</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4Q18</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r>
      <w:tr>
        <w:trPr>
          <w:trHeight w:val="203"/>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1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75"/>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Customer Relationships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27,168</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28,046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229</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r>
      <w:tr>
        <w:trPr>
          <w:trHeight w:val="190"/>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2,179</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2,303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29</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29,347</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30,349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243</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258</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770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1,002</w:t>
            </w:r>
          </w:p>
        </w:tc>
      </w:tr>
      <w:tr>
        <w:trPr>
          <w:trHeight w:val="196"/>
        </w:trPr>
        <w:tc>
          <w:tcPr>
            <w:tcW w:w="48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03"/>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1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75"/>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Residential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8,196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9,074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162</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r>
      <w:tr>
        <w:trPr>
          <w:trHeight w:val="183"/>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Residential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9,056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9,092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47</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9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and Quad Product Residential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9,916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9,880</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20</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48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9"/>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23,863</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25,097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323</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w:t>
            </w:r>
          </w:p>
        </w:tc>
      </w:tr>
      <w:tr>
        <w:trPr>
          <w:trHeight w:val="190"/>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2,125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28</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189"/>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25,869</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27,222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351</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1,168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1,353</w:t>
            </w:r>
          </w:p>
        </w:tc>
      </w:tr>
      <w:tr>
        <w:trPr>
          <w:trHeight w:val="183"/>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Video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21,303</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20,959</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7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r>
      <w:tr>
        <w:trPr>
          <w:trHeight w:val="190"/>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Video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1,054</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1,027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7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(10)</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22,357</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21,986</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w:t>
            </w:r>
          </w:p>
        </w:tc>
        <w:tc>
          <w:tcPr>
            <w:tcW w:w="7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(29)</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w:t>
            </w:r>
          </w:p>
        </w:tc>
      </w:tr>
      <w:tr>
        <w:trPr>
          <w:trHeight w:val="183"/>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Voice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10,316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10,153</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7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(12)</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90"/>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Voice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1,236</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1,297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14</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1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11,552</w:t>
            </w: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11,449</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r>
      <w:tr>
        <w:trPr>
          <w:trHeight w:val="189"/>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1980" w:type="dxa"/>
            <w:vAlign w:val="bottom"/>
          </w:tcPr>
          <w:p>
            <w:pPr>
              <w:jc w:val="right"/>
              <w:ind w:right="108"/>
              <w:spacing w:after="0"/>
              <w:rPr>
                <w:sz w:val="20"/>
                <w:szCs w:val="20"/>
                <w:color w:val="auto"/>
              </w:rPr>
            </w:pPr>
            <w:r>
              <w:rPr>
                <w:rFonts w:ascii="Arial" w:cs="Arial" w:eastAsia="Arial" w:hAnsi="Arial"/>
                <w:sz w:val="14"/>
                <w:szCs w:val="14"/>
                <w:b w:val="1"/>
                <w:bCs w:val="1"/>
                <w:color w:val="auto"/>
              </w:rPr>
              <w:t>1,131</w:t>
            </w:r>
          </w:p>
        </w:tc>
        <w:tc>
          <w:tcPr>
            <w:tcW w:w="1260" w:type="dxa"/>
            <w:vAlign w:val="bottom"/>
          </w:tcPr>
          <w:p>
            <w:pPr>
              <w:jc w:val="right"/>
              <w:ind w:right="548"/>
              <w:spacing w:after="0"/>
              <w:rPr>
                <w:sz w:val="20"/>
                <w:szCs w:val="20"/>
                <w:color w:val="auto"/>
              </w:rPr>
            </w:pPr>
            <w:r>
              <w:rPr>
                <w:rFonts w:ascii="Arial" w:cs="Arial" w:eastAsia="Arial" w:hAnsi="Arial"/>
                <w:sz w:val="14"/>
                <w:szCs w:val="14"/>
                <w:b w:val="1"/>
                <w:bCs w:val="1"/>
                <w:color w:val="auto"/>
              </w:rPr>
              <w:t>1,317</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52</w:t>
            </w:r>
          </w:p>
        </w:tc>
        <w:tc>
          <w:tcPr>
            <w:tcW w:w="78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39</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239</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bl>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7.3% to $5.8 billion in the fourth quarter of 2018,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3.8% increase in operating expenses. The higher expenses were primarily driven by a 4.5% increase in non-programming expenses, reflecting higher other operating costs, technical and product support expenses, and advertising, marketing and promotion expenses, partially offset by decreases in customer service expenses and franchise and regulatory fees. Programming costs increased 2.9%, primarily reflecting higher retransmission consent fees and sports programming costs. This quarter’s Adjusted EBITDA per customer relationship increased 3.8%, and Adjusted EBITDA margin was 40.9% compared to 40.1% in the fourth quarter of 2017.</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twelve months ended December 31, 2018, Cable Adjusted EBITDA increased 6.5% to $22.4 billion compared to 2017, driven by higher revenue, partially offset by a 2.2% increase in operating expenses. The higher expenses were due to a 1.8% increase in non-programming expenses and a 2.7% increase in programming costs. For the twelve months ended December 31, 2018, Adjusted EBITDA per customer relationship increased 3.4%, and Adjusted EBITDA margin was 40.7% compared to 39.7% in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4th Quarter</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408"/>
              <w:spacing w:after="0"/>
              <w:rPr>
                <w:sz w:val="20"/>
                <w:szCs w:val="20"/>
                <w:color w:val="auto"/>
              </w:rPr>
            </w:pPr>
            <w:r>
              <w:rPr>
                <w:rFonts w:ascii="Arial" w:cs="Arial" w:eastAsia="Arial" w:hAnsi="Arial"/>
                <w:sz w:val="14"/>
                <w:szCs w:val="14"/>
                <w:color w:val="auto"/>
                <w:w w:val="99"/>
              </w:rPr>
              <w:t>Full Year</w:t>
            </w:r>
          </w:p>
        </w:tc>
        <w:tc>
          <w:tcPr>
            <w:tcW w:w="720" w:type="dxa"/>
            <w:vAlign w:val="bottom"/>
          </w:tcPr>
          <w:p>
            <w:pPr>
              <w:spacing w:after="0"/>
              <w:rPr>
                <w:sz w:val="14"/>
                <w:szCs w:val="14"/>
                <w:color w:val="auto"/>
              </w:rPr>
            </w:pPr>
          </w:p>
        </w:tc>
      </w:tr>
      <w:tr>
        <w:trPr>
          <w:trHeight w:val="20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980" w:type="dxa"/>
            <w:vAlign w:val="bottom"/>
            <w:tcBorders>
              <w:bottom w:val="single" w:sz="8" w:color="auto"/>
            </w:tcBorders>
          </w:tcPr>
          <w:p>
            <w:pPr>
              <w:jc w:val="right"/>
              <w:ind w:right="28"/>
              <w:spacing w:after="0" w:line="193"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60" w:type="dxa"/>
            <w:vAlign w:val="bottom"/>
            <w:tcBorders>
              <w:bottom w:val="single" w:sz="8" w:color="auto"/>
            </w:tcBorders>
          </w:tcPr>
          <w:p>
            <w:pPr>
              <w:jc w:val="right"/>
              <w:ind w:right="168"/>
              <w:spacing w:after="0" w:line="193"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3</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Growth</w:t>
            </w:r>
          </w:p>
        </w:tc>
        <w:tc>
          <w:tcPr>
            <w:tcW w:w="880" w:type="dxa"/>
            <w:vAlign w:val="bottom"/>
            <w:tcBorders>
              <w:bottom w:val="single" w:sz="8" w:color="auto"/>
            </w:tcBorders>
          </w:tcPr>
          <w:p>
            <w:pPr>
              <w:jc w:val="right"/>
              <w:ind w:right="8"/>
              <w:spacing w:after="0" w:line="193" w:lineRule="exact"/>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60" w:type="dxa"/>
            <w:vAlign w:val="bottom"/>
            <w:tcBorders>
              <w:bottom w:val="single" w:sz="8" w:color="auto"/>
            </w:tcBorders>
          </w:tcPr>
          <w:p>
            <w:pPr>
              <w:jc w:val="right"/>
              <w:ind w:right="168"/>
              <w:spacing w:after="0" w:line="193"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$2,892</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8.9%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$10,497</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$11,773</w:t>
            </w:r>
          </w:p>
        </w:tc>
        <w:tc>
          <w:tcPr>
            <w:tcW w:w="7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8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10,497</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11,395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8.6%</w:t>
            </w: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2,989</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3,099</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3.7%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9,563</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11,439</w:t>
            </w: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8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1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9,563</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10,246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7.1%</w:t>
            </w:r>
          </w:p>
        </w:tc>
      </w:tr>
      <w:tr>
        <w:trPr>
          <w:trHeight w:val="189"/>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1,976</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7,595</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7,152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1,461</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1,513</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3.5%</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5,443</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5,683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9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NM</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$8,774</w:t>
            </w: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$9,395</w:t>
            </w: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7.1%</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$32,836</w:t>
            </w: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$35,761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36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89"/>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$1,039</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4.3%</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$4,053</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8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412</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109.3%</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1,251</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r>
      <w:tr>
        <w:trPr>
          <w:trHeight w:val="18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179</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(23.6%)</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1,276</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734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r>
      <w:tr>
        <w:trPr>
          <w:trHeight w:val="18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666</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0.7%</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2,384</w:t>
            </w: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2,455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9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(176)</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NM</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$1,889</w:t>
            </w: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$2,120</w:t>
            </w: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12.3%</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$8,218</w:t>
            </w: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$8,598</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194"/>
        </w:trPr>
        <w:tc>
          <w:tcPr>
            <w:tcW w:w="470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7.1% to $9.4 billion in the fourth quarter of 2018.</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12.3%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increases at Broadcast Television and Cable Networks, partially offset by a decrease at Filmed Entertainment.</w:t>
      </w:r>
    </w:p>
    <w:p>
      <w:pPr>
        <w:spacing w:after="0" w:line="1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twelve months ended December 31, 2018, NBCUniversal revenue increased 8.9% to $35.8 billion compared to 2017. Adjusted EBITDA increased 4.6% to $8.6 billion, reflecting increases at Broadcast Television, Cable Networks, and Theme Parks, partially offset by a decline at Filmed Entertainment.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Cable Networks revenue increased 8.9% to $2.9 billion in the fourth quarter of 2018, primarily reflecting higher distribution and content licensing and other revenue. Distribution revenue increased 10.3%, primarily due to contractual rate increases and the timing of contract renewals. Content licensing and other revenue increased 28.4%, due to the timing of content provided under licensing agreements. Advertising revenue was consistent with the prior year period, reflecting higher rates, offset by audience ratings declines. Adjusted EBITDA increased 4.3% to $1.0 billion in the fourth quarter of 2018, reflecting higher revenue, partially offset by higher programming and production costs.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twelve months ended December 31, 2018, revenue from the Cable Networks segment increased 12.2% to $11.8 billion compared to 2017, reflecting higher distribution, content licensing and other, and advertising revenue. Excluding $ 378 million of revenue generated by the broadcast of the 2018 PyeongChang Olympics in the first quarter of 2018, Cable Networks revenue increased 8.6% (see Table 6). Adjusted EBITDA increased 9.3% to $4.4 billion compared to 2017, reflecting higher revenue, partially offset by higher programming and production costs, primarily due to the broadcast of the 2018 PyeongChang Olympics.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Television revenue increased 3.7% to $ 3.1 billion in the fourth quarter of 2018, reflecting increased distribution and other and advertising revenue, partially offset by a decrease in content licensing revenue. Distribution and other revenue increased 18.5%, due to higher retransmission consent fees. Advertising revenue increased 2.1%, primarily driven by higher rates and local political ad sales, partially offset by audience ratings declines. Content licensing revenue decreased 2.5%, reflecting the timing of content provided under licensing agreements. Adjusted EBITDA increased 109.3% to $412 million in the fourth quarter of 2018, reflecting higher revenue as well as lower programming and production costs.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twelve months ended December 31, 2018, revenue from the Broadcast Television segment increased 19.6% to $11.4 billion compared to 2017, reflecting increases in advertising, distribution and other and content licensing revenue. Excluding $770 million of revenue generated by the broadcast of the 2018 PyeongChang Olympics in the first quarter of 2018 and $423 million of revenue generated by the broadcast of Super Bowl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both"/>
        <w:ind w:right="40"/>
        <w:spacing w:after="0" w:line="255" w:lineRule="auto"/>
        <w:rPr>
          <w:sz w:val="20"/>
          <w:szCs w:val="20"/>
          <w:color w:val="auto"/>
        </w:rPr>
      </w:pPr>
      <w:r>
        <w:rPr>
          <w:rFonts w:ascii="Arial" w:cs="Arial" w:eastAsia="Arial" w:hAnsi="Arial"/>
          <w:sz w:val="18"/>
          <w:szCs w:val="18"/>
          <w:color w:val="auto"/>
        </w:rPr>
        <w:t>LII in the first quarter of 2018, Broadcast Television revenue increased 7.1% (see Table 6). Adjusted EBITDA increased 32.5% to $1.7 billion compared to 2017, reflecting an increase in revenue, partially offset by an increase in programming and production costs, primarily due to increased sports programming costs associated with the broadcasts of the 2018 PyeongChang Olympics and Super Bowl LII.</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 xml:space="preserve">Filmed Entertainment revenue increased 14.0% to $2.0 billion in the fourth quarter of 2018, reflecting increased theatrical and other revenue, partially offset by decreases in content licensing and home entertainment revenue. Theatrical revenue increased 189.3%, reflecting the performances of </w:t>
      </w:r>
      <w:r>
        <w:rPr>
          <w:rFonts w:ascii="Arial" w:cs="Arial" w:eastAsia="Arial" w:hAnsi="Arial"/>
          <w:sz w:val="18"/>
          <w:szCs w:val="18"/>
          <w:i w:val="1"/>
          <w:iCs w:val="1"/>
          <w:color w:val="auto"/>
        </w:rPr>
        <w:t>Dr. Seuss’ The Grinch</w:t>
      </w:r>
      <w:r>
        <w:rPr>
          <w:rFonts w:ascii="Arial" w:cs="Arial" w:eastAsia="Arial" w:hAnsi="Arial"/>
          <w:sz w:val="18"/>
          <w:szCs w:val="18"/>
          <w:color w:val="auto"/>
        </w:rPr>
        <w:t xml:space="preserve"> and </w:t>
      </w:r>
      <w:r>
        <w:rPr>
          <w:rFonts w:ascii="Arial" w:cs="Arial" w:eastAsia="Arial" w:hAnsi="Arial"/>
          <w:sz w:val="18"/>
          <w:szCs w:val="18"/>
          <w:i w:val="1"/>
          <w:iCs w:val="1"/>
          <w:color w:val="auto"/>
        </w:rPr>
        <w:t>Halloween</w:t>
      </w:r>
      <w:r>
        <w:rPr>
          <w:rFonts w:ascii="Arial" w:cs="Arial" w:eastAsia="Arial" w:hAnsi="Arial"/>
          <w:sz w:val="18"/>
          <w:szCs w:val="18"/>
          <w:color w:val="auto"/>
        </w:rPr>
        <w:t xml:space="preserve"> in this year’s fourth quarter. Content licensing revenue decreased 8.8%, driven by the timing of when content was made available under licensing agreements. Home Entertainment revenue decreased 14.3%, reflecting the success of several releases in the prior year period, including </w:t>
      </w:r>
      <w:r>
        <w:rPr>
          <w:rFonts w:ascii="Arial" w:cs="Arial" w:eastAsia="Arial" w:hAnsi="Arial"/>
          <w:sz w:val="18"/>
          <w:szCs w:val="18"/>
          <w:i w:val="1"/>
          <w:iCs w:val="1"/>
          <w:color w:val="auto"/>
        </w:rPr>
        <w:t>Despicable Me 3</w:t>
      </w:r>
      <w:r>
        <w:rPr>
          <w:rFonts w:ascii="Arial" w:cs="Arial" w:eastAsia="Arial" w:hAnsi="Arial"/>
          <w:sz w:val="18"/>
          <w:szCs w:val="18"/>
          <w:color w:val="auto"/>
        </w:rPr>
        <w:t xml:space="preserve">, partially offset by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and </w:t>
      </w:r>
      <w:r>
        <w:rPr>
          <w:rFonts w:ascii="Arial" w:cs="Arial" w:eastAsia="Arial" w:hAnsi="Arial"/>
          <w:sz w:val="18"/>
          <w:szCs w:val="18"/>
          <w:i w:val="1"/>
          <w:iCs w:val="1"/>
          <w:color w:val="auto"/>
        </w:rPr>
        <w:t>Mamma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Mia: Here We Go Again! </w:t>
      </w:r>
      <w:r>
        <w:rPr>
          <w:rFonts w:ascii="Arial" w:cs="Arial" w:eastAsia="Arial" w:hAnsi="Arial"/>
          <w:sz w:val="18"/>
          <w:szCs w:val="18"/>
          <w:color w:val="auto"/>
        </w:rPr>
        <w:t>in this year’s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decreased by 23.6% to $179 million in the fourth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higher operating costs, partially offset by higher revenue.</w:t>
      </w:r>
    </w:p>
    <w:p>
      <w:pPr>
        <w:spacing w:after="0" w:line="16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For the twelve months ended December 31, 2018, revenue from the Filmed Entertainment segment decreased 5.8% to $7.2 billion compared to 2017, reflecting lower home entertainment, theatrical, other and content licensing revenue. Adjusted EBITDA decreased 42.5% to $734 million compared to 2017, reflecting lower revenue as well as higher operating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0"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Theme Parks revenue increased 3.5% to $1.5 billion in the fourth quarter of 2018, reflecting higher attendance and per capita spending. Adjusted EBITDA increased 0.7% to $666 million in the fourth quarter of 2018, reflecting an increase in revenue, partially offset by higher operating expenses.</w:t>
      </w:r>
    </w:p>
    <w:p>
      <w:pPr>
        <w:spacing w:after="0" w:line="16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For the twelve months ended December 31, 2018, revenue from the Theme Parks segment increased 4.4% to $5.7 billion compared to 2017, reflecting higher per capita spending. Adjusted EBITDA increased 3.0% to $2.5 billion compared to 2017, due to higher revenue, partially offset by an increase in operating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20"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2018, NBCUniversal Headquarters, Other and Eliminations Adjusted EBITDA loss was $176 million, compared to a loss of $201 million in the fourth quarter of 2017.</w:t>
      </w:r>
    </w:p>
    <w:p>
      <w:pPr>
        <w:spacing w:after="0" w:line="162"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For the twelve months ended December 31, 2018, NBCUniversal Headquarters, Other and Eliminations Adjusted EBITDA loss was $676 million compared to a loss of $746 million in 2017.</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Pro forma results are presented as if the Sky transaction occurred on January 1, 2017. The pro forma amounts are primarily based on historical results of operations, adjusted for the allocation of purchase price and excluding costs directly related to the transaction. These amounts are not necessarily indicative of what our results would have been had we operated Sky since January 1, 2017, and are subject to change as our acquisition accounting is finalized (see Table 7 for reconciliations of pro forma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00" w:type="dxa"/>
            <w:vAlign w:val="bottom"/>
            <w:gridSpan w:val="2"/>
          </w:tcPr>
          <w:p>
            <w:pPr>
              <w:jc w:val="right"/>
              <w:ind w:right="688"/>
              <w:spacing w:after="0"/>
              <w:rPr>
                <w:sz w:val="20"/>
                <w:szCs w:val="20"/>
                <w:color w:val="auto"/>
              </w:rPr>
            </w:pPr>
            <w:r>
              <w:rPr>
                <w:rFonts w:ascii="Arial" w:cs="Arial" w:eastAsia="Arial" w:hAnsi="Arial"/>
                <w:sz w:val="14"/>
                <w:szCs w:val="14"/>
                <w:color w:val="auto"/>
              </w:rPr>
              <w:t>4th Quarter</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Constant</w:t>
            </w:r>
          </w:p>
        </w:tc>
        <w:tc>
          <w:tcPr>
            <w:tcW w:w="9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Full Year</w:t>
            </w:r>
          </w:p>
        </w:tc>
        <w:tc>
          <w:tcPr>
            <w:tcW w:w="800" w:type="dxa"/>
            <w:vAlign w:val="bottom"/>
          </w:tcPr>
          <w:p>
            <w:pPr>
              <w:spacing w:after="0"/>
              <w:rPr>
                <w:sz w:val="16"/>
                <w:szCs w:val="16"/>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Constant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Currency</w:t>
            </w: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1"/>
                <w:szCs w:val="11"/>
                <w:i w:val="1"/>
                <w:iCs w:val="1"/>
                <w:color w:val="auto"/>
              </w:rPr>
              <w:t>($ in millions) (pro forma)</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Growth</w:t>
            </w:r>
          </w:p>
        </w:tc>
        <w:tc>
          <w:tcPr>
            <w:tcW w:w="1040" w:type="dxa"/>
            <w:vAlign w:val="bottom"/>
            <w:tcBorders>
              <w:bottom w:val="single" w:sz="8" w:color="auto"/>
            </w:tcBorders>
          </w:tcPr>
          <w:p>
            <w:pPr>
              <w:jc w:val="right"/>
              <w:ind w:right="248"/>
              <w:spacing w:after="0" w:line="216" w:lineRule="exact"/>
              <w:rPr>
                <w:sz w:val="20"/>
                <w:szCs w:val="20"/>
                <w:color w:val="auto"/>
              </w:rPr>
            </w:pPr>
            <w:r>
              <w:rPr>
                <w:rFonts w:ascii="Arial" w:cs="Arial" w:eastAsia="Arial" w:hAnsi="Arial"/>
                <w:sz w:val="14"/>
                <w:szCs w:val="14"/>
                <w:color w:val="auto"/>
              </w:rPr>
              <w:t>Growth</w:t>
            </w:r>
            <w:r>
              <w:rPr>
                <w:rFonts w:ascii="Arial" w:cs="Arial" w:eastAsia="Arial" w:hAnsi="Arial"/>
                <w:sz w:val="21"/>
                <w:szCs w:val="21"/>
                <w:color w:val="auto"/>
                <w:vertAlign w:val="superscript"/>
              </w:rPr>
              <w:t>6</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Growth</w:t>
            </w:r>
          </w:p>
        </w:tc>
        <w:tc>
          <w:tcPr>
            <w:tcW w:w="920" w:type="dxa"/>
            <w:vAlign w:val="bottom"/>
            <w:tcBorders>
              <w:bottom w:val="single" w:sz="8" w:color="auto"/>
            </w:tcBorders>
          </w:tcPr>
          <w:p>
            <w:pPr>
              <w:jc w:val="right"/>
              <w:ind w:right="148"/>
              <w:spacing w:after="0" w:line="216" w:lineRule="exact"/>
              <w:rPr>
                <w:sz w:val="20"/>
                <w:szCs w:val="20"/>
                <w:color w:val="auto"/>
              </w:rPr>
            </w:pPr>
            <w:r>
              <w:rPr>
                <w:rFonts w:ascii="Arial" w:cs="Arial" w:eastAsia="Arial" w:hAnsi="Arial"/>
                <w:sz w:val="14"/>
                <w:szCs w:val="14"/>
                <w:color w:val="auto"/>
              </w:rPr>
              <w:t>Growth</w:t>
            </w:r>
            <w:r>
              <w:rPr>
                <w:rFonts w:ascii="Arial" w:cs="Arial" w:eastAsia="Arial" w:hAnsi="Arial"/>
                <w:sz w:val="21"/>
                <w:szCs w:val="21"/>
                <w:color w:val="auto"/>
                <w:vertAlign w:val="superscript"/>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Revenue</w:t>
            </w: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Direct-to-Consumer</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$3,944</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$3,976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$14,899</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$16,077</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Content</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277</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31.6%</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35.7%</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1,040</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1,248</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Advertising</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684</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682</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2,334</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2,489</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80"/>
              <w:spacing w:after="0"/>
              <w:rPr>
                <w:sz w:val="20"/>
                <w:szCs w:val="20"/>
                <w:color w:val="auto"/>
              </w:rPr>
            </w:pPr>
            <w:r>
              <w:rPr>
                <w:rFonts w:ascii="Arial" w:cs="Arial" w:eastAsia="Arial" w:hAnsi="Arial"/>
                <w:sz w:val="14"/>
                <w:szCs w:val="14"/>
                <w:b w:val="1"/>
                <w:bCs w:val="1"/>
                <w:color w:val="auto"/>
              </w:rPr>
              <w:t>Sky Revenue</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$4,905</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$5,021</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2.4%</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5.6%</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$18,273</w:t>
            </w: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$19,814</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8.4%</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Operating Costs and Expenses</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$4,203</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$4,256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4.5%</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$15,325</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$16,920</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10.4%</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Adjusted EBITDA</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$702</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$765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8.9%</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12.4%</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$2,948</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$2,894</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80"/>
              <w:spacing w:after="0"/>
              <w:rPr>
                <w:sz w:val="20"/>
                <w:szCs w:val="20"/>
                <w:color w:val="auto"/>
              </w:rPr>
            </w:pPr>
            <w:r>
              <w:rPr>
                <w:rFonts w:ascii="Arial" w:cs="Arial" w:eastAsia="Arial" w:hAnsi="Arial"/>
                <w:sz w:val="14"/>
                <w:szCs w:val="14"/>
                <w:i w:val="1"/>
                <w:iCs w:val="1"/>
                <w:color w:val="auto"/>
              </w:rPr>
              <w:t>Adjusted EBITDA Margin</w:t>
            </w:r>
          </w:p>
        </w:tc>
        <w:tc>
          <w:tcPr>
            <w:tcW w:w="1280" w:type="dxa"/>
            <w:vAlign w:val="bottom"/>
          </w:tcPr>
          <w:p>
            <w:pPr>
              <w:jc w:val="right"/>
              <w:ind w:right="228"/>
              <w:spacing w:after="0"/>
              <w:rPr>
                <w:sz w:val="20"/>
                <w:szCs w:val="20"/>
                <w:color w:val="auto"/>
              </w:rPr>
            </w:pPr>
            <w:r>
              <w:rPr>
                <w:rFonts w:ascii="Arial" w:cs="Arial" w:eastAsia="Arial" w:hAnsi="Arial"/>
                <w:sz w:val="14"/>
                <w:szCs w:val="14"/>
                <w:i w:val="1"/>
                <w:iCs w:val="1"/>
                <w:color w:val="auto"/>
              </w:rPr>
              <w:t>14.3%</w:t>
            </w:r>
          </w:p>
        </w:tc>
        <w:tc>
          <w:tcPr>
            <w:tcW w:w="1020" w:type="dxa"/>
            <w:vAlign w:val="bottom"/>
          </w:tcPr>
          <w:p>
            <w:pPr>
              <w:jc w:val="right"/>
              <w:ind w:right="208"/>
              <w:spacing w:after="0"/>
              <w:rPr>
                <w:sz w:val="20"/>
                <w:szCs w:val="20"/>
                <w:color w:val="auto"/>
              </w:rPr>
            </w:pPr>
            <w:r>
              <w:rPr>
                <w:rFonts w:ascii="Arial" w:cs="Arial" w:eastAsia="Arial" w:hAnsi="Arial"/>
                <w:sz w:val="14"/>
                <w:szCs w:val="14"/>
                <w:i w:val="1"/>
                <w:iCs w:val="1"/>
                <w:color w:val="auto"/>
              </w:rPr>
              <w:t>15.2%</w:t>
            </w: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i w:val="1"/>
                <w:iCs w:val="1"/>
                <w:color w:val="auto"/>
              </w:rPr>
              <w:t>16.1%</w:t>
            </w:r>
          </w:p>
        </w:tc>
        <w:tc>
          <w:tcPr>
            <w:tcW w:w="1280" w:type="dxa"/>
            <w:vAlign w:val="bottom"/>
          </w:tcPr>
          <w:p>
            <w:pPr>
              <w:jc w:val="right"/>
              <w:ind w:right="448"/>
              <w:spacing w:after="0"/>
              <w:rPr>
                <w:sz w:val="20"/>
                <w:szCs w:val="20"/>
                <w:color w:val="auto"/>
              </w:rPr>
            </w:pPr>
            <w:r>
              <w:rPr>
                <w:rFonts w:ascii="Arial" w:cs="Arial" w:eastAsia="Arial" w:hAnsi="Arial"/>
                <w:sz w:val="14"/>
                <w:szCs w:val="14"/>
                <w:i w:val="1"/>
                <w:iCs w:val="1"/>
                <w:color w:val="auto"/>
              </w:rPr>
              <w:t>14.6%</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6</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9" w:name="page10"/>
    <w:bookmarkEnd w:id="9"/>
    <w:p>
      <w:pPr>
        <w:jc w:val="both"/>
        <w:spacing w:after="0"/>
        <w:rPr>
          <w:sz w:val="20"/>
          <w:szCs w:val="20"/>
          <w:color w:val="auto"/>
        </w:rPr>
      </w:pPr>
      <w:r>
        <w:rPr>
          <w:rFonts w:ascii="Arial" w:cs="Arial" w:eastAsia="Arial" w:hAnsi="Arial"/>
          <w:sz w:val="18"/>
          <w:szCs w:val="18"/>
          <w:b w:val="1"/>
          <w:bCs w:val="1"/>
          <w:i w:val="1"/>
          <w:iCs w:val="1"/>
          <w:color w:val="auto"/>
        </w:rPr>
        <w:t xml:space="preserve">Pro Forma Revenue </w:t>
      </w:r>
      <w:r>
        <w:rPr>
          <w:rFonts w:ascii="Arial" w:cs="Arial" w:eastAsia="Arial" w:hAnsi="Arial"/>
          <w:sz w:val="18"/>
          <w:szCs w:val="18"/>
          <w:color w:val="auto"/>
        </w:rPr>
        <w:t>for Sky increased 2.4% to $5.0 billion in the fourth quarter of 2018. Excluding the impact of currency, revenue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5.6%, reflecting higher direct-to-consumer, content and advertising revenue. Direct-to-consumer revenue increased 4.0% to $4.0 billion, driven by improved product penetration for pay TV, growth in Sky Mobile and Sky Fibre customers, as well as rate adjustments in the UK. This quarter’s average direct-to-consumer revenue per customer relationship increased by about 1%. Content revenue increased 35.7% to $363 million, primarily reflecting the wholesaling of sports programming, including exclusive sports rights recently acquired in Italy and Germany, increased penetration of premium sports and movie channels on third party pay TV networks in the UK and monetization of our slate of original programming. Advertising revenue increased 2.9% to $682 million, driven by increased sports inventory in Italy and Germany and growth in advanced advertising in the UK.</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twelve months ended December 31, 2018, pro forma Sky revenue increased 8.4% to $19.8 billion compared to 2017. Excluding the impact of currency, revenue increased 4.5%, reflecting growth in direct-to-consumer, content and advertising revenue.</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Pro Forma Total Customer Relationships </w:t>
      </w:r>
      <w:r>
        <w:rPr>
          <w:rFonts w:ascii="Arial" w:cs="Arial" w:eastAsia="Arial" w:hAnsi="Arial"/>
          <w:sz w:val="18"/>
          <w:szCs w:val="18"/>
          <w:color w:val="auto"/>
        </w:rPr>
        <w:t>increased by 164,000 to 23.6 million in the fourth quarter of 2018. For the twelve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total customer relationships increased by 735,000 to 23.6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60" w:type="dxa"/>
            <w:vAlign w:val="bottom"/>
          </w:tcPr>
          <w:p>
            <w:pPr>
              <w:spacing w:after="0"/>
              <w:rPr>
                <w:sz w:val="16"/>
                <w:szCs w:val="16"/>
                <w:color w:val="auto"/>
              </w:rPr>
            </w:pPr>
          </w:p>
        </w:tc>
        <w:tc>
          <w:tcPr>
            <w:tcW w:w="3980" w:type="dxa"/>
            <w:vAlign w:val="bottom"/>
            <w:gridSpan w:val="2"/>
          </w:tcPr>
          <w:p>
            <w:pPr>
              <w:jc w:val="right"/>
              <w:ind w:right="1168"/>
              <w:spacing w:after="0"/>
              <w:rPr>
                <w:sz w:val="20"/>
                <w:szCs w:val="20"/>
                <w:color w:val="auto"/>
              </w:rPr>
            </w:pPr>
            <w:r>
              <w:rPr>
                <w:rFonts w:ascii="Arial" w:cs="Arial" w:eastAsia="Arial" w:hAnsi="Arial"/>
                <w:sz w:val="14"/>
                <w:szCs w:val="14"/>
                <w:color w:val="auto"/>
              </w:rPr>
              <w:t>Customers</w:t>
            </w:r>
          </w:p>
        </w:tc>
        <w:tc>
          <w:tcPr>
            <w:tcW w:w="1400" w:type="dxa"/>
            <w:vAlign w:val="bottom"/>
          </w:tcPr>
          <w:p>
            <w:pPr>
              <w:spacing w:after="0"/>
              <w:rPr>
                <w:sz w:val="16"/>
                <w:szCs w:val="16"/>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4"/>
                <w:szCs w:val="14"/>
                <w:color w:val="auto"/>
              </w:rPr>
              <w:t>Net Additions</w:t>
            </w:r>
          </w:p>
        </w:tc>
        <w:tc>
          <w:tcPr>
            <w:tcW w:w="660" w:type="dxa"/>
            <w:vAlign w:val="bottom"/>
          </w:tcPr>
          <w:p>
            <w:pPr>
              <w:spacing w:after="0"/>
              <w:rPr>
                <w:sz w:val="16"/>
                <w:szCs w:val="16"/>
                <w:color w:val="auto"/>
              </w:rPr>
            </w:pPr>
          </w:p>
        </w:tc>
      </w:tr>
      <w:tr>
        <w:trPr>
          <w:trHeight w:val="245"/>
        </w:trPr>
        <w:tc>
          <w:tcPr>
            <w:tcW w:w="386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(in thousands) (pro forma)</w:t>
            </w:r>
          </w:p>
        </w:tc>
        <w:tc>
          <w:tcPr>
            <w:tcW w:w="2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YE17</w:t>
            </w:r>
          </w:p>
        </w:tc>
        <w:tc>
          <w:tcPr>
            <w:tcW w:w="15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YE18</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4Q17</w:t>
            </w:r>
          </w:p>
        </w:tc>
        <w:tc>
          <w:tcPr>
            <w:tcW w:w="7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4Q18</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2018</w:t>
            </w:r>
          </w:p>
        </w:tc>
      </w:tr>
      <w:tr>
        <w:trPr>
          <w:trHeight w:val="189"/>
        </w:trPr>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Customer Relationships</w:t>
            </w:r>
          </w:p>
        </w:tc>
        <w:tc>
          <w:tcPr>
            <w:tcW w:w="2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22,865</w:t>
            </w:r>
          </w:p>
        </w:tc>
        <w:tc>
          <w:tcPr>
            <w:tcW w:w="15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23,600</w:t>
            </w: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205</w:t>
            </w:r>
          </w:p>
        </w:tc>
        <w:tc>
          <w:tcPr>
            <w:tcW w:w="7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548</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735</w:t>
            </w: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Pro Forma Adjusted EBITDA </w:t>
      </w:r>
      <w:r>
        <w:rPr>
          <w:rFonts w:ascii="Arial" w:cs="Arial" w:eastAsia="Arial" w:hAnsi="Arial"/>
          <w:sz w:val="18"/>
          <w:szCs w:val="18"/>
          <w:color w:val="auto"/>
        </w:rPr>
        <w:t>for Sky increased 8.9% to $765 million in the fourth quarter of 2018.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increased 12.4%, reflecting higher revenue, partially offset by a 4.5% increase in operating expenses. The higher expenses were primarily driven by new contracts for Serie A and UEFA Champions League soccer rights in Italy and Germany, partially offset by lower other operating costs.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twelve months ended December 31, 2018, pro forma Sky Adjusted EBITDA declined 1.8% to $2.9 billion compared to 2017. Excluding the impact of currency, Adjusted EBITDA decreased 5.3%, which includes contract termination costs and costs related to a settlement totaling $231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Corporate, Other and Eliminations primarily relate to corporate operations, our new wireless initiative, Xfinity Mobile, and Comcast Spectacor, as well as eliminations among Comcast’s businesses. For the quarter ended December 31, 2018, the Corporate, Other and Eliminations</w:t>
      </w:r>
      <w:r>
        <w:rPr>
          <w:rFonts w:ascii="Arial" w:cs="Arial" w:eastAsia="Arial" w:hAnsi="Arial"/>
          <w:sz w:val="18"/>
          <w:szCs w:val="18"/>
          <w:color w:val="auto"/>
          <w:vertAlign w:val="superscript"/>
        </w:rPr>
        <w:t>3</w:t>
      </w:r>
      <w:r>
        <w:rPr>
          <w:rFonts w:ascii="Arial" w:cs="Arial" w:eastAsia="Arial" w:hAnsi="Arial"/>
          <w:sz w:val="18"/>
          <w:szCs w:val="18"/>
          <w:color w:val="auto"/>
        </w:rPr>
        <w:t xml:space="preserve"> Adjusted EBITDA loss was $400 million, compared to a loss of $536 million in the fourth quarter of 2017, which included $171 million of expenses related to a special employee bonus. This quarter’s results include a loss of $191 million from Xfinity Mobile, which compares to a loss of $176 million in the prior year period. In this year’s fourth quarter, Xfinity Mobile reported net line additions of 227,000 in the quarter, ending the quarter with 1.2 million total lines.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twelve months ended December 31, 2018, the Corporate, Other and Eliminations</w:t>
      </w:r>
      <w:r>
        <w:rPr>
          <w:rFonts w:ascii="Arial" w:cs="Arial" w:eastAsia="Arial" w:hAnsi="Arial"/>
          <w:sz w:val="18"/>
          <w:szCs w:val="18"/>
          <w:color w:val="auto"/>
          <w:vertAlign w:val="superscript"/>
        </w:rPr>
        <w:t>3</w:t>
      </w:r>
      <w:r>
        <w:rPr>
          <w:rFonts w:ascii="Arial" w:cs="Arial" w:eastAsia="Arial" w:hAnsi="Arial"/>
          <w:sz w:val="18"/>
          <w:szCs w:val="18"/>
          <w:color w:val="auto"/>
        </w:rPr>
        <w:t xml:space="preserve"> Adjusted EBITDA loss was $1.6 billion, compared to a loss of $1.3 billion in 2017, reflecting increased costs associated with scaling Xfinity Mobile and eliminations associated with the 2018 PyeongChang Olympics. This year’s results include losses of $743 million from Xfinity Mobile, which compares to a loss of $480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0" w:lineRule="exact"/>
        <w:rPr>
          <w:sz w:val="20"/>
          <w:szCs w:val="20"/>
          <w:color w:val="auto"/>
        </w:rPr>
      </w:pPr>
    </w:p>
    <w:p>
      <w:pPr>
        <w:jc w:val="both"/>
        <w:ind w:left="180" w:hanging="172"/>
        <w:spacing w:after="0" w:line="24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180" w:hanging="172"/>
        <w:spacing w:after="0" w:line="239"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January 1, 2018, we adopted the new accounting standard related to revenue recognition. In connection with the adoption, we implemented changes in classification for our Cable Communications segment’s High-Speed Internet, Video, Voice, Business Services and Other revenues and costs and expenses. In addition, the new guidance impacted the timing of recognition for Cable Communications installation revenue and commissions expense, and Cable Networks, Broadcast Television and Filmed Entertainment content licensing renewals and extensions. These changes affected Operating Income and Adjusted EBITDA for Comcast Consolidated and the Cable Communications, Cable Networks, Broadcast Television and Filmed Entertainment segments. The adoption did not impact Consolidated Free Cash Flow; however, Cash Paid for Capitalized Software and Other Intangible Assets, and Changes in Operating Assets and Liabilities were affected. We adopted the guidance using the full retrospective method and all periods presented have been adjusted. To be consistent with our current management reporting presentation, certain 2017 operating results were reclassified within the Cable Communications segment and certain 2018 and 2017 operating results were reclassified related to certain NBCUniversal businesses now presented in the Sky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4 Consolidated results for 2018 include Sky results from October 9, 2018 through December 31, 2018.</w:t>
      </w:r>
    </w:p>
    <w:p>
      <w:pPr>
        <w:spacing w:after="0" w:line="198" w:lineRule="exact"/>
        <w:rPr>
          <w:sz w:val="20"/>
          <w:szCs w:val="20"/>
          <w:color w:val="auto"/>
        </w:rPr>
      </w:pPr>
    </w:p>
    <w:p>
      <w:pPr>
        <w:jc w:val="both"/>
        <w:ind w:left="180" w:hanging="172"/>
        <w:spacing w:after="0"/>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 See Table 4 for reconciliation of non-GAAP financial measures.</w:t>
      </w:r>
    </w:p>
    <w:p>
      <w:pPr>
        <w:spacing w:after="0" w:line="163" w:lineRule="exact"/>
        <w:rPr>
          <w:sz w:val="20"/>
          <w:szCs w:val="20"/>
          <w:color w:val="auto"/>
        </w:rPr>
      </w:pPr>
    </w:p>
    <w:p>
      <w:pPr>
        <w:jc w:val="both"/>
        <w:ind w:left="180" w:hanging="172"/>
        <w:spacing w:after="0" w:line="255" w:lineRule="auto"/>
        <w:tabs>
          <w:tab w:leader="none" w:pos="206"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8 for reconciliation of Sky’s constant currency growth.</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23, 2019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6837336. A replay of the call will be available starting at 12:00 p.m. ET on January 23, 2019, on the Investor Relations website or by telephone. To access the telephone replay, which will be available until Wednesday, January 30, 2019 at midnight ET, please dial (855) 859-2056 and enter the conference ID number 6837336.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700" w:type="dxa"/>
            <w:vAlign w:val="bottom"/>
          </w:tcPr>
          <w:p>
            <w:pPr>
              <w:jc w:val="right"/>
              <w:ind w:right="24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2"/>
        </w:trPr>
        <w:tc>
          <w:tcPr>
            <w:tcW w:w="20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70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839"/>
              <w:spacing w:after="0"/>
              <w:rPr>
                <w:sz w:val="20"/>
                <w:szCs w:val="20"/>
                <w:color w:val="auto"/>
              </w:rPr>
            </w:pPr>
            <w:r>
              <w:rPr>
                <w:rFonts w:ascii="Arial" w:cs="Arial" w:eastAsia="Arial" w:hAnsi="Arial"/>
                <w:sz w:val="16"/>
                <w:szCs w:val="16"/>
                <w:color w:val="auto"/>
              </w:rPr>
              <w:t>(215) 286-7972</w:t>
            </w:r>
          </w:p>
        </w:tc>
        <w:tc>
          <w:tcPr>
            <w:tcW w:w="370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94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286-8582</w:t>
            </w:r>
          </w:p>
        </w:tc>
      </w:tr>
      <w:tr>
        <w:trPr>
          <w:trHeight w:val="219"/>
        </w:trPr>
        <w:tc>
          <w:tcPr>
            <w:tcW w:w="202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839"/>
              <w:spacing w:after="0"/>
              <w:rPr>
                <w:sz w:val="20"/>
                <w:szCs w:val="20"/>
                <w:color w:val="auto"/>
              </w:rPr>
            </w:pPr>
            <w:r>
              <w:rPr>
                <w:rFonts w:ascii="Arial" w:cs="Arial" w:eastAsia="Arial" w:hAnsi="Arial"/>
                <w:sz w:val="16"/>
                <w:szCs w:val="16"/>
                <w:color w:val="auto"/>
              </w:rPr>
              <w:t>(215) 286-4794</w:t>
            </w:r>
          </w:p>
        </w:tc>
        <w:tc>
          <w:tcPr>
            <w:tcW w:w="370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94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ind w:left="20"/>
              <w:spacing w:after="0"/>
              <w:rPr>
                <w:sz w:val="20"/>
                <w:szCs w:val="20"/>
                <w:color w:val="auto"/>
              </w:rPr>
            </w:pPr>
            <w:r>
              <w:rPr>
                <w:rFonts w:ascii="Arial" w:cs="Arial" w:eastAsia="Arial" w:hAnsi="Arial"/>
                <w:sz w:val="16"/>
                <w:szCs w:val="16"/>
                <w:color w:val="auto"/>
                <w:w w:val="97"/>
              </w:rPr>
              <w:t>286-8011</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 w:name="page12"/>
    <w:bookmarkEnd w:id="11"/>
    <w:p>
      <w:pPr>
        <w:jc w:val="both"/>
        <w:ind w:right="20"/>
        <w:spacing w:after="0" w:line="291" w:lineRule="auto"/>
        <w:rPr>
          <w:sz w:val="20"/>
          <w:szCs w:val="20"/>
          <w:color w:val="auto"/>
        </w:rPr>
      </w:pPr>
      <w:r>
        <w:rPr>
          <w:rFonts w:ascii="Arial" w:cs="Arial" w:eastAsia="Arial" w:hAnsi="Arial"/>
          <w:sz w:val="16"/>
          <w:szCs w:val="16"/>
          <w:color w:val="auto"/>
        </w:rPr>
        <w:t>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www.comcastcorporation.com for more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1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9"/>
              </w:rPr>
              <w:t>Twelve Months Ended</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96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rPr>
              <w:t>December 31,</w:t>
            </w:r>
          </w:p>
        </w:tc>
        <w:tc>
          <w:tcPr>
            <w:tcW w:w="8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194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rPr>
              <w:t>December 31,</w:t>
            </w:r>
          </w:p>
        </w:tc>
        <w:tc>
          <w:tcPr>
            <w:tcW w:w="8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$22,075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$27,846</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$85,029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$94,507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560" w:type="dxa"/>
            <w:vAlign w:val="bottom"/>
          </w:tcPr>
          <w:p>
            <w:pPr>
              <w:ind w:left="220"/>
              <w:spacing w:after="0"/>
              <w:rPr>
                <w:sz w:val="20"/>
                <w:szCs w:val="20"/>
                <w:color w:val="auto"/>
              </w:rPr>
            </w:pPr>
            <w:r>
              <w:rPr>
                <w:rFonts w:ascii="Arial" w:cs="Arial" w:eastAsia="Arial" w:hAnsi="Arial"/>
                <w:sz w:val="16"/>
                <w:szCs w:val="16"/>
                <w:color w:val="auto"/>
              </w:rPr>
              <w:t>Programming and production</w:t>
            </w:r>
          </w:p>
        </w:tc>
        <w:tc>
          <w:tcPr>
            <w:tcW w:w="1260" w:type="dxa"/>
            <w:vAlign w:val="bottom"/>
          </w:tcPr>
          <w:p>
            <w:pPr>
              <w:jc w:val="right"/>
              <w:spacing w:after="0"/>
              <w:rPr>
                <w:sz w:val="20"/>
                <w:szCs w:val="20"/>
                <w:color w:val="auto"/>
              </w:rPr>
            </w:pPr>
            <w:r>
              <w:rPr>
                <w:rFonts w:ascii="Arial" w:cs="Arial" w:eastAsia="Arial" w:hAnsi="Arial"/>
                <w:sz w:val="16"/>
                <w:szCs w:val="16"/>
                <w:color w:val="auto"/>
              </w:rPr>
              <w:t>6,905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9,252</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25,355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29,692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Other operating and administrative</w:t>
            </w:r>
          </w:p>
        </w:tc>
        <w:tc>
          <w:tcPr>
            <w:tcW w:w="1260" w:type="dxa"/>
            <w:vAlign w:val="bottom"/>
          </w:tcPr>
          <w:p>
            <w:pPr>
              <w:jc w:val="right"/>
              <w:spacing w:after="0"/>
              <w:rPr>
                <w:sz w:val="20"/>
                <w:szCs w:val="20"/>
                <w:color w:val="auto"/>
              </w:rPr>
            </w:pPr>
            <w:r>
              <w:rPr>
                <w:rFonts w:ascii="Arial" w:cs="Arial" w:eastAsia="Arial" w:hAnsi="Arial"/>
                <w:sz w:val="16"/>
                <w:szCs w:val="16"/>
                <w:color w:val="auto"/>
              </w:rPr>
              <w:t>6,810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8,782</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25,449</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28,094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60" w:type="dxa"/>
            <w:vAlign w:val="bottom"/>
          </w:tcPr>
          <w:p>
            <w:pPr>
              <w:ind w:left="220"/>
              <w:spacing w:after="0" w:line="178" w:lineRule="exact"/>
              <w:rPr>
                <w:sz w:val="20"/>
                <w:szCs w:val="20"/>
                <w:color w:val="auto"/>
              </w:rPr>
            </w:pPr>
            <w:r>
              <w:rPr>
                <w:rFonts w:ascii="Arial" w:cs="Arial" w:eastAsia="Arial" w:hAnsi="Arial"/>
                <w:sz w:val="16"/>
                <w:szCs w:val="16"/>
                <w:color w:val="auto"/>
              </w:rPr>
              <w:t>Advertising, marketing and promotion</w:t>
            </w: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1,622</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2,101</w:t>
            </w:r>
          </w:p>
        </w:tc>
        <w:tc>
          <w:tcPr>
            <w:tcW w:w="30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6,519</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7,036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60" w:type="dxa"/>
            <w:vAlign w:val="bottom"/>
          </w:tcPr>
          <w:p>
            <w:pPr>
              <w:ind w:left="220"/>
              <w:spacing w:after="0" w:line="220"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96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(480)</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(480)</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15,337</w:t>
            </w:r>
          </w:p>
        </w:tc>
        <w:tc>
          <w:tcPr>
            <w:tcW w:w="3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19,655</w:t>
            </w:r>
          </w:p>
        </w:tc>
        <w:tc>
          <w:tcPr>
            <w:tcW w:w="3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57,073</w:t>
            </w:r>
          </w:p>
        </w:tc>
        <w:tc>
          <w:tcPr>
            <w:tcW w:w="2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64,342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556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6,738</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8,191</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27,956</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30,165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60" w:type="dxa"/>
            <w:vAlign w:val="bottom"/>
          </w:tcPr>
          <w:p>
            <w:pPr>
              <w:ind w:left="220"/>
              <w:spacing w:after="0"/>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96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Depreciation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2,038</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2,211</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7,914</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8,281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Amortization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571</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986</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2,216</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20"/>
              <w:spacing w:after="0"/>
              <w:rPr>
                <w:sz w:val="20"/>
                <w:szCs w:val="20"/>
                <w:color w:val="auto"/>
              </w:rPr>
            </w:pPr>
            <w:r>
              <w:rPr>
                <w:rFonts w:ascii="Arial" w:cs="Arial" w:eastAsia="Arial" w:hAnsi="Arial"/>
                <w:sz w:val="16"/>
                <w:szCs w:val="16"/>
                <w:color w:val="auto"/>
              </w:rPr>
              <w:t>Other operating gains</w:t>
            </w:r>
          </w:p>
        </w:tc>
        <w:tc>
          <w:tcPr>
            <w:tcW w:w="196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(442)</w:t>
            </w:r>
          </w:p>
        </w:tc>
        <w:tc>
          <w:tcPr>
            <w:tcW w:w="4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(341)</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2,609</w:t>
            </w:r>
          </w:p>
        </w:tc>
        <w:tc>
          <w:tcPr>
            <w:tcW w:w="3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3,677</w:t>
            </w:r>
          </w:p>
        </w:tc>
        <w:tc>
          <w:tcPr>
            <w:tcW w:w="3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9,938</w:t>
            </w:r>
          </w:p>
        </w:tc>
        <w:tc>
          <w:tcPr>
            <w:tcW w:w="2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11,156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4,129</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4,514</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18,018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19,009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0"/>
                <w:szCs w:val="20"/>
                <w:color w:val="auto"/>
              </w:rPr>
            </w:pPr>
            <w:r>
              <w:rPr>
                <w:rFonts w:ascii="Arial" w:cs="Arial" w:eastAsia="Arial" w:hAnsi="Arial"/>
                <w:sz w:val="16"/>
                <w:szCs w:val="16"/>
                <w:color w:val="auto"/>
              </w:rPr>
              <w:t>Interest expense</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(807)</w:t>
            </w:r>
          </w:p>
        </w:tc>
        <w:tc>
          <w:tcPr>
            <w:tcW w:w="4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(1,129)</w:t>
            </w:r>
          </w:p>
        </w:tc>
        <w:tc>
          <w:tcPr>
            <w:tcW w:w="1240" w:type="dxa"/>
            <w:vAlign w:val="bottom"/>
          </w:tcPr>
          <w:p>
            <w:pPr>
              <w:jc w:val="right"/>
              <w:spacing w:after="0"/>
              <w:rPr>
                <w:sz w:val="20"/>
                <w:szCs w:val="20"/>
                <w:color w:val="auto"/>
              </w:rPr>
            </w:pPr>
            <w:r>
              <w:rPr>
                <w:rFonts w:ascii="Arial" w:cs="Arial" w:eastAsia="Arial" w:hAnsi="Arial"/>
                <w:sz w:val="16"/>
                <w:szCs w:val="16"/>
                <w:color w:val="auto"/>
              </w:rPr>
              <w:t>(3,086)</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(3,542)</w:t>
            </w:r>
          </w:p>
        </w:tc>
        <w:tc>
          <w:tcPr>
            <w:tcW w:w="0" w:type="dxa"/>
            <w:vAlign w:val="bottom"/>
          </w:tcPr>
          <w:p>
            <w:pPr>
              <w:spacing w:after="0"/>
              <w:rPr>
                <w:sz w:val="1"/>
                <w:szCs w:val="1"/>
                <w:color w:val="auto"/>
              </w:rPr>
            </w:pPr>
          </w:p>
        </w:tc>
      </w:tr>
      <w:tr>
        <w:trPr>
          <w:trHeight w:val="368"/>
        </w:trPr>
        <w:tc>
          <w:tcPr>
            <w:tcW w:w="556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(308)</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(364)</w:t>
            </w:r>
          </w:p>
        </w:tc>
        <w:tc>
          <w:tcPr>
            <w:tcW w:w="0" w:type="dxa"/>
            <w:vAlign w:val="bottom"/>
          </w:tcPr>
          <w:p>
            <w:pPr>
              <w:spacing w:after="0"/>
              <w:rPr>
                <w:sz w:val="1"/>
                <w:szCs w:val="1"/>
                <w:color w:val="auto"/>
              </w:rPr>
            </w:pPr>
          </w:p>
        </w:tc>
      </w:tr>
      <w:tr>
        <w:trPr>
          <w:trHeight w:val="187"/>
        </w:trPr>
        <w:tc>
          <w:tcPr>
            <w:tcW w:w="5560" w:type="dxa"/>
            <w:vAlign w:val="bottom"/>
          </w:tcPr>
          <w:p>
            <w:pPr>
              <w:ind w:left="220"/>
              <w:spacing w:after="0"/>
              <w:rPr>
                <w:sz w:val="20"/>
                <w:szCs w:val="20"/>
                <w:color w:val="auto"/>
              </w:rPr>
            </w:pPr>
            <w:r>
              <w:rPr>
                <w:rFonts w:ascii="Arial" w:cs="Arial" w:eastAsia="Arial" w:hAnsi="Arial"/>
                <w:sz w:val="16"/>
                <w:szCs w:val="16"/>
                <w:color w:val="auto"/>
              </w:rPr>
              <w:t>Equity in net income (losses) of investees, net</w:t>
            </w: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Realized and unrealized gains (losses) on equity securities, net</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(137)</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(17)</w:t>
            </w:r>
          </w:p>
        </w:tc>
        <w:tc>
          <w:tcPr>
            <w:tcW w:w="4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(187)</w:t>
            </w:r>
          </w:p>
        </w:tc>
        <w:tc>
          <w:tcPr>
            <w:tcW w:w="0" w:type="dxa"/>
            <w:vAlign w:val="bottom"/>
          </w:tcPr>
          <w:p>
            <w:pPr>
              <w:spacing w:after="0"/>
              <w:rPr>
                <w:sz w:val="1"/>
                <w:szCs w:val="1"/>
                <w:color w:val="auto"/>
              </w:rPr>
            </w:pPr>
          </w:p>
        </w:tc>
      </w:tr>
      <w:tr>
        <w:trPr>
          <w:trHeight w:val="209"/>
        </w:trPr>
        <w:tc>
          <w:tcPr>
            <w:tcW w:w="5560" w:type="dxa"/>
            <w:vAlign w:val="bottom"/>
          </w:tcPr>
          <w:p>
            <w:pPr>
              <w:ind w:left="220"/>
              <w:spacing w:after="0"/>
              <w:rPr>
                <w:sz w:val="20"/>
                <w:szCs w:val="20"/>
                <w:color w:val="auto"/>
              </w:rPr>
            </w:pPr>
            <w:r>
              <w:rPr>
                <w:rFonts w:ascii="Arial" w:cs="Arial" w:eastAsia="Arial" w:hAnsi="Arial"/>
                <w:sz w:val="16"/>
                <w:szCs w:val="16"/>
                <w:color w:val="auto"/>
              </w:rPr>
              <w:t>Other income (loss),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(317)</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421</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60" w:type="dxa"/>
            <w:vAlign w:val="bottom"/>
          </w:tcPr>
          <w:p>
            <w:pPr>
              <w:jc w:val="right"/>
              <w:spacing w:after="0"/>
              <w:rPr>
                <w:sz w:val="20"/>
                <w:szCs w:val="20"/>
                <w:color w:val="auto"/>
              </w:rPr>
            </w:pPr>
            <w:r>
              <w:rPr>
                <w:rFonts w:ascii="Arial" w:cs="Arial" w:eastAsia="Arial" w:hAnsi="Arial"/>
                <w:sz w:val="16"/>
                <w:szCs w:val="16"/>
                <w:color w:val="auto"/>
              </w:rPr>
              <w:t>3,444</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3,068</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15,353</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15,242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11,607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(486)</w:t>
            </w:r>
          </w:p>
        </w:tc>
        <w:tc>
          <w:tcPr>
            <w:tcW w:w="1240" w:type="dxa"/>
            <w:vAlign w:val="bottom"/>
          </w:tcPr>
          <w:p>
            <w:pPr>
              <w:jc w:val="right"/>
              <w:spacing w:after="0"/>
              <w:rPr>
                <w:sz w:val="20"/>
                <w:szCs w:val="20"/>
                <w:color w:val="auto"/>
              </w:rPr>
            </w:pPr>
            <w:r>
              <w:rPr>
                <w:rFonts w:ascii="Arial" w:cs="Arial" w:eastAsia="Arial" w:hAnsi="Arial"/>
                <w:sz w:val="16"/>
                <w:szCs w:val="16"/>
                <w:color w:val="auto"/>
              </w:rPr>
              <w:t>7,569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(3,380)</w:t>
            </w: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15,051</w:t>
            </w: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2,582</w:t>
            </w:r>
          </w:p>
        </w:tc>
        <w:tc>
          <w:tcPr>
            <w:tcW w:w="30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22,922</w:t>
            </w:r>
          </w:p>
        </w:tc>
        <w:tc>
          <w:tcPr>
            <w:tcW w:w="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56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60" w:type="dxa"/>
            <w:vAlign w:val="bottom"/>
          </w:tcPr>
          <w:p>
            <w:pPr>
              <w:ind w:left="180"/>
              <w:spacing w:after="0"/>
              <w:rPr>
                <w:sz w:val="20"/>
                <w:szCs w:val="20"/>
                <w:color w:val="auto"/>
              </w:rPr>
            </w:pPr>
            <w:r>
              <w:rPr>
                <w:rFonts w:ascii="Arial" w:cs="Arial" w:eastAsia="Arial" w:hAnsi="Arial"/>
                <w:sz w:val="16"/>
                <w:szCs w:val="16"/>
                <w:color w:val="auto"/>
              </w:rPr>
              <w:t>redeemable subsidiary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2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6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$14,999</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$2,511</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$22,735</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$11,731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5560" w:type="dxa"/>
            <w:vAlign w:val="bottom"/>
            <w:vMerge w:val="continue"/>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$3.17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$0.55</w:t>
            </w:r>
          </w:p>
        </w:tc>
        <w:tc>
          <w:tcPr>
            <w:tcW w:w="3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180"/>
              <w:spacing w:after="0"/>
              <w:rPr>
                <w:sz w:val="20"/>
                <w:szCs w:val="20"/>
                <w:color w:val="auto"/>
              </w:rPr>
            </w:pPr>
            <w:r>
              <w:rPr>
                <w:rFonts w:ascii="Arial" w:cs="Arial" w:eastAsia="Arial" w:hAnsi="Arial"/>
                <w:sz w:val="16"/>
                <w:szCs w:val="16"/>
                <w:b w:val="1"/>
                <w:bCs w:val="1"/>
                <w:color w:val="auto"/>
              </w:rPr>
              <w:t>Corporation shareholders</w:t>
            </w:r>
          </w:p>
        </w:tc>
        <w:tc>
          <w:tcPr>
            <w:tcW w:w="12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$0.1575</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4,729</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4,596</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4,786</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3"/>
                <w:szCs w:val="13"/>
                <w:color w:val="auto"/>
              </w:rPr>
              <w:t>(1) See Table 4 for a reconciliation of non-GAAP financial measures.</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560" w:type="dxa"/>
            <w:vAlign w:val="bottom"/>
          </w:tcPr>
          <w:p>
            <w:pPr>
              <w:spacing w:after="0"/>
              <w:rPr>
                <w:sz w:val="24"/>
                <w:szCs w:val="24"/>
                <w:color w:val="auto"/>
              </w:rPr>
            </w:pPr>
          </w:p>
        </w:tc>
        <w:tc>
          <w:tcPr>
            <w:tcW w:w="1260" w:type="dxa"/>
            <w:vAlign w:val="bottom"/>
          </w:tcPr>
          <w:p>
            <w:pPr>
              <w:jc w:val="right"/>
              <w:ind w:right="939"/>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5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5" w:right="19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2</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31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6"/>
                <w:szCs w:val="16"/>
                <w:color w:val="auto"/>
              </w:rPr>
              <w:t>(in millions)</w:t>
            </w:r>
          </w:p>
        </w:tc>
        <w:tc>
          <w:tcPr>
            <w:tcW w:w="210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00" w:type="dxa"/>
            <w:vAlign w:val="bottom"/>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83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$11,862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$22,922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00" w:type="dxa"/>
            <w:vAlign w:val="bottom"/>
          </w:tcPr>
          <w:p>
            <w:pPr>
              <w:ind w:left="380"/>
              <w:spacing w:after="0"/>
              <w:rPr>
                <w:sz w:val="20"/>
                <w:szCs w:val="20"/>
                <w:color w:val="auto"/>
              </w:rPr>
            </w:pPr>
            <w:r>
              <w:rPr>
                <w:rFonts w:ascii="Arial" w:cs="Arial" w:eastAsia="Arial" w:hAnsi="Arial"/>
                <w:sz w:val="16"/>
                <w:szCs w:val="16"/>
                <w:color w:val="auto"/>
              </w:rPr>
              <w:t>Depreciation, amortization and other operating gains</w:t>
            </w:r>
          </w:p>
        </w:tc>
        <w:tc>
          <w:tcPr>
            <w:tcW w:w="1360" w:type="dxa"/>
            <w:vAlign w:val="bottom"/>
          </w:tcPr>
          <w:p>
            <w:pPr>
              <w:jc w:val="right"/>
              <w:spacing w:after="0"/>
              <w:rPr>
                <w:sz w:val="20"/>
                <w:szCs w:val="20"/>
                <w:color w:val="auto"/>
              </w:rPr>
            </w:pPr>
            <w:r>
              <w:rPr>
                <w:rFonts w:ascii="Arial" w:cs="Arial" w:eastAsia="Arial" w:hAnsi="Arial"/>
                <w:sz w:val="16"/>
                <w:szCs w:val="16"/>
                <w:color w:val="auto"/>
              </w:rPr>
              <w:t>9,688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751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Noncash interest expense (income), net</w:t>
            </w:r>
          </w:p>
        </w:tc>
        <w:tc>
          <w:tcPr>
            <w:tcW w:w="1360" w:type="dxa"/>
            <w:vAlign w:val="bottom"/>
          </w:tcPr>
          <w:p>
            <w:pPr>
              <w:jc w:val="right"/>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Net (gain) loss on investment activity and other</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(194)</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6"/>
                <w:szCs w:val="16"/>
                <w:color w:val="auto"/>
              </w:rPr>
              <w:t>(10,646)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(802)</w:t>
            </w:r>
          </w:p>
        </w:tc>
        <w:tc>
          <w:tcPr>
            <w:tcW w:w="0" w:type="dxa"/>
            <w:vAlign w:val="bottom"/>
          </w:tcPr>
          <w:p>
            <w:pPr>
              <w:spacing w:after="0"/>
              <w:rPr>
                <w:sz w:val="1"/>
                <w:szCs w:val="1"/>
                <w:color w:val="auto"/>
              </w:rPr>
            </w:pPr>
          </w:p>
        </w:tc>
      </w:tr>
      <w:tr>
        <w:trPr>
          <w:trHeight w:val="187"/>
        </w:trPr>
        <w:tc>
          <w:tcPr>
            <w:tcW w:w="8300" w:type="dxa"/>
            <w:vAlign w:val="bottom"/>
          </w:tcPr>
          <w:p>
            <w:pPr>
              <w:ind w:left="380"/>
              <w:spacing w:after="0"/>
              <w:rPr>
                <w:sz w:val="20"/>
                <w:szCs w:val="20"/>
                <w:color w:val="auto"/>
              </w:rPr>
            </w:pPr>
            <w:r>
              <w:rPr>
                <w:rFonts w:ascii="Arial" w:cs="Arial" w:eastAsia="Arial" w:hAnsi="Arial"/>
                <w:sz w:val="16"/>
                <w:szCs w:val="16"/>
                <w:color w:val="auto"/>
              </w:rPr>
              <w:t>Current and noncurrent receivables, net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(869)</w:t>
            </w:r>
          </w:p>
        </w:tc>
        <w:tc>
          <w:tcPr>
            <w:tcW w:w="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Film and television costs, net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(197)</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(395)</w:t>
            </w: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360" w:type="dxa"/>
            <w:vAlign w:val="bottom"/>
          </w:tcPr>
          <w:p>
            <w:pPr>
              <w:jc w:val="right"/>
              <w:spacing w:after="0"/>
              <w:rPr>
                <w:sz w:val="20"/>
                <w:szCs w:val="20"/>
                <w:color w:val="auto"/>
              </w:rPr>
            </w:pPr>
            <w:r>
              <w:rPr>
                <w:rFonts w:ascii="Arial" w:cs="Arial" w:eastAsia="Arial" w:hAnsi="Arial"/>
                <w:sz w:val="16"/>
                <w:szCs w:val="16"/>
                <w:color w:val="auto"/>
              </w:rPr>
              <w:t>173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(394)</w:t>
            </w:r>
          </w:p>
        </w:tc>
        <w:tc>
          <w:tcPr>
            <w:tcW w:w="0" w:type="dxa"/>
            <w:vAlign w:val="bottom"/>
          </w:tcPr>
          <w:p>
            <w:pPr>
              <w:spacing w:after="0"/>
              <w:rPr>
                <w:sz w:val="1"/>
                <w:szCs w:val="1"/>
                <w:color w:val="auto"/>
              </w:rPr>
            </w:pPr>
          </w:p>
        </w:tc>
      </w:tr>
      <w:tr>
        <w:trPr>
          <w:trHeight w:val="209"/>
        </w:trPr>
        <w:tc>
          <w:tcPr>
            <w:tcW w:w="8300" w:type="dxa"/>
            <w:vAlign w:val="bottom"/>
          </w:tcPr>
          <w:p>
            <w:pPr>
              <w:ind w:left="380"/>
              <w:spacing w:after="0"/>
              <w:rPr>
                <w:sz w:val="20"/>
                <w:szCs w:val="20"/>
                <w:color w:val="auto"/>
              </w:rPr>
            </w:pPr>
            <w:r>
              <w:rPr>
                <w:rFonts w:ascii="Arial" w:cs="Arial" w:eastAsia="Arial" w:hAnsi="Arial"/>
                <w:sz w:val="16"/>
                <w:szCs w:val="16"/>
                <w:color w:val="auto"/>
              </w:rPr>
              <w:t>Other operating assets and liabilities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(639)</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21,261</w:t>
            </w:r>
          </w:p>
        </w:tc>
        <w:tc>
          <w:tcPr>
            <w:tcW w:w="2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(9,774)</w:t>
            </w:r>
          </w:p>
        </w:tc>
        <w:tc>
          <w:tcPr>
            <w:tcW w:w="0" w:type="dxa"/>
            <w:vAlign w:val="bottom"/>
          </w:tcPr>
          <w:p>
            <w:pPr>
              <w:spacing w:after="0"/>
              <w:rPr>
                <w:sz w:val="1"/>
                <w:szCs w:val="1"/>
                <w:color w:val="auto"/>
              </w:rPr>
            </w:pPr>
          </w:p>
        </w:tc>
      </w:tr>
      <w:tr>
        <w:trPr>
          <w:trHeight w:val="187"/>
        </w:trPr>
        <w:tc>
          <w:tcPr>
            <w:tcW w:w="830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1360" w:type="dxa"/>
            <w:vAlign w:val="bottom"/>
          </w:tcPr>
          <w:p>
            <w:pPr>
              <w:jc w:val="right"/>
              <w:spacing w:after="0"/>
              <w:rPr>
                <w:sz w:val="20"/>
                <w:szCs w:val="20"/>
                <w:color w:val="auto"/>
              </w:rPr>
            </w:pPr>
            <w:r>
              <w:rPr>
                <w:rFonts w:ascii="Arial" w:cs="Arial" w:eastAsia="Arial" w:hAnsi="Arial"/>
                <w:sz w:val="16"/>
                <w:szCs w:val="16"/>
                <w:color w:val="auto"/>
              </w:rPr>
              <w:t>(9,550)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Cash paid for intangible assets</w:t>
            </w:r>
          </w:p>
        </w:tc>
        <w:tc>
          <w:tcPr>
            <w:tcW w:w="1360" w:type="dxa"/>
            <w:vAlign w:val="bottom"/>
          </w:tcPr>
          <w:p>
            <w:pPr>
              <w:jc w:val="right"/>
              <w:spacing w:after="0"/>
              <w:rPr>
                <w:sz w:val="20"/>
                <w:szCs w:val="20"/>
                <w:color w:val="auto"/>
              </w:rPr>
            </w:pPr>
            <w:r>
              <w:rPr>
                <w:rFonts w:ascii="Arial" w:cs="Arial" w:eastAsia="Arial" w:hAnsi="Arial"/>
                <w:sz w:val="16"/>
                <w:szCs w:val="16"/>
                <w:color w:val="auto"/>
              </w:rPr>
              <w:t>(1,605)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(1,935)</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and construction of real estate properties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(418)</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(143)</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Construction of Universal Beijing Resort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(71)</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(460)</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net of cash acquired</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(532)</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(38,219)</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sales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Purchases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(2,292)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(1,257)</w:t>
            </w:r>
          </w:p>
        </w:tc>
        <w:tc>
          <w:tcPr>
            <w:tcW w:w="0" w:type="dxa"/>
            <w:vAlign w:val="bottom"/>
          </w:tcPr>
          <w:p>
            <w:pPr>
              <w:spacing w:after="0"/>
              <w:rPr>
                <w:sz w:val="1"/>
                <w:szCs w:val="1"/>
                <w:color w:val="auto"/>
              </w:rPr>
            </w:pPr>
          </w:p>
        </w:tc>
      </w:tr>
      <w:tr>
        <w:trPr>
          <w:trHeight w:val="209"/>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(13,533)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(50,854)</w:t>
            </w:r>
          </w:p>
        </w:tc>
        <w:tc>
          <w:tcPr>
            <w:tcW w:w="0" w:type="dxa"/>
            <w:vAlign w:val="bottom"/>
          </w:tcPr>
          <w:p>
            <w:pPr>
              <w:spacing w:after="0"/>
              <w:rPr>
                <w:sz w:val="1"/>
                <w:szCs w:val="1"/>
                <w:color w:val="auto"/>
              </w:rPr>
            </w:pPr>
          </w:p>
        </w:tc>
      </w:tr>
      <w:tr>
        <w:trPr>
          <w:trHeight w:val="381"/>
        </w:trPr>
        <w:tc>
          <w:tcPr>
            <w:tcW w:w="8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379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(repayments of) short-term borrowings, net</w:t>
            </w:r>
          </w:p>
        </w:tc>
        <w:tc>
          <w:tcPr>
            <w:tcW w:w="1360" w:type="dxa"/>
            <w:vAlign w:val="bottom"/>
          </w:tcPr>
          <w:p>
            <w:pPr>
              <w:jc w:val="right"/>
              <w:spacing w:after="0"/>
              <w:rPr>
                <w:sz w:val="20"/>
                <w:szCs w:val="20"/>
                <w:color w:val="auto"/>
              </w:rPr>
            </w:pPr>
            <w:r>
              <w:rPr>
                <w:rFonts w:ascii="Arial" w:cs="Arial" w:eastAsia="Arial" w:hAnsi="Arial"/>
                <w:sz w:val="16"/>
                <w:szCs w:val="16"/>
                <w:color w:val="auto"/>
              </w:rPr>
              <w:t>(1,905)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1360" w:type="dxa"/>
            <w:vAlign w:val="bottom"/>
          </w:tcPr>
          <w:p>
            <w:pPr>
              <w:jc w:val="right"/>
              <w:spacing w:after="0"/>
              <w:rPr>
                <w:sz w:val="20"/>
                <w:szCs w:val="20"/>
                <w:color w:val="auto"/>
              </w:rPr>
            </w:pPr>
            <w:r>
              <w:rPr>
                <w:rFonts w:ascii="Arial" w:cs="Arial" w:eastAsia="Arial" w:hAnsi="Arial"/>
                <w:sz w:val="16"/>
                <w:szCs w:val="16"/>
                <w:color w:val="auto"/>
              </w:rPr>
              <w:t>11,466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44,781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and repayments of debt</w:t>
            </w:r>
          </w:p>
        </w:tc>
        <w:tc>
          <w:tcPr>
            <w:tcW w:w="1360" w:type="dxa"/>
            <w:vAlign w:val="bottom"/>
          </w:tcPr>
          <w:p>
            <w:pPr>
              <w:jc w:val="right"/>
              <w:spacing w:after="0"/>
              <w:rPr>
                <w:sz w:val="20"/>
                <w:szCs w:val="20"/>
                <w:color w:val="auto"/>
              </w:rPr>
            </w:pPr>
            <w:r>
              <w:rPr>
                <w:rFonts w:ascii="Arial" w:cs="Arial" w:eastAsia="Arial" w:hAnsi="Arial"/>
                <w:sz w:val="16"/>
                <w:szCs w:val="16"/>
                <w:color w:val="auto"/>
              </w:rPr>
              <w:t>(6,364)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(8,798)</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360" w:type="dxa"/>
            <w:vAlign w:val="bottom"/>
          </w:tcPr>
          <w:p>
            <w:pPr>
              <w:jc w:val="right"/>
              <w:spacing w:after="0"/>
              <w:rPr>
                <w:sz w:val="20"/>
                <w:szCs w:val="20"/>
                <w:color w:val="auto"/>
              </w:rPr>
            </w:pPr>
            <w:r>
              <w:rPr>
                <w:rFonts w:ascii="Arial" w:cs="Arial" w:eastAsia="Arial" w:hAnsi="Arial"/>
                <w:sz w:val="16"/>
                <w:szCs w:val="16"/>
                <w:color w:val="auto"/>
              </w:rPr>
              <w:t>(5,435)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(5,320)</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1360" w:type="dxa"/>
            <w:vAlign w:val="bottom"/>
          </w:tcPr>
          <w:p>
            <w:pPr>
              <w:jc w:val="right"/>
              <w:spacing w:after="0"/>
              <w:rPr>
                <w:sz w:val="20"/>
                <w:szCs w:val="20"/>
                <w:color w:val="auto"/>
              </w:rPr>
            </w:pPr>
            <w:r>
              <w:rPr>
                <w:rFonts w:ascii="Arial" w:cs="Arial" w:eastAsia="Arial" w:hAnsi="Arial"/>
                <w:sz w:val="16"/>
                <w:szCs w:val="16"/>
                <w:color w:val="auto"/>
              </w:rPr>
              <w:t>(2,883)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(3,352)</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Purchase of Universal Studios Japan noncontrolling interests</w:t>
            </w:r>
          </w:p>
        </w:tc>
        <w:tc>
          <w:tcPr>
            <w:tcW w:w="1360" w:type="dxa"/>
            <w:vAlign w:val="bottom"/>
          </w:tcPr>
          <w:p>
            <w:pPr>
              <w:jc w:val="right"/>
              <w:spacing w:after="0"/>
              <w:rPr>
                <w:sz w:val="20"/>
                <w:szCs w:val="20"/>
                <w:color w:val="auto"/>
              </w:rPr>
            </w:pPr>
            <w:r>
              <w:rPr>
                <w:rFonts w:ascii="Arial" w:cs="Arial" w:eastAsia="Arial" w:hAnsi="Arial"/>
                <w:sz w:val="16"/>
                <w:szCs w:val="16"/>
                <w:color w:val="auto"/>
              </w:rPr>
              <w:t>(2,299)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(252)</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(277)</w:t>
            </w:r>
          </w:p>
        </w:tc>
        <w:tc>
          <w:tcPr>
            <w:tcW w:w="0" w:type="dxa"/>
            <w:vAlign w:val="bottom"/>
          </w:tcPr>
          <w:p>
            <w:pPr>
              <w:spacing w:after="0"/>
              <w:rPr>
                <w:sz w:val="1"/>
                <w:szCs w:val="1"/>
                <w:color w:val="auto"/>
              </w:rPr>
            </w:pPr>
          </w:p>
        </w:tc>
      </w:tr>
      <w:tr>
        <w:trPr>
          <w:trHeight w:val="209"/>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(273)</w:t>
            </w: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(7,572)</w:t>
            </w:r>
          </w:p>
        </w:tc>
        <w:tc>
          <w:tcPr>
            <w:tcW w:w="2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210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(245)</w:t>
            </w:r>
          </w:p>
        </w:tc>
        <w:tc>
          <w:tcPr>
            <w:tcW w:w="0" w:type="dxa"/>
            <w:vAlign w:val="bottom"/>
          </w:tcPr>
          <w:p>
            <w:pPr>
              <w:spacing w:after="0"/>
              <w:rPr>
                <w:sz w:val="1"/>
                <w:szCs w:val="1"/>
                <w:color w:val="auto"/>
              </w:rPr>
            </w:pPr>
          </w:p>
        </w:tc>
      </w:tr>
      <w:tr>
        <w:trPr>
          <w:trHeight w:val="405"/>
        </w:trPr>
        <w:tc>
          <w:tcPr>
            <w:tcW w:w="83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360" w:type="dxa"/>
            <w:vAlign w:val="bottom"/>
          </w:tcPr>
          <w:p>
            <w:pPr>
              <w:jc w:val="right"/>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3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5" w:right="19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6409055</wp:posOffset>
            </wp:positionH>
            <wp:positionV relativeFrom="page">
              <wp:posOffset>217805</wp:posOffset>
            </wp:positionV>
            <wp:extent cx="995045"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95045" cy="386080"/>
                    </a:xfrm>
                    <a:prstGeom prst="rect">
                      <a:avLst/>
                    </a:prstGeom>
                    <a:noFill/>
                  </pic:spPr>
                </pic:pic>
              </a:graphicData>
            </a:graphic>
          </wp:anchor>
        </w:drawing>
        <w:t>TABLE 3</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(in millions)</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$3,428</w:t>
            </w: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8,834</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1,613</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80" w:type="dxa"/>
            <w:vAlign w:val="bottom"/>
          </w:tcPr>
          <w:p>
            <w:pPr>
              <w:ind w:left="340"/>
              <w:spacing w:after="0" w:line="205" w:lineRule="exact"/>
              <w:rPr>
                <w:sz w:val="20"/>
                <w:szCs w:val="20"/>
                <w:color w:val="auto"/>
              </w:rPr>
            </w:pPr>
            <w:r>
              <w:rPr>
                <w:rFonts w:ascii="Arial" w:cs="Arial" w:eastAsia="Arial" w:hAnsi="Arial"/>
                <w:sz w:val="18"/>
                <w:szCs w:val="18"/>
                <w:color w:val="auto"/>
              </w:rPr>
              <w:t>Other current assets</w:t>
            </w:r>
          </w:p>
        </w:tc>
        <w:tc>
          <w:tcPr>
            <w:tcW w:w="1480" w:type="dxa"/>
            <w:vAlign w:val="bottom"/>
          </w:tcPr>
          <w:p>
            <w:pPr>
              <w:jc w:val="right"/>
              <w:spacing w:after="0" w:line="205" w:lineRule="exact"/>
              <w:rPr>
                <w:sz w:val="20"/>
                <w:szCs w:val="20"/>
                <w:color w:val="auto"/>
              </w:rPr>
            </w:pPr>
            <w:r>
              <w:rPr>
                <w:rFonts w:ascii="Arial" w:cs="Arial" w:eastAsia="Arial" w:hAnsi="Arial"/>
                <w:sz w:val="18"/>
                <w:szCs w:val="18"/>
                <w:color w:val="auto"/>
              </w:rPr>
              <w:t>2,468</w:t>
            </w:r>
          </w:p>
        </w:tc>
        <w:tc>
          <w:tcPr>
            <w:tcW w:w="160" w:type="dxa"/>
            <w:vAlign w:val="bottom"/>
          </w:tcPr>
          <w:p>
            <w:pPr>
              <w:spacing w:after="0"/>
              <w:rPr>
                <w:sz w:val="17"/>
                <w:szCs w:val="17"/>
                <w:color w:val="auto"/>
              </w:rPr>
            </w:pPr>
          </w:p>
        </w:tc>
        <w:tc>
          <w:tcPr>
            <w:tcW w:w="1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3,184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460"/>
              <w:spacing w:after="0"/>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16,343</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21,848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1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7,087</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7,837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6,931</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7,883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38,470</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44,437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36,780</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66,154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18,133</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38,358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1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$251,684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$6,908</w:t>
            </w: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1,687</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6,620</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80" w:type="dxa"/>
            <w:vAlign w:val="bottom"/>
          </w:tcPr>
          <w:p>
            <w:pPr>
              <w:ind w:left="340"/>
              <w:spacing w:after="0" w:line="205" w:lineRule="exact"/>
              <w:rPr>
                <w:sz w:val="20"/>
                <w:szCs w:val="20"/>
                <w:color w:val="auto"/>
              </w:rPr>
            </w:pPr>
            <w:r>
              <w:rPr>
                <w:rFonts w:ascii="Arial" w:cs="Arial" w:eastAsia="Arial" w:hAnsi="Arial"/>
                <w:sz w:val="18"/>
                <w:szCs w:val="18"/>
                <w:color w:val="auto"/>
              </w:rPr>
              <w:t>Current portion of long-term debt</w:t>
            </w:r>
          </w:p>
        </w:tc>
        <w:tc>
          <w:tcPr>
            <w:tcW w:w="1480" w:type="dxa"/>
            <w:vAlign w:val="bottom"/>
          </w:tcPr>
          <w:p>
            <w:pPr>
              <w:jc w:val="right"/>
              <w:spacing w:after="0" w:line="205" w:lineRule="exact"/>
              <w:rPr>
                <w:sz w:val="20"/>
                <w:szCs w:val="20"/>
                <w:color w:val="auto"/>
              </w:rPr>
            </w:pPr>
            <w:r>
              <w:rPr>
                <w:rFonts w:ascii="Arial" w:cs="Arial" w:eastAsia="Arial" w:hAnsi="Arial"/>
                <w:sz w:val="18"/>
                <w:szCs w:val="18"/>
                <w:color w:val="auto"/>
              </w:rPr>
              <w:t>5,134</w:t>
            </w:r>
          </w:p>
        </w:tc>
        <w:tc>
          <w:tcPr>
            <w:tcW w:w="160" w:type="dxa"/>
            <w:vAlign w:val="bottom"/>
          </w:tcPr>
          <w:p>
            <w:pPr>
              <w:spacing w:after="0"/>
              <w:rPr>
                <w:sz w:val="17"/>
                <w:szCs w:val="17"/>
                <w:color w:val="auto"/>
              </w:rPr>
            </w:pPr>
          </w:p>
        </w:tc>
        <w:tc>
          <w:tcPr>
            <w:tcW w:w="1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4,398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460"/>
              <w:spacing w:after="0"/>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21,993</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27,603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59,422</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107,345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24,259</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27,589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10,972</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15,329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71,613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68,616</w:t>
            </w: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80" w:type="dxa"/>
            <w:vAlign w:val="bottom"/>
          </w:tcPr>
          <w:p>
            <w:pPr>
              <w:ind w:left="340"/>
              <w:spacing w:after="0" w:line="205" w:lineRule="exact"/>
              <w:rPr>
                <w:sz w:val="20"/>
                <w:szCs w:val="20"/>
                <w:color w:val="auto"/>
              </w:rPr>
            </w:pPr>
            <w:r>
              <w:rPr>
                <w:rFonts w:ascii="Arial" w:cs="Arial" w:eastAsia="Arial" w:hAnsi="Arial"/>
                <w:sz w:val="18"/>
                <w:szCs w:val="18"/>
                <w:color w:val="auto"/>
              </w:rPr>
              <w:t>Noncontrolling interests</w:t>
            </w:r>
          </w:p>
        </w:tc>
        <w:tc>
          <w:tcPr>
            <w:tcW w:w="1480" w:type="dxa"/>
            <w:vAlign w:val="bottom"/>
          </w:tcPr>
          <w:p>
            <w:pPr>
              <w:jc w:val="right"/>
              <w:spacing w:after="0" w:line="205" w:lineRule="exact"/>
              <w:rPr>
                <w:sz w:val="20"/>
                <w:szCs w:val="20"/>
                <w:color w:val="auto"/>
              </w:rPr>
            </w:pPr>
            <w:r>
              <w:rPr>
                <w:rFonts w:ascii="Arial" w:cs="Arial" w:eastAsia="Arial" w:hAnsi="Arial"/>
                <w:sz w:val="18"/>
                <w:szCs w:val="18"/>
                <w:color w:val="auto"/>
              </w:rPr>
              <w:t>843</w:t>
            </w:r>
          </w:p>
        </w:tc>
        <w:tc>
          <w:tcPr>
            <w:tcW w:w="160" w:type="dxa"/>
            <w:vAlign w:val="bottom"/>
          </w:tcPr>
          <w:p>
            <w:pPr>
              <w:spacing w:after="0"/>
              <w:rPr>
                <w:sz w:val="17"/>
                <w:szCs w:val="17"/>
                <w:color w:val="auto"/>
              </w:rPr>
            </w:pPr>
          </w:p>
        </w:tc>
        <w:tc>
          <w:tcPr>
            <w:tcW w:w="15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889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460"/>
              <w:spacing w:after="0"/>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69,459</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72,502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$251,684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640"/>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1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5" w:right="199" w:bottom="1440" w:gutter="0" w:footer="0" w:header="0"/>
        </w:sectPr>
      </w:pPr>
    </w:p>
    <w:bookmarkStart w:id="15" w:name="page16"/>
    <w:bookmarkEnd w:id="15"/>
    <w:p>
      <w:pPr>
        <w:ind w:left="8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-116840</wp:posOffset>
            </wp:positionV>
            <wp:extent cx="1089025"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736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73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r>
        <w:trPr>
          <w:trHeight w:val="181"/>
        </w:trPr>
        <w:tc>
          <w:tcPr>
            <w:tcW w:w="736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spacing w:after="0"/>
              <w:rPr>
                <w:sz w:val="20"/>
                <w:szCs w:val="20"/>
                <w:color w:val="auto"/>
              </w:rPr>
            </w:pPr>
            <w:r>
              <w:rPr>
                <w:rFonts w:ascii="Arial" w:cs="Arial" w:eastAsia="Arial" w:hAnsi="Arial"/>
                <w:sz w:val="14"/>
                <w:szCs w:val="14"/>
                <w:color w:val="auto"/>
              </w:rPr>
              <w:t>$14,999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$2,511</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$22,735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$11,731</w:t>
            </w:r>
          </w:p>
        </w:tc>
      </w:tr>
      <w:tr>
        <w:trPr>
          <w:trHeight w:val="189"/>
        </w:trPr>
        <w:tc>
          <w:tcPr>
            <w:tcW w:w="736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189"/>
        </w:trPr>
        <w:tc>
          <w:tcPr>
            <w:tcW w:w="736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(11,607)</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486</w:t>
            </w: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(7,569)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3,380</w:t>
            </w:r>
          </w:p>
        </w:tc>
      </w:tr>
      <w:tr>
        <w:trPr>
          <w:trHeight w:val="174"/>
        </w:trPr>
        <w:tc>
          <w:tcPr>
            <w:tcW w:w="7360" w:type="dxa"/>
            <w:vAlign w:val="bottom"/>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spacing w:after="0"/>
              <w:rPr>
                <w:sz w:val="20"/>
                <w:szCs w:val="20"/>
                <w:color w:val="auto"/>
              </w:rPr>
            </w:pPr>
            <w:r>
              <w:rPr>
                <w:rFonts w:ascii="Arial" w:cs="Arial" w:eastAsia="Arial" w:hAnsi="Arial"/>
                <w:sz w:val="14"/>
                <w:szCs w:val="14"/>
                <w:color w:val="auto"/>
              </w:rPr>
              <w:t>807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3,086</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3,542</w:t>
            </w:r>
          </w:p>
        </w:tc>
      </w:tr>
      <w:tr>
        <w:trPr>
          <w:trHeight w:val="205"/>
        </w:trPr>
        <w:tc>
          <w:tcPr>
            <w:tcW w:w="7360" w:type="dxa"/>
            <w:vAlign w:val="bottom"/>
          </w:tcPr>
          <w:p>
            <w:pPr>
              <w:spacing w:after="0" w:line="205" w:lineRule="exact"/>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1"/>
                <w:szCs w:val="21"/>
                <w:color w:val="auto"/>
                <w:vertAlign w:val="superscript"/>
              </w:rPr>
              <w:t>(1)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317</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225</w:t>
            </w:r>
          </w:p>
        </w:tc>
      </w:tr>
      <w:tr>
        <w:trPr>
          <w:trHeight w:val="174"/>
        </w:trPr>
        <w:tc>
          <w:tcPr>
            <w:tcW w:w="7360" w:type="dxa"/>
            <w:vAlign w:val="bottom"/>
          </w:tcPr>
          <w:p>
            <w:pPr>
              <w:spacing w:after="0"/>
              <w:rPr>
                <w:sz w:val="20"/>
                <w:szCs w:val="20"/>
                <w:color w:val="auto"/>
              </w:rPr>
            </w:pPr>
            <w:r>
              <w:rPr>
                <w:rFonts w:ascii="Arial" w:cs="Arial" w:eastAsia="Arial" w:hAnsi="Arial"/>
                <w:sz w:val="14"/>
                <w:szCs w:val="14"/>
                <w:color w:val="auto"/>
              </w:rPr>
              <w:t>Depreciation and amortization expense and other operating gains</w:t>
            </w:r>
          </w:p>
        </w:tc>
        <w:tc>
          <w:tcPr>
            <w:tcW w:w="880" w:type="dxa"/>
            <w:vAlign w:val="bottom"/>
          </w:tcPr>
          <w:p>
            <w:pPr>
              <w:jc w:val="right"/>
              <w:spacing w:after="0"/>
              <w:rPr>
                <w:sz w:val="20"/>
                <w:szCs w:val="20"/>
                <w:color w:val="auto"/>
              </w:rPr>
            </w:pPr>
            <w:r>
              <w:rPr>
                <w:rFonts w:ascii="Arial" w:cs="Arial" w:eastAsia="Arial" w:hAnsi="Arial"/>
                <w:sz w:val="14"/>
                <w:szCs w:val="14"/>
                <w:color w:val="auto"/>
              </w:rPr>
              <w:t>2,609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3,197</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9,688</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10,676</w:t>
            </w:r>
          </w:p>
        </w:tc>
      </w:tr>
      <w:tr>
        <w:trPr>
          <w:trHeight w:val="206"/>
        </w:trPr>
        <w:tc>
          <w:tcPr>
            <w:tcW w:w="7360" w:type="dxa"/>
            <w:vAlign w:val="bottom"/>
          </w:tcPr>
          <w:p>
            <w:pPr>
              <w:spacing w:after="0" w:line="207"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1"/>
                <w:szCs w:val="21"/>
                <w:color w:val="auto"/>
                <w:vertAlign w:val="superscript"/>
              </w:rPr>
              <w:t>(2)</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480</w:t>
            </w:r>
          </w:p>
        </w:tc>
      </w:tr>
      <w:tr>
        <w:trPr>
          <w:trHeight w:val="183"/>
        </w:trPr>
        <w:tc>
          <w:tcPr>
            <w:tcW w:w="736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$6,738</w:t>
            </w:r>
          </w:p>
        </w:tc>
        <w:tc>
          <w:tcPr>
            <w:tcW w:w="1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$8,191</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$27,956</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$30,165</w:t>
            </w:r>
          </w:p>
        </w:tc>
      </w:tr>
      <w:tr>
        <w:trPr>
          <w:trHeight w:val="20"/>
        </w:trPr>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w:t>
      </w:r>
      <w:r>
        <w:rPr>
          <w:rFonts w:ascii="Arial" w:cs="Arial" w:eastAsia="Arial" w:hAnsi="Arial"/>
          <w:sz w:val="10"/>
          <w:szCs w:val="10"/>
          <w:b w:val="1"/>
          <w:bCs w:val="1"/>
          <w:color w:val="828282"/>
        </w:rPr>
        <w:t>3</w:t>
      </w:r>
      <w:r>
        <w:rPr>
          <w:rFonts w:ascii="Arial" w:cs="Arial" w:eastAsia="Arial" w:hAnsi="Arial"/>
          <w:sz w:val="18"/>
          <w:szCs w:val="18"/>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5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64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280" w:type="dxa"/>
            <w:vAlign w:val="bottom"/>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40" w:type="dxa"/>
            <w:vAlign w:val="bottom"/>
          </w:tcPr>
          <w:p>
            <w:pPr>
              <w:jc w:val="right"/>
              <w:spacing w:after="0"/>
              <w:rPr>
                <w:sz w:val="20"/>
                <w:szCs w:val="20"/>
                <w:color w:val="auto"/>
              </w:rPr>
            </w:pPr>
            <w:r>
              <w:rPr>
                <w:rFonts w:ascii="Arial" w:cs="Arial" w:eastAsia="Arial" w:hAnsi="Arial"/>
                <w:sz w:val="14"/>
                <w:szCs w:val="14"/>
                <w:color w:val="auto"/>
              </w:rPr>
              <w:t>$5,404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$5,790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$21,261</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(2,711)</w:t>
            </w:r>
          </w:p>
        </w:tc>
        <w:tc>
          <w:tcPr>
            <w:tcW w:w="360" w:type="dxa"/>
            <w:vAlign w:val="bottom"/>
          </w:tcPr>
          <w:p>
            <w:pPr>
              <w:spacing w:after="0"/>
              <w:rPr>
                <w:sz w:val="16"/>
                <w:szCs w:val="16"/>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(3,167)</w:t>
            </w:r>
          </w:p>
        </w:tc>
        <w:tc>
          <w:tcPr>
            <w:tcW w:w="2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(9,550)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(9,774)</w:t>
            </w:r>
          </w:p>
        </w:tc>
        <w:tc>
          <w:tcPr>
            <w:tcW w:w="0" w:type="dxa"/>
            <w:vAlign w:val="bottom"/>
          </w:tcPr>
          <w:p>
            <w:pPr>
              <w:spacing w:after="0"/>
              <w:rPr>
                <w:sz w:val="1"/>
                <w:szCs w:val="1"/>
                <w:color w:val="auto"/>
              </w:rPr>
            </w:pPr>
          </w:p>
        </w:tc>
      </w:tr>
      <w:tr>
        <w:trPr>
          <w:trHeight w:val="174"/>
        </w:trPr>
        <w:tc>
          <w:tcPr>
            <w:tcW w:w="6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(469)</w:t>
            </w:r>
          </w:p>
        </w:tc>
        <w:tc>
          <w:tcPr>
            <w:tcW w:w="36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(560)</w:t>
            </w:r>
          </w:p>
        </w:tc>
        <w:tc>
          <w:tcPr>
            <w:tcW w:w="2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(1,935)</w:t>
            </w:r>
          </w:p>
        </w:tc>
        <w:tc>
          <w:tcPr>
            <w:tcW w:w="0" w:type="dxa"/>
            <w:vAlign w:val="bottom"/>
          </w:tcPr>
          <w:p>
            <w:pPr>
              <w:spacing w:after="0"/>
              <w:rPr>
                <w:sz w:val="1"/>
                <w:szCs w:val="1"/>
                <w:color w:val="auto"/>
              </w:rPr>
            </w:pPr>
          </w:p>
        </w:tc>
      </w:tr>
      <w:tr>
        <w:trPr>
          <w:trHeight w:val="206"/>
        </w:trPr>
        <w:tc>
          <w:tcPr>
            <w:tcW w:w="6280" w:type="dxa"/>
            <w:vAlign w:val="bottom"/>
          </w:tcPr>
          <w:p>
            <w:pPr>
              <w:spacing w:after="0" w:line="207"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1"/>
                <w:szCs w:val="21"/>
                <w:color w:val="auto"/>
                <w:vertAlign w:val="superscript"/>
              </w:rPr>
              <w:t>(4)</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(325)</w:t>
            </w:r>
          </w:p>
        </w:tc>
        <w:tc>
          <w:tcPr>
            <w:tcW w:w="3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$1,899</w:t>
            </w:r>
          </w:p>
        </w:tc>
        <w:tc>
          <w:tcPr>
            <w:tcW w:w="2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$2,063</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$9,781</w:t>
            </w:r>
          </w:p>
        </w:tc>
        <w:tc>
          <w:tcPr>
            <w:tcW w:w="2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80"/>
              <w:spacing w:after="0"/>
              <w:rPr>
                <w:sz w:val="20"/>
                <w:szCs w:val="20"/>
                <w:color w:val="auto"/>
              </w:rPr>
            </w:pPr>
            <w:r>
              <w:rPr>
                <w:rFonts w:ascii="Arial" w:cs="Arial" w:eastAsia="Arial" w:hAnsi="Arial"/>
                <w:sz w:val="18"/>
                <w:szCs w:val="18"/>
                <w:b w:val="1"/>
                <w:bCs w:val="1"/>
                <w:color w:val="828282"/>
              </w:rPr>
              <w:t>Alternate Presentation of Free Cash Flow</w:t>
            </w:r>
            <w:r>
              <w:rPr>
                <w:rFonts w:ascii="Arial" w:cs="Arial" w:eastAsia="Arial" w:hAnsi="Arial"/>
                <w:sz w:val="10"/>
                <w:szCs w:val="10"/>
                <w:b w:val="1"/>
                <w:bCs w:val="1"/>
                <w:color w:val="828282"/>
              </w:rPr>
              <w:t>3</w:t>
            </w:r>
            <w:r>
              <w:rPr>
                <w:rFonts w:ascii="Arial" w:cs="Arial" w:eastAsia="Arial" w:hAnsi="Arial"/>
                <w:sz w:val="18"/>
                <w:szCs w:val="18"/>
                <w:b w:val="1"/>
                <w:bCs w:val="1"/>
                <w:color w:val="828282"/>
              </w:rPr>
              <w:t xml:space="preserve"> (Unaudited)</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280" w:type="dxa"/>
            <w:vAlign w:val="bottom"/>
            <w:tcBorders>
              <w:bottom w:val="single" w:sz="8" w:color="0050B9"/>
            </w:tcBorders>
            <w:vMerge w:val="continue"/>
          </w:tcPr>
          <w:p>
            <w:pPr>
              <w:spacing w:after="0"/>
              <w:rPr>
                <w:sz w:val="24"/>
                <w:szCs w:val="24"/>
                <w:color w:val="auto"/>
              </w:rPr>
            </w:pPr>
          </w:p>
        </w:tc>
        <w:tc>
          <w:tcPr>
            <w:tcW w:w="1040" w:type="dxa"/>
            <w:vAlign w:val="bottom"/>
            <w:tcBorders>
              <w:bottom w:val="single" w:sz="8" w:color="0050B9"/>
            </w:tcBorders>
          </w:tcPr>
          <w:p>
            <w:pPr>
              <w:spacing w:after="0"/>
              <w:rPr>
                <w:sz w:val="24"/>
                <w:szCs w:val="24"/>
                <w:color w:val="auto"/>
              </w:rPr>
            </w:pPr>
          </w:p>
        </w:tc>
        <w:tc>
          <w:tcPr>
            <w:tcW w:w="240" w:type="dxa"/>
            <w:vAlign w:val="bottom"/>
            <w:tcBorders>
              <w:bottom w:val="single" w:sz="8" w:color="0050B9"/>
            </w:tcBorders>
          </w:tcPr>
          <w:p>
            <w:pPr>
              <w:spacing w:after="0"/>
              <w:rPr>
                <w:sz w:val="24"/>
                <w:szCs w:val="24"/>
                <w:color w:val="auto"/>
              </w:rPr>
            </w:pPr>
          </w:p>
        </w:tc>
        <w:tc>
          <w:tcPr>
            <w:tcW w:w="360" w:type="dxa"/>
            <w:vAlign w:val="bottom"/>
            <w:tcBorders>
              <w:bottom w:val="single" w:sz="8" w:color="0050B9"/>
            </w:tcBorders>
          </w:tcPr>
          <w:p>
            <w:pPr>
              <w:spacing w:after="0"/>
              <w:rPr>
                <w:sz w:val="24"/>
                <w:szCs w:val="24"/>
                <w:color w:val="auto"/>
              </w:rPr>
            </w:pPr>
          </w:p>
        </w:tc>
        <w:tc>
          <w:tcPr>
            <w:tcW w:w="680" w:type="dxa"/>
            <w:vAlign w:val="bottom"/>
            <w:tcBorders>
              <w:bottom w:val="single" w:sz="8" w:color="0050B9"/>
            </w:tcBorders>
          </w:tcPr>
          <w:p>
            <w:pPr>
              <w:spacing w:after="0"/>
              <w:rPr>
                <w:sz w:val="24"/>
                <w:szCs w:val="24"/>
                <w:color w:val="auto"/>
              </w:rPr>
            </w:pPr>
          </w:p>
        </w:tc>
        <w:tc>
          <w:tcPr>
            <w:tcW w:w="240" w:type="dxa"/>
            <w:vAlign w:val="bottom"/>
            <w:tcBorders>
              <w:bottom w:val="single" w:sz="8" w:color="0050B9"/>
            </w:tcBorders>
          </w:tcPr>
          <w:p>
            <w:pPr>
              <w:spacing w:after="0"/>
              <w:rPr>
                <w:sz w:val="24"/>
                <w:szCs w:val="24"/>
                <w:color w:val="auto"/>
              </w:rPr>
            </w:pPr>
          </w:p>
        </w:tc>
        <w:tc>
          <w:tcPr>
            <w:tcW w:w="200" w:type="dxa"/>
            <w:vAlign w:val="bottom"/>
            <w:tcBorders>
              <w:bottom w:val="single" w:sz="8" w:color="0050B9"/>
            </w:tcBorders>
          </w:tcPr>
          <w:p>
            <w:pPr>
              <w:spacing w:after="0"/>
              <w:rPr>
                <w:sz w:val="24"/>
                <w:szCs w:val="24"/>
                <w:color w:val="auto"/>
              </w:rPr>
            </w:pPr>
          </w:p>
        </w:tc>
        <w:tc>
          <w:tcPr>
            <w:tcW w:w="1020" w:type="dxa"/>
            <w:vAlign w:val="bottom"/>
            <w:tcBorders>
              <w:bottom w:val="single" w:sz="8" w:color="0050B9"/>
            </w:tcBorders>
          </w:tcPr>
          <w:p>
            <w:pPr>
              <w:spacing w:after="0"/>
              <w:rPr>
                <w:sz w:val="24"/>
                <w:szCs w:val="24"/>
                <w:color w:val="auto"/>
              </w:rPr>
            </w:pPr>
          </w:p>
        </w:tc>
        <w:tc>
          <w:tcPr>
            <w:tcW w:w="220" w:type="dxa"/>
            <w:vAlign w:val="bottom"/>
            <w:tcBorders>
              <w:bottom w:val="single" w:sz="8" w:color="0050B9"/>
            </w:tcBorders>
          </w:tcPr>
          <w:p>
            <w:pPr>
              <w:spacing w:after="0"/>
              <w:rPr>
                <w:sz w:val="24"/>
                <w:szCs w:val="24"/>
                <w:color w:val="auto"/>
              </w:rPr>
            </w:pPr>
          </w:p>
        </w:tc>
        <w:tc>
          <w:tcPr>
            <w:tcW w:w="104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2760" w:type="dxa"/>
            <w:vAlign w:val="bottom"/>
            <w:gridSpan w:val="6"/>
          </w:tcPr>
          <w:p>
            <w:pPr>
              <w:spacing w:after="0"/>
              <w:rPr>
                <w:sz w:val="17"/>
                <w:szCs w:val="17"/>
                <w:color w:val="auto"/>
              </w:rPr>
            </w:pPr>
          </w:p>
        </w:tc>
        <w:tc>
          <w:tcPr>
            <w:tcW w:w="2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25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164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tcPr>
          <w:p>
            <w:pPr>
              <w:jc w:val="right"/>
              <w:spacing w:after="0"/>
              <w:rPr>
                <w:sz w:val="20"/>
                <w:szCs w:val="20"/>
                <w:color w:val="auto"/>
              </w:rPr>
            </w:pPr>
            <w:r>
              <w:rPr>
                <w:rFonts w:ascii="Arial" w:cs="Arial" w:eastAsia="Arial" w:hAnsi="Arial"/>
                <w:sz w:val="14"/>
                <w:szCs w:val="14"/>
                <w:color w:val="auto"/>
              </w:rPr>
              <w:t>$6,738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$8,191</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$27,956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(2,711)</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(3,167)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(9,550)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(9,774)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(469)</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(560)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(1,935)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interest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(543)</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(657)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(2,820)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(2,897)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(642)</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(822)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(4,057)</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(2,355)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(367)</w:t>
            </w: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(802)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(1,313)</w:t>
            </w:r>
          </w:p>
        </w:tc>
        <w:tc>
          <w:tcPr>
            <w:tcW w:w="0" w:type="dxa"/>
            <w:vAlign w:val="bottom"/>
          </w:tcPr>
          <w:p>
            <w:pPr>
              <w:spacing w:after="0"/>
              <w:rPr>
                <w:sz w:val="1"/>
                <w:szCs w:val="1"/>
                <w:color w:val="auto"/>
              </w:rPr>
            </w:pPr>
          </w:p>
        </w:tc>
      </w:tr>
      <w:tr>
        <w:trPr>
          <w:trHeight w:val="214"/>
        </w:trPr>
        <w:tc>
          <w:tcPr>
            <w:tcW w:w="628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157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line="216"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21"/>
                <w:szCs w:val="21"/>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(339)</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(129)</w:t>
            </w:r>
          </w:p>
        </w:tc>
        <w:tc>
          <w:tcPr>
            <w:tcW w:w="0" w:type="dxa"/>
            <w:vAlign w:val="bottom"/>
          </w:tcPr>
          <w:p>
            <w:pPr>
              <w:spacing w:after="0"/>
              <w:rPr>
                <w:sz w:val="1"/>
                <w:szCs w:val="1"/>
                <w:color w:val="auto"/>
              </w:rPr>
            </w:pPr>
          </w:p>
        </w:tc>
      </w:tr>
      <w:tr>
        <w:trPr>
          <w:trHeight w:val="220"/>
        </w:trPr>
        <w:tc>
          <w:tcPr>
            <w:tcW w:w="6280" w:type="dxa"/>
            <w:vAlign w:val="bottom"/>
          </w:tcPr>
          <w:p>
            <w:pPr>
              <w:spacing w:after="0" w:line="220"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1"/>
                <w:szCs w:val="21"/>
                <w:color w:val="auto"/>
                <w:vertAlign w:val="superscript"/>
              </w:rPr>
              <w:t>(4)</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(325)</w:t>
            </w:r>
          </w:p>
        </w:tc>
        <w:tc>
          <w:tcPr>
            <w:tcW w:w="3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$1,899</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$2,063</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$9,781</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60" w:hanging="252"/>
        <w:spacing w:after="0" w:line="291" w:lineRule="auto"/>
        <w:tabs>
          <w:tab w:leader="none" w:pos="298"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136" w:lineRule="exact"/>
        <w:rPr>
          <w:rFonts w:ascii="Arial" w:cs="Arial" w:eastAsia="Arial" w:hAnsi="Arial"/>
          <w:sz w:val="14"/>
          <w:szCs w:val="14"/>
          <w:color w:val="auto"/>
        </w:rPr>
      </w:pPr>
    </w:p>
    <w:p>
      <w:pPr>
        <w:jc w:val="both"/>
        <w:ind w:left="260" w:hanging="252"/>
        <w:spacing w:after="0" w:line="266" w:lineRule="auto"/>
        <w:tabs>
          <w:tab w:leader="none" w:pos="271" w:val="left"/>
        </w:tabs>
        <w:numPr>
          <w:ilvl w:val="0"/>
          <w:numId w:val="9"/>
        </w:numPr>
        <w:rPr>
          <w:rFonts w:ascii="Arial" w:cs="Arial" w:eastAsia="Arial" w:hAnsi="Arial"/>
          <w:sz w:val="14"/>
          <w:szCs w:val="14"/>
          <w:color w:val="auto"/>
        </w:rPr>
      </w:pPr>
      <w:r>
        <w:rPr>
          <w:rFonts w:ascii="Arial" w:cs="Arial" w:eastAsia="Arial" w:hAnsi="Arial"/>
          <w:sz w:val="14"/>
          <w:szCs w:val="14"/>
          <w:color w:val="auto"/>
        </w:rPr>
        <w:t>Fourth quarter 2018 Adjusted EBITDA excludes $355 million of other operating and administrative expense related to the Sky transaction and $125 million of other operating and administrative expense related to a legal settlement. 2017 year to date Adjusted EBITDA excludes $250 million of other operating and administrative expense related to a legal settlement.</w:t>
      </w:r>
    </w:p>
    <w:p>
      <w:pPr>
        <w:spacing w:after="0" w:line="153" w:lineRule="exact"/>
        <w:rPr>
          <w:rFonts w:ascii="Arial" w:cs="Arial" w:eastAsia="Arial" w:hAnsi="Arial"/>
          <w:sz w:val="14"/>
          <w:szCs w:val="14"/>
          <w:color w:val="auto"/>
        </w:rPr>
      </w:pPr>
    </w:p>
    <w:p>
      <w:pPr>
        <w:jc w:val="both"/>
        <w:ind w:left="260" w:hanging="252"/>
        <w:spacing w:after="0" w:line="249" w:lineRule="auto"/>
        <w:tabs>
          <w:tab w:leader="none" w:pos="244" w:val="left"/>
        </w:tabs>
        <w:numPr>
          <w:ilvl w:val="0"/>
          <w:numId w:val="9"/>
        </w:numPr>
        <w:rPr>
          <w:rFonts w:ascii="Arial" w:cs="Arial" w:eastAsia="Arial" w:hAnsi="Arial"/>
          <w:sz w:val="14"/>
          <w:szCs w:val="14"/>
          <w:color w:val="auto"/>
        </w:rPr>
      </w:pPr>
      <w:r>
        <w:rPr>
          <w:rFonts w:ascii="Arial" w:cs="Arial" w:eastAsia="Arial" w:hAnsi="Arial"/>
          <w:sz w:val="14"/>
          <w:szCs w:val="14"/>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w:t>
      </w:r>
    </w:p>
    <w:p>
      <w:pPr>
        <w:spacing w:after="0" w:line="167" w:lineRule="exact"/>
        <w:rPr>
          <w:rFonts w:ascii="Arial" w:cs="Arial" w:eastAsia="Arial" w:hAnsi="Arial"/>
          <w:sz w:val="14"/>
          <w:szCs w:val="14"/>
          <w:color w:val="auto"/>
        </w:rPr>
      </w:pPr>
    </w:p>
    <w:p>
      <w:pPr>
        <w:ind w:left="260" w:hanging="252"/>
        <w:spacing w:after="0" w:line="291" w:lineRule="auto"/>
        <w:tabs>
          <w:tab w:leader="none" w:pos="244"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2017 year to date adjustments for this presentation include a $250 million payment in the fourth quarter related to a legal settlement and a $575 million tax benefit related to the debt exchange.</w:t>
      </w:r>
    </w:p>
    <w:p>
      <w:pPr>
        <w:spacing w:after="0" w:line="136" w:lineRule="exact"/>
        <w:rPr>
          <w:rFonts w:ascii="Arial" w:cs="Arial" w:eastAsia="Arial" w:hAnsi="Arial"/>
          <w:sz w:val="14"/>
          <w:szCs w:val="14"/>
          <w:color w:val="auto"/>
        </w:rPr>
      </w:pPr>
    </w:p>
    <w:p>
      <w:pPr>
        <w:ind w:left="260" w:right="20" w:hanging="252"/>
        <w:spacing w:after="0" w:line="291" w:lineRule="auto"/>
        <w:tabs>
          <w:tab w:leader="none" w:pos="258"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for this presentation includes a decrease of $125 million related to a legal settlement and $355 million related to Sky transaction related costs in fourth quarter 2018 and $250 million in 2017 year to date related to a legal settlement, as these are not included in Adjusted EBITDA.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16" w:name="page17"/>
    <w:bookmarkEnd w:id="16"/>
    <w:p>
      <w:pPr>
        <w:ind w:left="8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-116840</wp:posOffset>
            </wp:positionV>
            <wp:extent cx="1089025"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5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Twelve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vMerge w:val="continue"/>
          </w:tcPr>
          <w:p>
            <w:pPr>
              <w:spacing w:after="0"/>
              <w:rPr>
                <w:sz w:val="15"/>
                <w:szCs w:val="15"/>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9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5"/>
                <w:szCs w:val="15"/>
                <w:color w:val="auto"/>
              </w:rPr>
            </w:pPr>
          </w:p>
        </w:tc>
        <w:tc>
          <w:tcPr>
            <w:tcW w:w="94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EPS</w:t>
            </w: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$14,999</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$2,511</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$0.55</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$22,735</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$11,731</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i w:val="1"/>
                <w:iCs w:val="1"/>
                <w:color w:val="auto"/>
              </w:rPr>
              <w:t>(83.3)%</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i w:val="1"/>
                <w:iCs w:val="1"/>
                <w:color w:val="auto"/>
              </w:rPr>
              <w:t>(82.6)%</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(48.4)%</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(46.7)%</w:t>
            </w:r>
          </w:p>
        </w:tc>
        <w:tc>
          <w:tcPr>
            <w:tcW w:w="0" w:type="dxa"/>
            <w:vAlign w:val="bottom"/>
          </w:tcPr>
          <w:p>
            <w:pPr>
              <w:spacing w:after="0"/>
              <w:rPr>
                <w:sz w:val="1"/>
                <w:szCs w:val="1"/>
                <w:color w:val="auto"/>
              </w:rPr>
            </w:pPr>
          </w:p>
        </w:tc>
      </w:tr>
      <w:tr>
        <w:trPr>
          <w:trHeight w:val="409"/>
        </w:trPr>
        <w:tc>
          <w:tcPr>
            <w:tcW w:w="4820" w:type="dxa"/>
            <w:vAlign w:val="bottom"/>
          </w:tcPr>
          <w:p>
            <w:pPr>
              <w:spacing w:after="0"/>
              <w:rPr>
                <w:sz w:val="20"/>
                <w:szCs w:val="20"/>
                <w:color w:val="auto"/>
              </w:rPr>
            </w:pPr>
            <w:r>
              <w:rPr>
                <w:rFonts w:ascii="Arial" w:cs="Arial" w:eastAsia="Arial" w:hAnsi="Arial"/>
                <w:sz w:val="14"/>
                <w:szCs w:val="14"/>
                <w:color w:val="auto"/>
              </w:rPr>
              <w:t xml:space="preserve">Fair value investments </w:t>
            </w:r>
            <w:r>
              <w:rPr>
                <w:rFonts w:ascii="Arial" w:cs="Arial" w:eastAsia="Arial" w:hAnsi="Arial"/>
                <w:sz w:val="21"/>
                <w:szCs w:val="21"/>
                <w:color w:val="auto"/>
                <w:vertAlign w:val="superscript"/>
              </w:rPr>
              <w:t>(1)</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(97)</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291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(162)</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162</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Gain on spectrum auction </w:t>
            </w:r>
            <w:r>
              <w:rPr>
                <w:rFonts w:ascii="Arial" w:cs="Arial" w:eastAsia="Arial" w:hAnsi="Arial"/>
                <w:sz w:val="21"/>
                <w:szCs w:val="21"/>
                <w:color w:val="auto"/>
                <w:vertAlign w:val="superscript"/>
              </w:rPr>
              <w:t>(2)</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(209)</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1"/>
                <w:szCs w:val="21"/>
                <w:color w:val="auto"/>
                <w:vertAlign w:val="superscript"/>
              </w:rPr>
              <w:t>(3)</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(244)</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(0.05)</w:t>
            </w: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(68)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(224)</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(0.05)</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Gains on the sales of businesses and investments</w:t>
            </w:r>
            <w:r>
              <w:rPr>
                <w:rFonts w:ascii="Arial" w:cs="Arial" w:eastAsia="Arial" w:hAnsi="Arial"/>
                <w:sz w:val="21"/>
                <w:szCs w:val="21"/>
                <w:color w:val="auto"/>
                <w:vertAlign w:val="superscript"/>
              </w:rPr>
              <w:t>(4)</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(65)</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(301)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21"/>
                <w:szCs w:val="21"/>
                <w:color w:val="auto"/>
                <w:vertAlign w:val="superscript"/>
              </w:rPr>
              <w:t>(5)</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93</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157</w:t>
            </w:r>
          </w:p>
        </w:tc>
        <w:tc>
          <w:tcPr>
            <w:tcW w:w="5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93</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Costs related to Sky transaction and Twenty-First Century Fox offer </w:t>
            </w:r>
            <w:r>
              <w:rPr>
                <w:rFonts w:ascii="Arial" w:cs="Arial" w:eastAsia="Arial" w:hAnsi="Arial"/>
                <w:sz w:val="21"/>
                <w:szCs w:val="21"/>
                <w:color w:val="auto"/>
                <w:vertAlign w:val="superscript"/>
              </w:rPr>
              <w:t>(6)</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280</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383</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14"/>
                <w:szCs w:val="14"/>
                <w:color w:val="auto"/>
              </w:rPr>
              <w:t xml:space="preserve">2017 tax reform </w:t>
            </w:r>
            <w:r>
              <w:rPr>
                <w:rFonts w:ascii="Arial" w:cs="Arial" w:eastAsia="Arial" w:hAnsi="Arial"/>
                <w:sz w:val="21"/>
                <w:szCs w:val="21"/>
                <w:color w:val="auto"/>
                <w:vertAlign w:val="superscript"/>
              </w:rPr>
              <w:t>(7)</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(12,679)</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(2.68)</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(12,679)</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(2.65)</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7"/>
        </w:trPr>
        <w:tc>
          <w:tcPr>
            <w:tcW w:w="4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96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$2,223</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24"/>
                <w:szCs w:val="24"/>
                <w:color w:val="auto"/>
              </w:rPr>
            </w:pPr>
          </w:p>
        </w:tc>
        <w:tc>
          <w:tcPr>
            <w:tcW w:w="94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$2,931</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$0.64</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$9,709</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92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$11,844</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180"/>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i w:val="1"/>
                <w:iCs w:val="1"/>
                <w:color w:val="auto"/>
              </w:rPr>
              <w:t>31.8%</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36.2%</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22.0%</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25.6%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line="291" w:lineRule="auto"/>
        <w:tabs>
          <w:tab w:leader="none" w:pos="271" w:val="left"/>
        </w:tabs>
        <w:numPr>
          <w:ilvl w:val="0"/>
          <w:numId w:val="10"/>
        </w:numPr>
        <w:rPr>
          <w:rFonts w:ascii="Arial" w:cs="Arial" w:eastAsia="Arial" w:hAnsi="Arial"/>
          <w:sz w:val="14"/>
          <w:szCs w:val="14"/>
          <w:color w:val="auto"/>
        </w:rPr>
      </w:pPr>
      <w:r>
        <w:rPr>
          <w:rFonts w:ascii="Arial" w:cs="Arial" w:eastAsia="Arial" w:hAnsi="Arial"/>
          <w:sz w:val="14"/>
          <w:szCs w:val="14"/>
          <w:color w:val="auto"/>
        </w:rPr>
        <w:t>Fair value investments include realized and unrealized (gains) losses on equity securities, net (as stated in Table 1), as well as the equity in net (income) losses, net, for our investment in Atairos.</w:t>
      </w:r>
    </w:p>
    <w:p>
      <w:pPr>
        <w:sectPr>
          <w:pgSz w:w="11900" w:h="16838" w:orient="portrait"/>
          <w:cols w:equalWidth="0" w:num="1">
            <w:col w:w="11420"/>
          </w:cols>
          <w:pgMar w:left="240" w:top="3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right="1760"/>
        <w:spacing w:after="0" w:line="263" w:lineRule="auto"/>
        <w:rPr>
          <w:sz w:val="20"/>
          <w:szCs w:val="20"/>
          <w:color w:val="auto"/>
        </w:rPr>
      </w:pPr>
      <w:r>
        <w:rPr>
          <w:rFonts w:ascii="Arial" w:cs="Arial" w:eastAsia="Arial" w:hAnsi="Arial"/>
          <w:sz w:val="14"/>
          <w:szCs w:val="14"/>
          <w:color w:val="auto"/>
        </w:rPr>
        <w:t>Realized and unrealized (gains) losses on equity securities, net Equity in net (income) losses, net for investment in Atairos Fair value investments before income taxes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Fair value investments, net of tax</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4"/>
          </w:tcPr>
          <w:p>
            <w:pPr>
              <w:jc w:val="center"/>
              <w:ind w:right="200"/>
              <w:spacing w:after="0"/>
              <w:rPr>
                <w:sz w:val="20"/>
                <w:szCs w:val="20"/>
                <w:color w:val="auto"/>
              </w:rPr>
            </w:pPr>
            <w:r>
              <w:rPr>
                <w:rFonts w:ascii="Arial" w:cs="Arial" w:eastAsia="Arial" w:hAnsi="Arial"/>
                <w:sz w:val="14"/>
                <w:szCs w:val="14"/>
                <w:color w:val="auto"/>
              </w:rPr>
              <w:t>Three Months Ended</w:t>
            </w:r>
          </w:p>
        </w:tc>
        <w:tc>
          <w:tcPr>
            <w:tcW w:w="2040" w:type="dxa"/>
            <w:vAlign w:val="bottom"/>
            <w:gridSpan w:val="3"/>
          </w:tcPr>
          <w:p>
            <w:pPr>
              <w:jc w:val="right"/>
              <w:ind w:right="228"/>
              <w:spacing w:after="0"/>
              <w:rPr>
                <w:sz w:val="20"/>
                <w:szCs w:val="20"/>
                <w:color w:val="auto"/>
              </w:rPr>
            </w:pPr>
            <w:r>
              <w:rPr>
                <w:rFonts w:ascii="Arial" w:cs="Arial" w:eastAsia="Arial" w:hAnsi="Arial"/>
                <w:sz w:val="14"/>
                <w:szCs w:val="14"/>
                <w:color w:val="auto"/>
              </w:rPr>
              <w:t>Twelve Months Ended</w:t>
            </w:r>
          </w:p>
        </w:tc>
      </w:tr>
      <w:tr>
        <w:trPr>
          <w:trHeight w:val="162"/>
        </w:trPr>
        <w:tc>
          <w:tcPr>
            <w:tcW w:w="2300" w:type="dxa"/>
            <w:vAlign w:val="bottom"/>
            <w:gridSpan w:val="4"/>
          </w:tcPr>
          <w:p>
            <w:pPr>
              <w:jc w:val="center"/>
              <w:ind w:right="200"/>
              <w:spacing w:after="0"/>
              <w:rPr>
                <w:sz w:val="20"/>
                <w:szCs w:val="20"/>
                <w:color w:val="auto"/>
              </w:rPr>
            </w:pPr>
            <w:r>
              <w:rPr>
                <w:rFonts w:ascii="Arial" w:cs="Arial" w:eastAsia="Arial" w:hAnsi="Arial"/>
                <w:sz w:val="14"/>
                <w:szCs w:val="14"/>
                <w:color w:val="auto"/>
              </w:rPr>
              <w:t>December 31,</w:t>
            </w:r>
          </w:p>
        </w:tc>
        <w:tc>
          <w:tcPr>
            <w:tcW w:w="2040" w:type="dxa"/>
            <w:vAlign w:val="bottom"/>
            <w:gridSpan w:val="3"/>
          </w:tcPr>
          <w:p>
            <w:pPr>
              <w:jc w:val="right"/>
              <w:ind w:right="488"/>
              <w:spacing w:after="0"/>
              <w:rPr>
                <w:sz w:val="20"/>
                <w:szCs w:val="20"/>
                <w:color w:val="auto"/>
              </w:rPr>
            </w:pPr>
            <w:r>
              <w:rPr>
                <w:rFonts w:ascii="Arial" w:cs="Arial" w:eastAsia="Arial" w:hAnsi="Arial"/>
                <w:sz w:val="14"/>
                <w:szCs w:val="14"/>
                <w:color w:val="auto"/>
              </w:rPr>
              <w:t>December 31,</w:t>
            </w:r>
          </w:p>
        </w:tc>
      </w:tr>
      <w:tr>
        <w:trPr>
          <w:trHeight w:val="175"/>
        </w:trPr>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r>
      <w:tr>
        <w:trPr>
          <w:trHeight w:val="142"/>
        </w:trPr>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$137</w:t>
            </w:r>
          </w:p>
        </w:tc>
        <w:tc>
          <w:tcPr>
            <w:tcW w:w="22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$187</w:t>
            </w:r>
          </w:p>
        </w:tc>
      </w:tr>
      <w:tr>
        <w:trPr>
          <w:trHeight w:val="1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(175)</w:t>
            </w:r>
          </w:p>
        </w:tc>
        <w:tc>
          <w:tcPr>
            <w:tcW w:w="920" w:type="dxa"/>
            <w:vAlign w:val="bottom"/>
          </w:tcPr>
          <w:p>
            <w:pPr>
              <w:jc w:val="right"/>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(281)</w:t>
            </w: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42"/>
        </w:trPr>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(158)</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392</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(264)</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218</w:t>
            </w:r>
          </w:p>
        </w:tc>
      </w:tr>
      <w:tr>
        <w:trPr>
          <w:trHeight w:val="1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($97)</w:t>
            </w:r>
          </w:p>
        </w:tc>
        <w:tc>
          <w:tcPr>
            <w:tcW w:w="920" w:type="dxa"/>
            <w:vAlign w:val="bottom"/>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($162)</w:t>
            </w:r>
          </w:p>
        </w:tc>
        <w:tc>
          <w:tcPr>
            <w:tcW w:w="9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6060" w:space="720"/>
            <w:col w:w="4640"/>
          </w:cols>
          <w:pgMar w:left="240" w:top="308" w:right="239" w:bottom="1440" w:gutter="0" w:footer="0" w:header="0"/>
          <w:type w:val="continuous"/>
        </w:sectPr>
      </w:pPr>
    </w:p>
    <w:p>
      <w:pPr>
        <w:ind w:left="260" w:hanging="252"/>
        <w:spacing w:after="0" w:line="291" w:lineRule="auto"/>
        <w:tabs>
          <w:tab w:leader="none" w:pos="339" w:val="left"/>
        </w:tabs>
        <w:numPr>
          <w:ilvl w:val="0"/>
          <w:numId w:val="11"/>
        </w:numPr>
        <w:rPr>
          <w:rFonts w:ascii="Arial" w:cs="Arial" w:eastAsia="Arial" w:hAnsi="Arial"/>
          <w:sz w:val="14"/>
          <w:szCs w:val="14"/>
          <w:color w:val="auto"/>
        </w:rPr>
      </w:pPr>
      <w:r>
        <w:rPr>
          <w:rFonts w:ascii="Arial" w:cs="Arial" w:eastAsia="Arial" w:hAnsi="Arial"/>
          <w:sz w:val="14"/>
          <w:szCs w:val="14"/>
          <w:color w:val="auto"/>
        </w:rPr>
        <w:t>2017 year to date net income attributable to Comcast Corporation includes $337 million of other operating gains, $209 million net of tax, recognized in connection with NBCUniversal’s relinquishment of certain spectrum rights in the FCC’s spectrum auction.</w:t>
      </w:r>
    </w:p>
    <w:p>
      <w:pPr>
        <w:spacing w:after="0" w:line="136" w:lineRule="exact"/>
        <w:rPr>
          <w:rFonts w:ascii="Arial" w:cs="Arial" w:eastAsia="Arial" w:hAnsi="Arial"/>
          <w:sz w:val="14"/>
          <w:szCs w:val="14"/>
          <w:color w:val="auto"/>
        </w:rPr>
      </w:pPr>
    </w:p>
    <w:p>
      <w:pPr>
        <w:jc w:val="both"/>
        <w:ind w:left="260" w:hanging="252"/>
        <w:spacing w:after="0" w:line="254" w:lineRule="auto"/>
        <w:tabs>
          <w:tab w:leader="none" w:pos="258" w:val="left"/>
        </w:tabs>
        <w:numPr>
          <w:ilvl w:val="0"/>
          <w:numId w:val="11"/>
        </w:numPr>
        <w:rPr>
          <w:rFonts w:ascii="Arial" w:cs="Arial" w:eastAsia="Arial" w:hAnsi="Arial"/>
          <w:sz w:val="14"/>
          <w:szCs w:val="14"/>
          <w:color w:val="auto"/>
        </w:rPr>
      </w:pPr>
      <w:r>
        <w:rPr>
          <w:rFonts w:ascii="Arial" w:cs="Arial" w:eastAsia="Arial" w:hAnsi="Arial"/>
          <w:sz w:val="14"/>
          <w:szCs w:val="14"/>
          <w:color w:val="auto"/>
        </w:rPr>
        <w:t>4th quarter 2018 net income attributable to Comcast Corporation includes a $244 million income tax benefit for the worldwide impact of the Sky transaction. 2018 year to date net income attributable to Comcast Corporation includes a $148 million income tax expense adjustment recorded in the 3rd quarter 2018 related to the impact of certain state tax law changes and federal tax reform and a $128 million net income tax benefit recorded in the 1st quarter 2018 as a result of federal tax legislation enacted in 2018. 2017 year to date net income attributable to Comcast Corporation includes $68 million of income tax adjustments related to an internal legal reorganization offset by the impact of certain state tax law changes.</w:t>
      </w:r>
    </w:p>
    <w:p>
      <w:pPr>
        <w:spacing w:after="0" w:line="160" w:lineRule="exact"/>
        <w:rPr>
          <w:rFonts w:ascii="Arial" w:cs="Arial" w:eastAsia="Arial" w:hAnsi="Arial"/>
          <w:sz w:val="14"/>
          <w:szCs w:val="14"/>
          <w:color w:val="auto"/>
        </w:rPr>
      </w:pPr>
    </w:p>
    <w:p>
      <w:pPr>
        <w:jc w:val="both"/>
        <w:ind w:left="260" w:hanging="252"/>
        <w:spacing w:after="0" w:line="258" w:lineRule="auto"/>
        <w:tabs>
          <w:tab w:leader="none" w:pos="244" w:val="left"/>
        </w:tabs>
        <w:numPr>
          <w:ilvl w:val="0"/>
          <w:numId w:val="11"/>
        </w:numPr>
        <w:rPr>
          <w:rFonts w:ascii="Arial" w:cs="Arial" w:eastAsia="Arial" w:hAnsi="Arial"/>
          <w:sz w:val="14"/>
          <w:szCs w:val="14"/>
          <w:color w:val="auto"/>
        </w:rPr>
      </w:pPr>
      <w:r>
        <w:rPr>
          <w:rFonts w:ascii="Arial" w:cs="Arial" w:eastAsia="Arial" w:hAnsi="Arial"/>
          <w:sz w:val="14"/>
          <w:szCs w:val="14"/>
          <w:color w:val="auto"/>
        </w:rPr>
        <w:t>2018 year to date net income attributable to Comcast Corporation includes $141 million of other operating gains, $105 million net of tax, related to the sale of a business in our Filmed Entertainment segment, $200 million of other operating gains, $148 million net of tax, resulting from the sale of a controlling interest in our arena management-related businesses and $64 million of other income, $48 million net of tax, resulting from a gain on the sale of our investment in The Weather Channel. 2017 year to date net income attributable to Comcast Corporation includes $105 million of other operating gains, $65 million net of tax, resulting from the sale of a business.</w:t>
      </w:r>
    </w:p>
    <w:p>
      <w:pPr>
        <w:spacing w:after="0" w:line="158" w:lineRule="exact"/>
        <w:rPr>
          <w:rFonts w:ascii="Arial" w:cs="Arial" w:eastAsia="Arial" w:hAnsi="Arial"/>
          <w:sz w:val="14"/>
          <w:szCs w:val="14"/>
          <w:color w:val="auto"/>
        </w:rPr>
      </w:pPr>
    </w:p>
    <w:p>
      <w:pPr>
        <w:jc w:val="both"/>
        <w:ind w:left="260" w:hanging="252"/>
        <w:spacing w:after="0" w:line="266" w:lineRule="auto"/>
        <w:tabs>
          <w:tab w:leader="none" w:pos="271" w:val="left"/>
        </w:tabs>
        <w:numPr>
          <w:ilvl w:val="0"/>
          <w:numId w:val="11"/>
        </w:numPr>
        <w:rPr>
          <w:rFonts w:ascii="Arial" w:cs="Arial" w:eastAsia="Arial" w:hAnsi="Arial"/>
          <w:sz w:val="14"/>
          <w:szCs w:val="14"/>
          <w:color w:val="auto"/>
        </w:rPr>
      </w:pPr>
      <w:r>
        <w:rPr>
          <w:rFonts w:ascii="Arial" w:cs="Arial" w:eastAsia="Arial" w:hAnsi="Arial"/>
          <w:sz w:val="14"/>
          <w:szCs w:val="14"/>
          <w:color w:val="auto"/>
        </w:rPr>
        <w:t>4th quarter 2018 net income attributable to Comcast Corporation includes $125 million of other operating and administrative expense, $93 million net of tax, related to a legal settlement. 2017 year to date net income attributable to Comcast Corporation includes $250 million of other operating and administrative expense, $157 million net of tax, related to a legal settlement.</w:t>
      </w:r>
    </w:p>
    <w:p>
      <w:pPr>
        <w:spacing w:after="0" w:line="153" w:lineRule="exact"/>
        <w:rPr>
          <w:rFonts w:ascii="Arial" w:cs="Arial" w:eastAsia="Arial" w:hAnsi="Arial"/>
          <w:sz w:val="14"/>
          <w:szCs w:val="14"/>
          <w:color w:val="auto"/>
        </w:rPr>
      </w:pPr>
    </w:p>
    <w:p>
      <w:pPr>
        <w:jc w:val="both"/>
        <w:ind w:left="260" w:hanging="252"/>
        <w:spacing w:after="0" w:line="258" w:lineRule="auto"/>
        <w:tabs>
          <w:tab w:leader="none" w:pos="298" w:val="left"/>
        </w:tabs>
        <w:numPr>
          <w:ilvl w:val="0"/>
          <w:numId w:val="11"/>
        </w:numPr>
        <w:rPr>
          <w:rFonts w:ascii="Arial" w:cs="Arial" w:eastAsia="Arial" w:hAnsi="Arial"/>
          <w:sz w:val="14"/>
          <w:szCs w:val="14"/>
          <w:color w:val="auto"/>
        </w:rPr>
      </w:pPr>
      <w:r>
        <w:rPr>
          <w:rFonts w:ascii="Arial" w:cs="Arial" w:eastAsia="Arial" w:hAnsi="Arial"/>
          <w:sz w:val="14"/>
          <w:szCs w:val="14"/>
          <w:color w:val="auto"/>
        </w:rPr>
        <w:t>4th quarter 2018 net income attributable to Comcast Corporation includes $355 million of operating costs and expenses, $18 million of interest expense and $64 million of income in other (income) loss, net,($309 million in total, $280 million net of tax) related to the Sky transaction. 2018 year to date net income attributable to Comcast Corporation includes $389 million of operating costs and expenses, $63 million of interest expense and $4 million of income in other (income) loss, net, ($448 million in total, $383 million net of tax) related to the Sky transaction and the Twenty-First Century Fox offer.</w:t>
      </w:r>
    </w:p>
    <w:p>
      <w:pPr>
        <w:spacing w:after="0" w:line="158" w:lineRule="exact"/>
        <w:rPr>
          <w:rFonts w:ascii="Arial" w:cs="Arial" w:eastAsia="Arial" w:hAnsi="Arial"/>
          <w:sz w:val="14"/>
          <w:szCs w:val="14"/>
          <w:color w:val="auto"/>
        </w:rPr>
      </w:pPr>
    </w:p>
    <w:p>
      <w:pPr>
        <w:ind w:left="260" w:hanging="252"/>
        <w:spacing w:after="0" w:line="291" w:lineRule="auto"/>
        <w:tabs>
          <w:tab w:leader="none" w:pos="244" w:val="left"/>
        </w:tabs>
        <w:numPr>
          <w:ilvl w:val="0"/>
          <w:numId w:val="11"/>
        </w:numPr>
        <w:rPr>
          <w:rFonts w:ascii="Arial" w:cs="Arial" w:eastAsia="Arial" w:hAnsi="Arial"/>
          <w:sz w:val="14"/>
          <w:szCs w:val="14"/>
          <w:color w:val="auto"/>
        </w:rPr>
      </w:pPr>
      <w:r>
        <w:rPr>
          <w:rFonts w:ascii="Arial" w:cs="Arial" w:eastAsia="Arial" w:hAnsi="Arial"/>
          <w:sz w:val="14"/>
          <w:szCs w:val="14"/>
          <w:color w:val="auto"/>
        </w:rPr>
        <w:t>4th quarter 2017 net income attributable to Comcast Corporation includes $12.7 billion of net income tax benefits as a result of the enactment of the 2017 tax reform legislation, primarily due to a reduction of our net deferred tax liabilities.</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type w:val="continuous"/>
        </w:sectPr>
      </w:pPr>
    </w:p>
    <w:bookmarkStart w:id="17" w:name="page18"/>
    <w:bookmarkEnd w:id="17"/>
    <w:p>
      <w:pPr>
        <w:ind w:left="80"/>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-108585</wp:posOffset>
            </wp:positionV>
            <wp:extent cx="108902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100" w:type="dxa"/>
            <w:vAlign w:val="bottom"/>
          </w:tcPr>
          <w:p>
            <w:pPr>
              <w:spacing w:after="0"/>
              <w:rPr>
                <w:sz w:val="24"/>
                <w:szCs w:val="24"/>
                <w:color w:val="auto"/>
              </w:rPr>
            </w:pPr>
          </w:p>
        </w:tc>
        <w:tc>
          <w:tcPr>
            <w:tcW w:w="314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5"/>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29"/>
        </w:trPr>
        <w:tc>
          <w:tcPr>
            <w:tcW w:w="5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r>
      <w:tr>
        <w:trPr>
          <w:trHeight w:val="247"/>
        </w:trPr>
        <w:tc>
          <w:tcPr>
            <w:tcW w:w="510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1"/>
                <w:szCs w:val="21"/>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314"/>
        </w:trPr>
        <w:tc>
          <w:tcPr>
            <w:tcW w:w="510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$2,654</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$2,892</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$10,497</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$11,773</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41"/>
        </w:trPr>
        <w:tc>
          <w:tcPr>
            <w:tcW w:w="5100" w:type="dxa"/>
            <w:vAlign w:val="bottom"/>
          </w:tcPr>
          <w:p>
            <w:pPr>
              <w:spacing w:after="0"/>
              <w:rPr>
                <w:sz w:val="20"/>
                <w:szCs w:val="20"/>
                <w:color w:val="auto"/>
              </w:rPr>
            </w:pPr>
            <w:r>
              <w:rPr>
                <w:rFonts w:ascii="Arial" w:cs="Arial" w:eastAsia="Arial" w:hAnsi="Arial"/>
                <w:sz w:val="16"/>
                <w:szCs w:val="16"/>
                <w:color w:val="auto"/>
              </w:rPr>
              <w:t>2018 Olympics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(378)</w:t>
            </w:r>
          </w:p>
        </w:tc>
        <w:tc>
          <w:tcPr>
            <w:tcW w:w="920" w:type="dxa"/>
            <w:vAlign w:val="bottom"/>
          </w:tcPr>
          <w:p>
            <w:pPr>
              <w:spacing w:after="0"/>
              <w:rPr>
                <w:sz w:val="24"/>
                <w:szCs w:val="24"/>
                <w:color w:val="auto"/>
              </w:rPr>
            </w:pPr>
          </w:p>
        </w:tc>
      </w:tr>
      <w:tr>
        <w:trPr>
          <w:trHeight w:val="253"/>
        </w:trPr>
        <w:tc>
          <w:tcPr>
            <w:tcW w:w="5100" w:type="dxa"/>
            <w:vAlign w:val="bottom"/>
          </w:tcPr>
          <w:p>
            <w:pPr>
              <w:spacing w:after="0"/>
              <w:rPr>
                <w:sz w:val="20"/>
                <w:szCs w:val="20"/>
                <w:color w:val="auto"/>
              </w:rPr>
            </w:pPr>
            <w:r>
              <w:rPr>
                <w:rFonts w:ascii="Arial" w:cs="Arial" w:eastAsia="Arial" w:hAnsi="Arial"/>
                <w:sz w:val="16"/>
                <w:szCs w:val="16"/>
                <w:color w:val="auto"/>
              </w:rPr>
              <w:t>Revenue excluding 2018 Olympics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$2,654</w:t>
            </w:r>
          </w:p>
        </w:tc>
        <w:tc>
          <w:tcPr>
            <w:tcW w:w="1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$10,497</w:t>
            </w:r>
          </w:p>
        </w:tc>
        <w:tc>
          <w:tcPr>
            <w:tcW w:w="16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$11,395</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828282"/>
        </w:rPr>
        <w:t>Reconciliation of Broadcast Television Revenue Excluding 2018 Olympics and 2018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100" w:type="dxa"/>
            <w:vAlign w:val="bottom"/>
          </w:tcPr>
          <w:p>
            <w:pPr>
              <w:spacing w:after="0"/>
              <w:rPr>
                <w:sz w:val="24"/>
                <w:szCs w:val="24"/>
                <w:color w:val="auto"/>
              </w:rPr>
            </w:pPr>
          </w:p>
        </w:tc>
        <w:tc>
          <w:tcPr>
            <w:tcW w:w="314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Twelve Months Ended</w:t>
            </w:r>
          </w:p>
        </w:tc>
      </w:tr>
      <w:tr>
        <w:trPr>
          <w:trHeight w:val="229"/>
        </w:trPr>
        <w:tc>
          <w:tcPr>
            <w:tcW w:w="5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r>
      <w:tr>
        <w:trPr>
          <w:trHeight w:val="247"/>
        </w:trPr>
        <w:tc>
          <w:tcPr>
            <w:tcW w:w="510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1"/>
                <w:szCs w:val="21"/>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314"/>
        </w:trPr>
        <w:tc>
          <w:tcPr>
            <w:tcW w:w="510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$2,989</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$3,099</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$9,563</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$11,439</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8"/>
        </w:trPr>
        <w:tc>
          <w:tcPr>
            <w:tcW w:w="5100" w:type="dxa"/>
            <w:vAlign w:val="bottom"/>
          </w:tcPr>
          <w:p>
            <w:pPr>
              <w:spacing w:after="0"/>
              <w:rPr>
                <w:sz w:val="20"/>
                <w:szCs w:val="20"/>
                <w:color w:val="auto"/>
              </w:rPr>
            </w:pPr>
            <w:r>
              <w:rPr>
                <w:rFonts w:ascii="Arial" w:cs="Arial" w:eastAsia="Arial" w:hAnsi="Arial"/>
                <w:sz w:val="16"/>
                <w:szCs w:val="16"/>
                <w:color w:val="auto"/>
              </w:rPr>
              <w:t>2018 Olympics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(770)</w:t>
            </w:r>
          </w:p>
        </w:tc>
        <w:tc>
          <w:tcPr>
            <w:tcW w:w="920" w:type="dxa"/>
            <w:vAlign w:val="bottom"/>
          </w:tcPr>
          <w:p>
            <w:pPr>
              <w:spacing w:after="0"/>
              <w:rPr>
                <w:sz w:val="24"/>
                <w:szCs w:val="24"/>
                <w:color w:val="auto"/>
              </w:rPr>
            </w:pPr>
          </w:p>
        </w:tc>
      </w:tr>
      <w:tr>
        <w:trPr>
          <w:trHeight w:val="247"/>
        </w:trPr>
        <w:tc>
          <w:tcPr>
            <w:tcW w:w="5100" w:type="dxa"/>
            <w:vAlign w:val="bottom"/>
          </w:tcPr>
          <w:p>
            <w:pPr>
              <w:spacing w:after="0"/>
              <w:rPr>
                <w:sz w:val="20"/>
                <w:szCs w:val="20"/>
                <w:color w:val="auto"/>
              </w:rPr>
            </w:pPr>
            <w:r>
              <w:rPr>
                <w:rFonts w:ascii="Arial" w:cs="Arial" w:eastAsia="Arial" w:hAnsi="Arial"/>
                <w:sz w:val="16"/>
                <w:szCs w:val="16"/>
                <w:color w:val="auto"/>
              </w:rPr>
              <w:t>2018 Super Bowl</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(423)</w:t>
            </w:r>
          </w:p>
        </w:tc>
        <w:tc>
          <w:tcPr>
            <w:tcW w:w="920" w:type="dxa"/>
            <w:vAlign w:val="bottom"/>
          </w:tcPr>
          <w:p>
            <w:pPr>
              <w:spacing w:after="0"/>
              <w:rPr>
                <w:sz w:val="21"/>
                <w:szCs w:val="21"/>
                <w:color w:val="auto"/>
              </w:rPr>
            </w:pPr>
          </w:p>
        </w:tc>
      </w:tr>
      <w:tr>
        <w:trPr>
          <w:trHeight w:val="266"/>
        </w:trPr>
        <w:tc>
          <w:tcPr>
            <w:tcW w:w="5100" w:type="dxa"/>
            <w:vAlign w:val="bottom"/>
          </w:tcPr>
          <w:p>
            <w:pPr>
              <w:spacing w:after="0"/>
              <w:rPr>
                <w:sz w:val="20"/>
                <w:szCs w:val="20"/>
                <w:color w:val="auto"/>
              </w:rPr>
            </w:pPr>
            <w:r>
              <w:rPr>
                <w:rFonts w:ascii="Arial" w:cs="Arial" w:eastAsia="Arial" w:hAnsi="Arial"/>
                <w:sz w:val="16"/>
                <w:szCs w:val="16"/>
                <w:color w:val="auto"/>
              </w:rPr>
              <w:t>Revenue excluding 2018 Olympics and 2018 Super Bowl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$2,989</w:t>
            </w:r>
          </w:p>
        </w:tc>
        <w:tc>
          <w:tcPr>
            <w:tcW w:w="18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$3,099</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$9,563</w:t>
            </w:r>
          </w:p>
        </w:tc>
        <w:tc>
          <w:tcPr>
            <w:tcW w:w="1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$10,246</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08" w:right="339" w:bottom="1440" w:gutter="0" w:footer="0" w:header="0"/>
        </w:sectPr>
      </w:pPr>
    </w:p>
    <w:bookmarkStart w:id="18" w:name="page19"/>
    <w:bookmarkEnd w:id="18"/>
    <w:p>
      <w:pPr>
        <w:ind w:left="80"/>
        <w:spacing w:after="0"/>
        <w:rPr>
          <w:sz w:val="20"/>
          <w:szCs w:val="20"/>
          <w:color w:val="auto"/>
        </w:rPr>
      </w:pPr>
      <w:r>
        <w:rPr>
          <w:rFonts w:ascii="Arial" w:cs="Arial" w:eastAsia="Arial" w:hAnsi="Arial"/>
          <w:sz w:val="25"/>
          <w:szCs w:val="25"/>
          <w:b w:val="1"/>
          <w:bCs w:val="1"/>
          <w:color w:val="969696"/>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-108585</wp:posOffset>
            </wp:positionV>
            <wp:extent cx="1089025"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7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969696"/>
        </w:rPr>
        <w:t>Reconciliation of As Reported to Pro Forma</w:t>
      </w:r>
      <w:r>
        <w:rPr>
          <w:rFonts w:ascii="Arial" w:cs="Arial" w:eastAsia="Arial" w:hAnsi="Arial"/>
          <w:sz w:val="10"/>
          <w:szCs w:val="10"/>
          <w:b w:val="1"/>
          <w:bCs w:val="1"/>
          <w:color w:val="969696"/>
        </w:rPr>
        <w:t>(1)</w:t>
      </w:r>
      <w:r>
        <w:rPr>
          <w:rFonts w:ascii="Arial" w:cs="Arial" w:eastAsia="Arial" w:hAnsi="Arial"/>
          <w:sz w:val="20"/>
          <w:szCs w:val="20"/>
          <w:b w:val="1"/>
          <w:bCs w:val="1"/>
          <w:color w:val="969696"/>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Sky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Pro Forma</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December 31, 2017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Reported</w:t>
            </w:r>
          </w:p>
        </w:tc>
        <w:tc>
          <w:tcPr>
            <w:tcW w:w="150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1"/>
                <w:szCs w:val="21"/>
                <w:b w:val="1"/>
                <w:bCs w:val="1"/>
                <w:color w:val="auto"/>
                <w:w w:val="98"/>
                <w:vertAlign w:val="superscript"/>
              </w:rPr>
              <w:t>(1)</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Sky</w:t>
            </w: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Reported</w:t>
            </w:r>
          </w:p>
        </w:tc>
        <w:tc>
          <w:tcPr>
            <w:tcW w:w="142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1"/>
                <w:szCs w:val="21"/>
                <w:b w:val="1"/>
                <w:bCs w:val="1"/>
                <w:color w:val="auto"/>
                <w:w w:val="98"/>
                <w:vertAlign w:val="superscript"/>
              </w:rPr>
              <w:t>(1)</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840" w:type="dxa"/>
            <w:vAlign w:val="bottom"/>
            <w:gridSpan w:val="4"/>
            <w:vMerge w:val="continue"/>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27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gridSpan w:val="3"/>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$4,905</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$4,905</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$22,075</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$4,816</w:t>
            </w:r>
          </w:p>
        </w:tc>
        <w:tc>
          <w:tcPr>
            <w:tcW w:w="2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4,203</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15,337</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$702</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$6,738</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December 31, 2018</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27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160" w:type="dxa"/>
            <w:vAlign w:val="bottom"/>
            <w:gridSpan w:val="3"/>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$4,587</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$434</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$5,021</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$27,846</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w:t>
            </w:r>
          </w:p>
        </w:tc>
        <w:tc>
          <w:tcPr>
            <w:tcW w:w="2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$28,279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3,895</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4,256</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19,655</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Adjusted EBITDA</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$692</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$765</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$8,191</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b w:val="1"/>
                <w:bCs w:val="1"/>
                <w:color w:val="auto"/>
              </w:rPr>
              <w:t>Growth Rates</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4"/>
                <w:szCs w:val="2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26.1%</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Revenue</w:t>
            </w:r>
          </w:p>
        </w:tc>
        <w:tc>
          <w:tcPr>
            <w:tcW w:w="192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Operating costs and expenses</w:t>
            </w: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28.1%</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Adjusted EBITDA</w:t>
            </w: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21.6%</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3"/>
        </w:trPr>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2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Twelve Months Ended December 31, 2017</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Revenue</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$18,273</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$18,273</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$85,029</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$17,942</w:t>
            </w:r>
          </w:p>
        </w:tc>
        <w:tc>
          <w:tcPr>
            <w:tcW w:w="2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$102,971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15,325</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15,325</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57,073</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15,017</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$2,948</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$27,956</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$2,925</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tcPr>
          <w:p>
            <w:pPr>
              <w:spacing w:after="0"/>
              <w:rPr>
                <w:sz w:val="24"/>
                <w:szCs w:val="24"/>
                <w:color w:val="auto"/>
              </w:rPr>
            </w:pPr>
          </w:p>
        </w:tc>
        <w:tc>
          <w:tcPr>
            <w:tcW w:w="2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Twelve Months Ended December 31, 2018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Revenue</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$4,587</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$15,227</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$19,814</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$94,507</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$15,011</w:t>
            </w:r>
          </w:p>
        </w:tc>
        <w:tc>
          <w:tcPr>
            <w:tcW w:w="2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$109,518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3,895</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13,025</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16,920</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64,342</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12,814</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77,156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$692</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$2,894</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$30,165</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w:t>
            </w: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Growth Rates</w:t>
            </w:r>
          </w:p>
        </w:tc>
        <w:tc>
          <w:tcPr>
            <w:tcW w:w="1240" w:type="dxa"/>
            <w:vAlign w:val="bottom"/>
            <w:gridSpan w:val="2"/>
            <w:vMerge w:val="restart"/>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24"/>
                <w:szCs w:val="24"/>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11.1%</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040" w:type="dxa"/>
            <w:vAlign w:val="bottom"/>
            <w:gridSpan w:val="5"/>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Operating costs and expenses</w:t>
            </w: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12.7%</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Adjusted EBITDA</w:t>
            </w: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NM</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204" w:lineRule="exact"/>
        <w:rPr>
          <w:sz w:val="20"/>
          <w:szCs w:val="20"/>
          <w:color w:val="auto"/>
        </w:rPr>
      </w:pPr>
    </w:p>
    <w:p>
      <w:pPr>
        <w:jc w:val="both"/>
        <w:ind w:left="260" w:hanging="252"/>
        <w:spacing w:after="0" w:line="251" w:lineRule="auto"/>
        <w:tabs>
          <w:tab w:leader="none" w:pos="244"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information is presented as if the Sky transaction occurred January 1, 2017. Our pro forma information is primarily based on historical results of operations, adjusted for the effects of acquisition accounting and the elimination of costs and expenses directly attributable to the transaction, but does not include adjustments for costs related to integration activities, cost savings or synergies that have been or may be achieved by the combined businesses. Our pro forma information is not necessarily indicative of future results or what our results would have been had we operated Sky since January 1, 2017. Pro forma adjustments have been made for the purpose of providing pro forma financial information based on current estimates and currently available information, and are subject to revision based on final determination of fair value and the final allocation of the purchase price to the assets and liabilities of Sky, and the revisions could be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19" w:name="page20"/>
    <w:bookmarkEnd w:id="19"/>
    <w:p>
      <w:pPr>
        <w:ind w:left="72"/>
        <w:spacing w:after="0"/>
        <w:rPr>
          <w:sz w:val="20"/>
          <w:szCs w:val="20"/>
          <w:color w:val="auto"/>
        </w:rPr>
      </w:pPr>
      <w:r>
        <w:rPr>
          <w:rFonts w:ascii="Arial" w:cs="Arial" w:eastAsia="Arial" w:hAnsi="Arial"/>
          <w:sz w:val="25"/>
          <w:szCs w:val="25"/>
          <w:b w:val="1"/>
          <w:bCs w:val="1"/>
          <w:color w:val="969696"/>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-108585</wp:posOffset>
            </wp:positionV>
            <wp:extent cx="1089025"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76" w:lineRule="exact"/>
        <w:rPr>
          <w:sz w:val="20"/>
          <w:szCs w:val="20"/>
          <w:color w:val="auto"/>
        </w:rPr>
      </w:pPr>
    </w:p>
    <w:p>
      <w:pPr>
        <w:ind w:left="72"/>
        <w:spacing w:after="0"/>
        <w:rPr>
          <w:sz w:val="20"/>
          <w:szCs w:val="20"/>
          <w:color w:val="auto"/>
        </w:rPr>
      </w:pPr>
      <w:r>
        <w:rPr>
          <w:rFonts w:ascii="Arial" w:cs="Arial" w:eastAsia="Arial" w:hAnsi="Arial"/>
          <w:sz w:val="20"/>
          <w:szCs w:val="20"/>
          <w:b w:val="1"/>
          <w:bCs w:val="1"/>
          <w:color w:val="969696"/>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8" w:lineRule="exact"/>
        <w:rPr>
          <w:sz w:val="20"/>
          <w:szCs w:val="20"/>
          <w:color w:val="auto"/>
        </w:rPr>
      </w:pPr>
    </w:p>
    <w:tbl>
      <w:tblPr>
        <w:tblLayout w:type="fixed"/>
        <w:tblInd w:w="32" w:type="dxa"/>
        <w:tblCellMar>
          <w:top w:w="0" w:type="dxa"/>
          <w:left w:w="0" w:type="dxa"/>
          <w:bottom w:w="0" w:type="dxa"/>
          <w:right w:w="0" w:type="dxa"/>
        </w:tblCellMar>
      </w:tblPr>
      <w:tr>
        <w:trPr>
          <w:trHeight w:val="291"/>
        </w:trPr>
        <w:tc>
          <w:tcPr>
            <w:tcW w:w="5060" w:type="dxa"/>
            <w:vAlign w:val="bottom"/>
          </w:tcPr>
          <w:p>
            <w:pPr>
              <w:spacing w:after="0"/>
              <w:rPr>
                <w:sz w:val="24"/>
                <w:szCs w:val="24"/>
                <w:color w:val="auto"/>
              </w:rPr>
            </w:pPr>
          </w:p>
        </w:tc>
        <w:tc>
          <w:tcPr>
            <w:tcW w:w="314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5"/>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2017</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2017</w:t>
            </w:r>
            <w:r>
              <w:rPr>
                <w:rFonts w:ascii="Arial" w:cs="Arial" w:eastAsia="Arial" w:hAnsi="Arial"/>
                <w:sz w:val="21"/>
                <w:szCs w:val="21"/>
                <w:color w:val="auto"/>
                <w:vertAlign w:val="superscript"/>
              </w:rPr>
              <w:t>(1)</w:t>
            </w:r>
          </w:p>
        </w:tc>
        <w:tc>
          <w:tcPr>
            <w:tcW w:w="160" w:type="dxa"/>
            <w:vAlign w:val="bottom"/>
          </w:tcPr>
          <w:p>
            <w:pPr>
              <w:spacing w:after="0"/>
              <w:rPr>
                <w:sz w:val="21"/>
                <w:szCs w:val="21"/>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370"/>
        </w:trPr>
        <w:tc>
          <w:tcPr>
            <w:tcW w:w="506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color w:val="auto"/>
              </w:rPr>
              <w:t>$3,824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$3,976</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$15,470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$16,077</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color w:val="auto"/>
              </w:rPr>
              <w:t>267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1,248</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$4,754</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$18,963</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$19,814</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$4,073</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$4,256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$15,905</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$16,920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color w:val="auto"/>
              </w:rPr>
              <w:t>$681</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$765</w:t>
            </w:r>
          </w:p>
        </w:tc>
        <w:tc>
          <w:tcPr>
            <w:tcW w:w="120" w:type="dxa"/>
            <w:vAlign w:val="bottom"/>
          </w:tcPr>
          <w:p>
            <w:pPr>
              <w:spacing w:after="0"/>
              <w:rPr>
                <w:sz w:val="21"/>
                <w:szCs w:val="21"/>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$3,058</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$2,894</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52" w:hanging="252"/>
        <w:spacing w:after="0" w:line="291" w:lineRule="auto"/>
        <w:tabs>
          <w:tab w:leader="none" w:pos="279"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2017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3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08"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63"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08"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Constant currency growth rates are a non-GAAP financial measure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We use constant currency growth rates to evaluate the underlying performance of certain of our businesses, and we believe it is also helpful for investors for the same reasons and to present operating results on a comparable basis period over period.</w:t>
      </w:r>
    </w:p>
    <w:p>
      <w:pPr>
        <w:spacing w:after="0" w:line="16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ind w:right="560"/>
        <w:spacing w:after="0" w:line="269"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2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2019-12-28T17:05:31Z</dcterms:created>
  <dcterms:modified xsi:type="dcterms:W3CDTF">2019-12-28T17:05:31Z</dcterms:modified>
</cp:coreProperties>
</file>