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760"/>
        <w:spacing w:after="0"/>
        <w:rPr>
          <w:sz w:val="20"/>
          <w:szCs w:val="20"/>
          <w:color w:val="auto"/>
        </w:rPr>
      </w:pPr>
      <w:r>
        <w:rPr>
          <w:rFonts w:ascii="Arial" w:cs="Arial" w:eastAsia="Arial" w:hAnsi="Arial"/>
          <w:sz w:val="25"/>
          <w:szCs w:val="25"/>
          <w:color w:val="auto"/>
        </w:rPr>
        <w:t>_______________</w:t>
      </w:r>
    </w:p>
    <w:p>
      <w:pPr>
        <w:spacing w:after="0" w:line="261"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380"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Pursuant to Section 13 or 15(d) of the</w:t>
      </w:r>
    </w:p>
    <w:p>
      <w:pPr>
        <w:spacing w:after="0" w:line="10"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Securities Exchange Act of 1934</w:t>
      </w:r>
    </w:p>
    <w:p>
      <w:pPr>
        <w:spacing w:after="0" w:line="287"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Date of report (Date of earliest event reported): July 25, 2016</w:t>
      </w:r>
    </w:p>
    <w:p>
      <w:pPr>
        <w:spacing w:after="0" w:line="217"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Comcast Corporation</w:t>
      </w:r>
    </w:p>
    <w:p>
      <w:pPr>
        <w:spacing w:after="0" w:line="34"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(Exact Name of Registrant</w:t>
      </w:r>
    </w:p>
    <w:p>
      <w:pPr>
        <w:spacing w:after="0" w:line="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as Specified in its Charter)</w:t>
      </w:r>
    </w:p>
    <w:p>
      <w:pPr>
        <w:spacing w:after="0" w:line="20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440" w:type="dxa"/>
        <w:tblCellMar>
          <w:top w:w="0" w:type="dxa"/>
          <w:left w:w="0" w:type="dxa"/>
          <w:bottom w:w="0" w:type="dxa"/>
          <w:right w:w="0" w:type="dxa"/>
        </w:tblCellMar>
      </w:tblPr>
      <w:tr>
        <w:trPr>
          <w:trHeight w:val="220"/>
        </w:trPr>
        <w:tc>
          <w:tcPr>
            <w:tcW w:w="7780" w:type="dxa"/>
            <w:vAlign w:val="bottom"/>
          </w:tcPr>
          <w:p>
            <w:pPr>
              <w:jc w:val="center"/>
              <w:ind w:right="4750"/>
              <w:spacing w:after="0"/>
              <w:rPr>
                <w:sz w:val="20"/>
                <w:szCs w:val="20"/>
                <w:color w:val="auto"/>
              </w:rPr>
            </w:pPr>
            <w:r>
              <w:rPr>
                <w:rFonts w:ascii="Arial" w:cs="Arial" w:eastAsia="Arial" w:hAnsi="Arial"/>
                <w:sz w:val="18"/>
                <w:szCs w:val="18"/>
                <w:b w:val="1"/>
                <w:bCs w:val="1"/>
                <w:color w:val="auto"/>
                <w:w w:val="90"/>
              </w:rPr>
              <w:t>001-32871</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1"/>
              </w:rPr>
              <w:t>27-0000798</w:t>
            </w:r>
          </w:p>
        </w:tc>
      </w:tr>
      <w:tr>
        <w:trPr>
          <w:trHeight w:val="230"/>
        </w:trPr>
        <w:tc>
          <w:tcPr>
            <w:tcW w:w="7780" w:type="dxa"/>
            <w:vAlign w:val="bottom"/>
          </w:tcPr>
          <w:p>
            <w:pPr>
              <w:jc w:val="center"/>
              <w:ind w:right="4750"/>
              <w:spacing w:after="0"/>
              <w:rPr>
                <w:sz w:val="20"/>
                <w:szCs w:val="20"/>
                <w:color w:val="auto"/>
              </w:rPr>
            </w:pPr>
            <w:r>
              <w:rPr>
                <w:rFonts w:ascii="Arial" w:cs="Arial" w:eastAsia="Arial" w:hAnsi="Arial"/>
                <w:sz w:val="18"/>
                <w:szCs w:val="18"/>
                <w:color w:val="auto"/>
                <w:w w:val="92"/>
              </w:rPr>
              <w:t>(Commission File Number)</w:t>
            </w:r>
          </w:p>
        </w:tc>
        <w:tc>
          <w:tcPr>
            <w:tcW w:w="25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7780" w:type="dxa"/>
            <w:vAlign w:val="bottom"/>
          </w:tcPr>
          <w:p>
            <w:pPr>
              <w:jc w:val="center"/>
              <w:ind w:right="4750"/>
              <w:spacing w:after="0"/>
              <w:rPr>
                <w:sz w:val="20"/>
                <w:szCs w:val="20"/>
                <w:color w:val="auto"/>
              </w:rPr>
            </w:pPr>
            <w:r>
              <w:rPr>
                <w:rFonts w:ascii="Arial" w:cs="Arial" w:eastAsia="Arial" w:hAnsi="Arial"/>
                <w:sz w:val="18"/>
                <w:szCs w:val="18"/>
                <w:b w:val="1"/>
                <w:bCs w:val="1"/>
                <w:color w:val="auto"/>
                <w:w w:val="90"/>
              </w:rPr>
              <w:t>One Comcast Center</w:t>
            </w:r>
          </w:p>
        </w:tc>
        <w:tc>
          <w:tcPr>
            <w:tcW w:w="2540" w:type="dxa"/>
            <w:vAlign w:val="bottom"/>
          </w:tcPr>
          <w:p>
            <w:pPr>
              <w:spacing w:after="0"/>
              <w:rPr>
                <w:sz w:val="24"/>
                <w:szCs w:val="24"/>
                <w:color w:val="auto"/>
              </w:rPr>
            </w:pPr>
          </w:p>
        </w:tc>
      </w:tr>
      <w:tr>
        <w:trPr>
          <w:trHeight w:val="220"/>
        </w:trPr>
        <w:tc>
          <w:tcPr>
            <w:tcW w:w="7780" w:type="dxa"/>
            <w:vAlign w:val="bottom"/>
          </w:tcPr>
          <w:p>
            <w:pPr>
              <w:jc w:val="center"/>
              <w:ind w:right="4770"/>
              <w:spacing w:after="0"/>
              <w:rPr>
                <w:sz w:val="20"/>
                <w:szCs w:val="20"/>
                <w:color w:val="auto"/>
              </w:rPr>
            </w:pPr>
            <w:r>
              <w:rPr>
                <w:rFonts w:ascii="Arial" w:cs="Arial" w:eastAsia="Arial" w:hAnsi="Arial"/>
                <w:sz w:val="18"/>
                <w:szCs w:val="18"/>
                <w:b w:val="1"/>
                <w:bCs w:val="1"/>
                <w:color w:val="auto"/>
                <w:w w:val="90"/>
              </w:rPr>
              <w:t>Philadelphia, PA</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1"/>
              </w:rPr>
              <w:t>19103-2838</w:t>
            </w:r>
          </w:p>
        </w:tc>
      </w:tr>
      <w:tr>
        <w:trPr>
          <w:trHeight w:val="230"/>
        </w:trPr>
        <w:tc>
          <w:tcPr>
            <w:tcW w:w="7780" w:type="dxa"/>
            <w:vAlign w:val="bottom"/>
          </w:tcPr>
          <w:p>
            <w:pPr>
              <w:jc w:val="center"/>
              <w:ind w:right="4750"/>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648"/>
        </w:trPr>
        <w:tc>
          <w:tcPr>
            <w:tcW w:w="7780" w:type="dxa"/>
            <w:vAlign w:val="bottom"/>
          </w:tcPr>
          <w:p>
            <w:pPr>
              <w:jc w:val="center"/>
              <w:ind w:left="267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(215) 286-1700</w:t>
            </w:r>
          </w:p>
        </w:tc>
        <w:tc>
          <w:tcPr>
            <w:tcW w:w="2540" w:type="dxa"/>
            <w:vAlign w:val="bottom"/>
          </w:tcPr>
          <w:p>
            <w:pPr>
              <w:spacing w:after="0"/>
              <w:rPr>
                <w:sz w:val="24"/>
                <w:szCs w:val="24"/>
                <w:color w:val="auto"/>
              </w:rPr>
            </w:pPr>
          </w:p>
        </w:tc>
      </w:tr>
      <w:tr>
        <w:trPr>
          <w:trHeight w:val="432"/>
        </w:trPr>
        <w:tc>
          <w:tcPr>
            <w:tcW w:w="7780" w:type="dxa"/>
            <w:vAlign w:val="bottom"/>
          </w:tcPr>
          <w:p>
            <w:pPr>
              <w:jc w:val="center"/>
              <w:ind w:left="26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540" w:type="dxa"/>
            <w:vAlign w:val="bottom"/>
          </w:tcPr>
          <w:p>
            <w:pPr>
              <w:spacing w:after="0"/>
              <w:rPr>
                <w:sz w:val="24"/>
                <w:szCs w:val="24"/>
                <w:color w:val="auto"/>
              </w:rPr>
            </w:pPr>
          </w:p>
        </w:tc>
      </w:tr>
      <w:tr>
        <w:trPr>
          <w:trHeight w:val="432"/>
        </w:trPr>
        <w:tc>
          <w:tcPr>
            <w:tcW w:w="7780" w:type="dxa"/>
            <w:vAlign w:val="bottom"/>
          </w:tcPr>
          <w:p>
            <w:pPr>
              <w:jc w:val="center"/>
              <w:ind w:left="2670"/>
              <w:spacing w:after="0"/>
              <w:rPr>
                <w:sz w:val="20"/>
                <w:szCs w:val="20"/>
                <w:color w:val="auto"/>
              </w:rPr>
            </w:pPr>
            <w:r>
              <w:rPr>
                <w:rFonts w:ascii="Arial" w:cs="Arial" w:eastAsia="Arial" w:hAnsi="Arial"/>
                <w:sz w:val="18"/>
                <w:szCs w:val="18"/>
                <w:color w:val="auto"/>
                <w:w w:val="90"/>
              </w:rPr>
              <w:t>_________________________</w:t>
            </w:r>
          </w:p>
        </w:tc>
        <w:tc>
          <w:tcPr>
            <w:tcW w:w="2540" w:type="dxa"/>
            <w:vAlign w:val="bottom"/>
          </w:tcPr>
          <w:p>
            <w:pPr>
              <w:spacing w:after="0"/>
              <w:rPr>
                <w:sz w:val="24"/>
                <w:szCs w:val="24"/>
                <w:color w:val="auto"/>
              </w:rPr>
            </w:pPr>
          </w:p>
        </w:tc>
      </w:tr>
    </w:tbl>
    <w:p>
      <w:pPr>
        <w:spacing w:after="0" w:line="200" w:lineRule="exact"/>
        <w:rPr>
          <w:sz w:val="24"/>
          <w:szCs w:val="24"/>
          <w:color w:val="auto"/>
        </w:rPr>
      </w:pPr>
    </w:p>
    <w:p>
      <w:pPr>
        <w:spacing w:after="0" w:line="218"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[_] Written communications pursuant to Rule 425 under the Securities Act (17 CFR 230.425)</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[_] Soliciting material pursuant to Rule 14a-12 under the Exchange Act (17 CFR 240.14a-12)</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[_] Pre-commencement communications pursuant to Rule 14d-2(b) under the Exchange Act (17 CFR 240.14d-2(b))</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[_]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1156" w:right="779" w:bottom="1440" w:gutter="0" w:footer="0" w:header="0"/>
        </w:sectPr>
      </w:pPr>
    </w:p>
    <w:bookmarkStart w:id="1" w:name="page2"/>
    <w:bookmarkEnd w:id="1"/>
    <w:p>
      <w:pPr>
        <w:ind w:right="3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38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July 25, 2016, the employment agreement of Mr. Stephen B. Burke, Senior Executive Vice President of Comcast Corporation and the President and Chief Executive Officer of NBCUniversal Media, LLC, was amended, securing Mr. Burke’s employment through August 31, 2020. On account of Mr. Burke’s continuing outstanding work in improving NBCUniversal’s businesses and results, and to incent him to continue to make decisions that build long-term value for NBCUniversal, the amendment provides that Mr. Burke will be granted a stock option with a grant date fair value of $10 million, vesting 100% on August 14, 2023; however, Mr. Burke has agreed not to sell any net after-tax shares received upon exercise before the second anniversary of the exercise date. Additionally, the amendment continues the structure under Mr. Burke’s current employment agreement of crediting contributions to his deferred compensation plan account, with $4.1 million being credited in 2017 and annual contributions increasing by 5% each year thereafter through 2020.</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above summary is qualified by its entirety by the terms and conditions set forth in the amendment, a copy of which is attached hereto as Exhibit 99.1.</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9.01(d). Exhibits.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13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Amendment No. 3 to Employment Agreement with Stephen B.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880" w:type="dxa"/>
            <w:vAlign w:val="bottom"/>
            <w:gridSpan w:val="2"/>
          </w:tcPr>
          <w:p>
            <w:pPr>
              <w:ind w:left="186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3540" w:type="dxa"/>
            <w:vAlign w:val="bottom"/>
          </w:tcPr>
          <w:p>
            <w:pPr>
              <w:spacing w:after="0"/>
              <w:rPr>
                <w:sz w:val="20"/>
                <w:szCs w:val="20"/>
                <w:color w:val="auto"/>
              </w:rPr>
            </w:pPr>
            <w:r>
              <w:rPr>
                <w:rFonts w:ascii="Arial" w:cs="Arial" w:eastAsia="Arial" w:hAnsi="Arial"/>
                <w:sz w:val="18"/>
                <w:szCs w:val="18"/>
                <w:color w:val="auto"/>
              </w:rPr>
              <w:t>Date:    July 28, 2016</w:t>
            </w:r>
          </w:p>
        </w:tc>
        <w:tc>
          <w:tcPr>
            <w:tcW w:w="7880" w:type="dxa"/>
            <w:vAlign w:val="bottom"/>
            <w:gridSpan w:val="2"/>
          </w:tcPr>
          <w:p>
            <w:pPr>
              <w:ind w:left="1860"/>
              <w:spacing w:after="0"/>
              <w:rPr>
                <w:sz w:val="20"/>
                <w:szCs w:val="20"/>
                <w:color w:val="auto"/>
              </w:rPr>
            </w:pPr>
            <w:r>
              <w:rPr>
                <w:rFonts w:ascii="Arial" w:cs="Arial" w:eastAsia="Arial" w:hAnsi="Arial"/>
                <w:sz w:val="18"/>
                <w:szCs w:val="18"/>
                <w:color w:val="auto"/>
              </w:rPr>
              <w:t>By:  /s/ Arthur R. Block</w:t>
            </w:r>
          </w:p>
        </w:tc>
      </w:tr>
      <w:tr>
        <w:trPr>
          <w:trHeight w:val="195"/>
        </w:trPr>
        <w:tc>
          <w:tcPr>
            <w:tcW w:w="35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Arthur R. Block</w:t>
            </w:r>
          </w:p>
        </w:tc>
      </w:tr>
      <w:tr>
        <w:trPr>
          <w:trHeight w:val="230"/>
        </w:trPr>
        <w:tc>
          <w:tcPr>
            <w:tcW w:w="35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r>
        <w:trPr>
          <w:trHeight w:val="1107"/>
        </w:trPr>
        <w:tc>
          <w:tcPr>
            <w:tcW w:w="35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 TO EMPLOYMENT AGREEMENT</w:t>
      </w:r>
    </w:p>
    <w:p>
      <w:pPr>
        <w:spacing w:after="0" w:line="229" w:lineRule="exact"/>
        <w:rPr>
          <w:sz w:val="20"/>
          <w:szCs w:val="20"/>
          <w:color w:val="auto"/>
        </w:rPr>
      </w:pPr>
    </w:p>
    <w:p>
      <w:pPr>
        <w:ind w:right="720" w:firstLine="1297"/>
        <w:spacing w:after="0" w:line="342" w:lineRule="auto"/>
        <w:rPr>
          <w:sz w:val="20"/>
          <w:szCs w:val="20"/>
          <w:color w:val="auto"/>
        </w:rPr>
      </w:pPr>
      <w:r>
        <w:rPr>
          <w:rFonts w:ascii="Arial" w:cs="Arial" w:eastAsia="Arial" w:hAnsi="Arial"/>
          <w:sz w:val="16"/>
          <w:szCs w:val="16"/>
          <w:color w:val="auto"/>
        </w:rPr>
        <w:t>This AMENDMENT NO. 3 TO EMPLOYMENT AGREEMENT is entered as of the 25th day of July, 2016, between COMCAST CORPORATION, a Pennsylvania corporation (together with its subsidiaries, the “Company”), and STEPHEN B. BURKE (“Employee”).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400" w:firstLine="1297"/>
        <w:spacing w:after="0" w:line="264" w:lineRule="auto"/>
        <w:rPr>
          <w:sz w:val="20"/>
          <w:szCs w:val="20"/>
          <w:color w:val="auto"/>
        </w:rPr>
      </w:pPr>
      <w:r>
        <w:rPr>
          <w:rFonts w:ascii="Arial" w:cs="Arial" w:eastAsia="Arial" w:hAnsi="Arial"/>
          <w:sz w:val="18"/>
          <w:szCs w:val="18"/>
          <w:color w:val="auto"/>
        </w:rPr>
        <w:t>WHEREAS, the parties entered into an Employment Agreement dated as of December 16, 2009, an Amendment No. 1 to Employment Agreement dated as of December 14, 2012, and an Amendment No. 2 to Employment Agreement dated as of August 16, 2013 (collectively, the “Agreement”), that sets forth the terms and conditions of Employee’s employment with the Company, and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Company and Employee wish to amend the Agreement as set forth herein.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225" w:lineRule="exact"/>
        <w:rPr>
          <w:sz w:val="20"/>
          <w:szCs w:val="20"/>
          <w:color w:val="auto"/>
        </w:rPr>
      </w:pPr>
    </w:p>
    <w:p>
      <w:pPr>
        <w:ind w:left="1660" w:hanging="355"/>
        <w:spacing w:after="0"/>
        <w:tabs>
          <w:tab w:leader="none" w:pos="1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Subparagraph 2(b) of the Agreement is hereby modified to read in its entirety as follows: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 August 31, 2020 (the date specified in subparagraph (b) is referred to as “Regular End Date”).”</w:t>
      </w:r>
    </w:p>
    <w:p>
      <w:pPr>
        <w:spacing w:after="0" w:line="225" w:lineRule="exact"/>
        <w:rPr>
          <w:sz w:val="20"/>
          <w:szCs w:val="20"/>
          <w:color w:val="auto"/>
        </w:rPr>
      </w:pPr>
    </w:p>
    <w:p>
      <w:pPr>
        <w:ind w:right="40" w:firstLine="1305"/>
        <w:spacing w:after="0" w:line="259" w:lineRule="auto"/>
        <w:tabs>
          <w:tab w:leader="none" w:pos="1701"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account of Employee’s continuing outstanding work in improving NBCUniversal’s businesses and results, Employee shall be granted a stock option under the Company’s Stock Option Plan, as soon as practicable following the date hereof, for shares of the Class A Common Stock having a Black-Scholes value of $10,000,000, vesting 100% on August 14, 2023. Employee hereby agrees that Employee will not sell any net after-tax shares received upon exercise prior to the second anniversary of the exercise date.</w:t>
      </w:r>
    </w:p>
    <w:p>
      <w:pPr>
        <w:spacing w:after="0" w:line="186" w:lineRule="exact"/>
        <w:rPr>
          <w:rFonts w:ascii="Arial" w:cs="Arial" w:eastAsia="Arial" w:hAnsi="Arial"/>
          <w:sz w:val="18"/>
          <w:szCs w:val="18"/>
          <w:color w:val="auto"/>
        </w:rPr>
      </w:pPr>
    </w:p>
    <w:p>
      <w:pPr>
        <w:ind w:left="1660" w:hanging="355"/>
        <w:spacing w:after="0"/>
        <w:tabs>
          <w:tab w:leader="none" w:pos="1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Subparagraph 3(e)(ii) of the Agreement is hereby amended to read in its entirety as follows:</w:t>
      </w:r>
    </w:p>
    <w:p>
      <w:pPr>
        <w:spacing w:after="0" w:line="225" w:lineRule="exact"/>
        <w:rPr>
          <w:sz w:val="20"/>
          <w:szCs w:val="20"/>
          <w:color w:val="auto"/>
        </w:rPr>
      </w:pPr>
    </w:p>
    <w:p>
      <w:pPr>
        <w:ind w:left="1620" w:right="120"/>
        <w:spacing w:after="0" w:line="259" w:lineRule="auto"/>
        <w:rPr>
          <w:sz w:val="20"/>
          <w:szCs w:val="20"/>
          <w:color w:val="auto"/>
        </w:rPr>
      </w:pPr>
      <w:r>
        <w:rPr>
          <w:rFonts w:ascii="Arial" w:cs="Arial" w:eastAsia="Arial" w:hAnsi="Arial"/>
          <w:sz w:val="18"/>
          <w:szCs w:val="18"/>
          <w:color w:val="auto"/>
        </w:rPr>
        <w:t>“(ii) In addition, the Company shall credit to Employee’s account under, and pursuant to the terms and conditions of, the Company’s 2005 Deferred Compensation Plan (or any successor plan), as of each of the following dates, the amounts listed in the following table. Employee may elect to postpone the scheduled payment dates listed below to the extent permitted under such Plan (or any successor plan).</w:t>
      </w:r>
    </w:p>
    <w:p>
      <w:pPr>
        <w:spacing w:after="0" w:line="181" w:lineRule="exact"/>
        <w:rPr>
          <w:sz w:val="20"/>
          <w:szCs w:val="20"/>
          <w:color w:val="auto"/>
        </w:rPr>
      </w:pPr>
    </w:p>
    <w:tbl>
      <w:tblPr>
        <w:tblLayout w:type="fixed"/>
        <w:tblInd w:w="1390" w:type="dxa"/>
        <w:tblCellMar>
          <w:top w:w="0" w:type="dxa"/>
          <w:left w:w="0" w:type="dxa"/>
          <w:bottom w:w="0" w:type="dxa"/>
          <w:right w:w="0" w:type="dxa"/>
        </w:tblCellMar>
      </w:tblPr>
      <w:tr>
        <w:trPr>
          <w:trHeight w:val="270"/>
        </w:trPr>
        <w:tc>
          <w:tcPr>
            <w:tcW w:w="3680" w:type="dxa"/>
            <w:vAlign w:val="bottom"/>
            <w:tcBorders>
              <w:top w:val="single" w:sz="8" w:color="auto"/>
              <w:left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DATE OF CREDIT</w:t>
            </w:r>
          </w:p>
        </w:tc>
        <w:tc>
          <w:tcPr>
            <w:tcW w:w="3180" w:type="dxa"/>
            <w:vAlign w:val="bottom"/>
            <w:tcBorders>
              <w:top w:val="single" w:sz="8" w:color="auto"/>
              <w:right w:val="single" w:sz="8" w:color="auto"/>
            </w:tcBorders>
          </w:tcPr>
          <w:p>
            <w:pPr>
              <w:jc w:val="right"/>
              <w:ind w:right="650"/>
              <w:spacing w:after="0"/>
              <w:rPr>
                <w:sz w:val="20"/>
                <w:szCs w:val="20"/>
                <w:color w:val="auto"/>
              </w:rPr>
            </w:pPr>
            <w:r>
              <w:rPr>
                <w:rFonts w:ascii="Arial" w:cs="Arial" w:eastAsia="Arial" w:hAnsi="Arial"/>
                <w:sz w:val="18"/>
                <w:szCs w:val="18"/>
                <w:color w:val="auto"/>
              </w:rPr>
              <w:t>AMOUNT OF CREDIT</w:t>
            </w:r>
          </w:p>
        </w:tc>
        <w:tc>
          <w:tcPr>
            <w:tcW w:w="318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SCHEDULED PAYMENT DATE</w:t>
            </w:r>
          </w:p>
        </w:tc>
      </w:tr>
      <w:tr>
        <w:trPr>
          <w:trHeight w:val="41"/>
        </w:trPr>
        <w:tc>
          <w:tcPr>
            <w:tcW w:w="3680" w:type="dxa"/>
            <w:vAlign w:val="bottom"/>
            <w:tcBorders>
              <w:left w:val="single" w:sz="8" w:color="auto"/>
              <w:bottom w:val="single" w:sz="8" w:color="auto"/>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r>
      <w:tr>
        <w:trPr>
          <w:trHeight w:val="250"/>
        </w:trPr>
        <w:tc>
          <w:tcPr>
            <w:tcW w:w="3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January 1, 2017</w:t>
            </w:r>
          </w:p>
        </w:tc>
        <w:tc>
          <w:tcPr>
            <w:tcW w:w="3180" w:type="dxa"/>
            <w:vAlign w:val="bottom"/>
            <w:tcBorders>
              <w:right w:val="single" w:sz="8" w:color="auto"/>
            </w:tcBorders>
          </w:tcPr>
          <w:p>
            <w:pPr>
              <w:jc w:val="right"/>
              <w:ind w:right="2290"/>
              <w:spacing w:after="0"/>
              <w:rPr>
                <w:sz w:val="20"/>
                <w:szCs w:val="20"/>
                <w:color w:val="auto"/>
              </w:rPr>
            </w:pPr>
            <w:r>
              <w:rPr>
                <w:rFonts w:ascii="Arial" w:cs="Arial" w:eastAsia="Arial" w:hAnsi="Arial"/>
                <w:sz w:val="18"/>
                <w:szCs w:val="18"/>
                <w:color w:val="auto"/>
                <w:w w:val="86"/>
              </w:rPr>
              <w:t>$4,051,688</w:t>
            </w:r>
          </w:p>
        </w:tc>
        <w:tc>
          <w:tcPr>
            <w:tcW w:w="3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January 2, 2021</w:t>
            </w:r>
          </w:p>
        </w:tc>
      </w:tr>
      <w:tr>
        <w:trPr>
          <w:trHeight w:val="41"/>
        </w:trPr>
        <w:tc>
          <w:tcPr>
            <w:tcW w:w="3680" w:type="dxa"/>
            <w:vAlign w:val="bottom"/>
            <w:tcBorders>
              <w:left w:val="single" w:sz="8" w:color="auto"/>
              <w:bottom w:val="single" w:sz="8" w:color="auto"/>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r>
      <w:tr>
        <w:trPr>
          <w:trHeight w:val="250"/>
        </w:trPr>
        <w:tc>
          <w:tcPr>
            <w:tcW w:w="3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January 1, 2018</w:t>
            </w:r>
          </w:p>
        </w:tc>
        <w:tc>
          <w:tcPr>
            <w:tcW w:w="3180" w:type="dxa"/>
            <w:vAlign w:val="bottom"/>
            <w:tcBorders>
              <w:right w:val="single" w:sz="8" w:color="auto"/>
            </w:tcBorders>
          </w:tcPr>
          <w:p>
            <w:pPr>
              <w:jc w:val="right"/>
              <w:ind w:right="2290"/>
              <w:spacing w:after="0"/>
              <w:rPr>
                <w:sz w:val="20"/>
                <w:szCs w:val="20"/>
                <w:color w:val="auto"/>
              </w:rPr>
            </w:pPr>
            <w:r>
              <w:rPr>
                <w:rFonts w:ascii="Arial" w:cs="Arial" w:eastAsia="Arial" w:hAnsi="Arial"/>
                <w:sz w:val="18"/>
                <w:szCs w:val="18"/>
                <w:color w:val="auto"/>
                <w:w w:val="86"/>
              </w:rPr>
              <w:t>$4,254,272</w:t>
            </w:r>
          </w:p>
        </w:tc>
        <w:tc>
          <w:tcPr>
            <w:tcW w:w="3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January 2, 2021</w:t>
            </w:r>
          </w:p>
        </w:tc>
      </w:tr>
      <w:tr>
        <w:trPr>
          <w:trHeight w:val="41"/>
        </w:trPr>
        <w:tc>
          <w:tcPr>
            <w:tcW w:w="3680" w:type="dxa"/>
            <w:vAlign w:val="bottom"/>
            <w:tcBorders>
              <w:left w:val="single" w:sz="8" w:color="auto"/>
              <w:bottom w:val="single" w:sz="8" w:color="auto"/>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r>
      <w:tr>
        <w:trPr>
          <w:trHeight w:val="250"/>
        </w:trPr>
        <w:tc>
          <w:tcPr>
            <w:tcW w:w="3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January 1, 2019</w:t>
            </w:r>
          </w:p>
        </w:tc>
        <w:tc>
          <w:tcPr>
            <w:tcW w:w="3180" w:type="dxa"/>
            <w:vAlign w:val="bottom"/>
            <w:tcBorders>
              <w:right w:val="single" w:sz="8" w:color="auto"/>
            </w:tcBorders>
          </w:tcPr>
          <w:p>
            <w:pPr>
              <w:jc w:val="right"/>
              <w:ind w:right="2290"/>
              <w:spacing w:after="0"/>
              <w:rPr>
                <w:sz w:val="20"/>
                <w:szCs w:val="20"/>
                <w:color w:val="auto"/>
              </w:rPr>
            </w:pPr>
            <w:r>
              <w:rPr>
                <w:rFonts w:ascii="Arial" w:cs="Arial" w:eastAsia="Arial" w:hAnsi="Arial"/>
                <w:sz w:val="18"/>
                <w:szCs w:val="18"/>
                <w:color w:val="auto"/>
                <w:w w:val="86"/>
              </w:rPr>
              <w:t>$4,466,986</w:t>
            </w:r>
          </w:p>
        </w:tc>
        <w:tc>
          <w:tcPr>
            <w:tcW w:w="3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January 2, 2021</w:t>
            </w:r>
          </w:p>
        </w:tc>
      </w:tr>
      <w:tr>
        <w:trPr>
          <w:trHeight w:val="41"/>
        </w:trPr>
        <w:tc>
          <w:tcPr>
            <w:tcW w:w="3680" w:type="dxa"/>
            <w:vAlign w:val="bottom"/>
            <w:tcBorders>
              <w:left w:val="single" w:sz="8" w:color="auto"/>
              <w:bottom w:val="single" w:sz="8" w:color="auto"/>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r>
      <w:tr>
        <w:trPr>
          <w:trHeight w:val="250"/>
        </w:trPr>
        <w:tc>
          <w:tcPr>
            <w:tcW w:w="3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January 1, 2020</w:t>
            </w:r>
          </w:p>
        </w:tc>
        <w:tc>
          <w:tcPr>
            <w:tcW w:w="3180" w:type="dxa"/>
            <w:vAlign w:val="bottom"/>
            <w:tcBorders>
              <w:right w:val="single" w:sz="8" w:color="auto"/>
            </w:tcBorders>
          </w:tcPr>
          <w:p>
            <w:pPr>
              <w:jc w:val="right"/>
              <w:ind w:right="2290"/>
              <w:spacing w:after="0"/>
              <w:rPr>
                <w:sz w:val="20"/>
                <w:szCs w:val="20"/>
                <w:color w:val="auto"/>
              </w:rPr>
            </w:pPr>
            <w:r>
              <w:rPr>
                <w:rFonts w:ascii="Arial" w:cs="Arial" w:eastAsia="Arial" w:hAnsi="Arial"/>
                <w:sz w:val="18"/>
                <w:szCs w:val="18"/>
                <w:color w:val="auto"/>
                <w:w w:val="86"/>
              </w:rPr>
              <w:t>$4,690,335</w:t>
            </w:r>
          </w:p>
        </w:tc>
        <w:tc>
          <w:tcPr>
            <w:tcW w:w="3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January 2, 2021</w:t>
            </w:r>
          </w:p>
        </w:tc>
      </w:tr>
      <w:tr>
        <w:trPr>
          <w:trHeight w:val="41"/>
        </w:trPr>
        <w:tc>
          <w:tcPr>
            <w:tcW w:w="3680" w:type="dxa"/>
            <w:vAlign w:val="bottom"/>
            <w:tcBorders>
              <w:left w:val="single" w:sz="8" w:color="auto"/>
              <w:bottom w:val="single" w:sz="8" w:color="auto"/>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0"/>
          <w:szCs w:val="20"/>
          <w:color w:val="auto"/>
        </w:rPr>
      </w:pPr>
    </w:p>
    <w:p>
      <w:pPr>
        <w:ind w:left="1660" w:hanging="355"/>
        <w:spacing w:after="0"/>
        <w:tabs>
          <w:tab w:leader="none" w:pos="1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Except as amended hereby, the Agreement shall continue unmodified and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ind w:left="100"/>
        <w:spacing w:after="0"/>
        <w:rPr>
          <w:sz w:val="20"/>
          <w:szCs w:val="20"/>
          <w:color w:val="auto"/>
        </w:rPr>
      </w:pPr>
      <w:r>
        <w:rPr>
          <w:rFonts w:ascii="Arial" w:cs="Arial" w:eastAsia="Arial" w:hAnsi="Arial"/>
          <w:sz w:val="16"/>
          <w:szCs w:val="16"/>
          <w:color w:val="auto"/>
        </w:rPr>
        <w:t>IN WITNESS WHEREOF, the parties hereto have executed and delivered this Amendment as of the date first-above written.</w:t>
      </w:r>
    </w:p>
    <w:p>
      <w:pPr>
        <w:sectPr>
          <w:pgSz w:w="11900" w:h="16838" w:orient="portrait"/>
          <w:cols w:equalWidth="0" w:num="1">
            <w:col w:w="9100"/>
          </w:cols>
          <w:pgMar w:left="1440" w:top="692" w:right="135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COMCAST CORPORATION</w:t>
      </w:r>
    </w:p>
    <w:p>
      <w:pPr>
        <w:spacing w:after="0" w:line="248"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L. Cohen</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EMPLOYEE:</w:t>
      </w:r>
    </w:p>
    <w:p>
      <w:pPr>
        <w:spacing w:after="0" w:line="23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 Stephen B.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2510790</wp:posOffset>
            </wp:positionH>
            <wp:positionV relativeFrom="paragraph">
              <wp:posOffset>-10160</wp:posOffset>
            </wp:positionV>
            <wp:extent cx="10318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1875" cy="8890"/>
                    </a:xfrm>
                    <a:prstGeom prst="rect">
                      <a:avLst/>
                    </a:prstGeom>
                    <a:noFill/>
                  </pic:spPr>
                </pic:pic>
              </a:graphicData>
            </a:graphic>
          </wp:anchor>
        </w:drawing>
      </w:r>
    </w:p>
    <w:p>
      <w:pPr>
        <w:spacing w:after="0" w:line="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Stephen B.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709295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100"/>
      </w:cols>
      <w:pgMar w:left="1440" w:top="692" w:right="1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2019-12-07T15:45:21Z</dcterms:created>
  <dcterms:modified xsi:type="dcterms:W3CDTF">2019-12-07T15:45:21Z</dcterms:modified>
</cp:coreProperties>
</file>