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Madeline S.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5,096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56,859.732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settlement of phantom stock. The reporting person received cash for the fractional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reflects adjustment of outstanding awards as a result of the spin-off of Versant Media Group, Inc.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convert on a one-to-one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were automatically converted to shares of Class A common stock on the transaction date pursuant to a previously deferred award.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758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2026-01-22T18:54:55Z</dcterms:created>
  <dcterms:modified xsi:type="dcterms:W3CDTF">2026-01-22T18:54:55Z</dcterms:modified>
</cp:coreProperties>
</file>