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7" w:lineRule="exact"/>
        <w:rPr>
          <w:sz w:val="24"/>
          <w:szCs w:val="24"/>
          <w:color w:val="auto"/>
        </w:rPr>
      </w:pPr>
    </w:p>
    <w:p>
      <w:pPr>
        <w:ind w:left="1060" w:right="2839" w:firstLine="211"/>
        <w:spacing w:after="0" w:line="268" w:lineRule="auto"/>
        <w:rPr>
          <w:sz w:val="20"/>
          <w:szCs w:val="20"/>
          <w:color w:val="auto"/>
        </w:rPr>
      </w:pPr>
      <w:r>
        <w:rPr>
          <w:rFonts w:ascii="Courier New" w:cs="Courier New" w:eastAsia="Courier New" w:hAnsi="Courier New"/>
          <w:sz w:val="16"/>
          <w:szCs w:val="16"/>
          <w:color w:val="auto"/>
        </w:rPr>
        <w:t>INFORMATION TO BE INCLUDED IN STATEMENTS FILED PURSUANT TO RULES 13d-1(b), (c), AND (d) AND AMENDMENTS THERETO FILED</w:t>
      </w:r>
    </w:p>
    <w:p>
      <w:pPr>
        <w:ind w:left="2860"/>
        <w:spacing w:after="0" w:line="233" w:lineRule="auto"/>
        <w:rPr>
          <w:sz w:val="20"/>
          <w:szCs w:val="20"/>
          <w:color w:val="auto"/>
        </w:rPr>
      </w:pPr>
      <w:r>
        <w:rPr>
          <w:rFonts w:ascii="Courier New" w:cs="Courier New" w:eastAsia="Courier New" w:hAnsi="Courier New"/>
          <w:sz w:val="18"/>
          <w:szCs w:val="18"/>
          <w:color w:val="auto"/>
        </w:rPr>
        <w:t>PURSUANT TO RULE 13d-2(b)</w:t>
      </w:r>
    </w:p>
    <w:p>
      <w:pPr>
        <w:ind w:left="328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Lightspan,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Common Stock, par value $.001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53226T103</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December 31, 2001</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ind w:left="740" w:hanging="205"/>
        <w:spacing w:after="0"/>
        <w:tabs>
          <w:tab w:leader="none" w:pos="7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13d-1(b)</w:t>
      </w:r>
    </w:p>
    <w:p>
      <w:pPr>
        <w:spacing w:after="0" w:line="4" w:lineRule="exact"/>
        <w:rPr>
          <w:rFonts w:ascii="Courier New" w:cs="Courier New" w:eastAsia="Courier New" w:hAnsi="Courier New"/>
          <w:sz w:val="18"/>
          <w:szCs w:val="18"/>
          <w:color w:val="auto"/>
        </w:rPr>
      </w:pPr>
    </w:p>
    <w:p>
      <w:pPr>
        <w:jc w:val="both"/>
        <w:ind w:left="540" w:right="7899" w:hanging="5"/>
        <w:spacing w:after="0" w:line="290" w:lineRule="auto"/>
        <w:tabs>
          <w:tab w:leader="none" w:pos="75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13d-1(c) [X] Rule 13d-1(d)</w:t>
      </w:r>
    </w:p>
    <w:p>
      <w:pPr>
        <w:spacing w:after="0" w:line="16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right="1879" w:firstLine="535"/>
        <w:spacing w:after="0" w:line="237" w:lineRule="auto"/>
        <w:tabs>
          <w:tab w:leader="none" w:pos="7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th of Section 18 of the Securities Exchange Act of 1934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4200" w:val="left"/>
          <w:tab w:leader="none" w:pos="6620" w:val="left"/>
        </w:tabs>
        <w:rPr>
          <w:sz w:val="20"/>
          <w:szCs w:val="20"/>
          <w:color w:val="auto"/>
        </w:rPr>
      </w:pPr>
      <w:r>
        <w:rPr>
          <w:rFonts w:ascii="Courier New" w:cs="Courier New" w:eastAsia="Courier New" w:hAnsi="Courier New"/>
          <w:sz w:val="18"/>
          <w:szCs w:val="18"/>
          <w:color w:val="auto"/>
        </w:rPr>
        <w:t>CUSIP No. 53226T103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1 of 1 Pages</w:t>
      </w:r>
    </w:p>
    <w:p>
      <w:pPr>
        <w:spacing w:after="0" w:line="207"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736"/>
        <w:spacing w:after="0" w:line="238" w:lineRule="auto"/>
        <w:tabs>
          <w:tab w:leader="none" w:pos="10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7" w:lineRule="exact"/>
        <w:rPr>
          <w:rFonts w:ascii="Courier New" w:cs="Courier New" w:eastAsia="Courier New" w:hAnsi="Courier New"/>
          <w:sz w:val="18"/>
          <w:szCs w:val="18"/>
          <w:color w:val="auto"/>
        </w:rPr>
      </w:pPr>
    </w:p>
    <w:p>
      <w:pPr>
        <w:ind w:left="1060" w:right="7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Comcast Corporation 23-1709202</w:t>
      </w: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320" w:type="dxa"/>
        <w:tblCellMar>
          <w:top w:w="0" w:type="dxa"/>
          <w:left w:w="0" w:type="dxa"/>
          <w:bottom w:w="0" w:type="dxa"/>
          <w:right w:w="0" w:type="dxa"/>
        </w:tblCellMar>
      </w:tblPr>
      <w:tr>
        <w:trPr>
          <w:trHeight w:val="204"/>
        </w:trPr>
        <w:tc>
          <w:tcPr>
            <w:tcW w:w="4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2.</w:t>
            </w:r>
          </w:p>
        </w:tc>
        <w:tc>
          <w:tcPr>
            <w:tcW w:w="5800" w:type="dxa"/>
            <w:vAlign w:val="bottom"/>
          </w:tcPr>
          <w:p>
            <w:pPr>
              <w:ind w:left="26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720" w:type="dxa"/>
            <w:vAlign w:val="bottom"/>
          </w:tcPr>
          <w:p>
            <w:pPr>
              <w:ind w:left="360"/>
              <w:spacing w:after="0"/>
              <w:rPr>
                <w:sz w:val="20"/>
                <w:szCs w:val="20"/>
                <w:color w:val="auto"/>
              </w:rPr>
            </w:pPr>
            <w:r>
              <w:rPr>
                <w:rFonts w:ascii="Courier New" w:cs="Courier New" w:eastAsia="Courier New" w:hAnsi="Courier New"/>
                <w:sz w:val="18"/>
                <w:szCs w:val="18"/>
                <w:color w:val="auto"/>
              </w:rPr>
              <w:t>(a)</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w w:val="92"/>
              </w:rPr>
              <w:t>[ ]</w:t>
            </w:r>
          </w:p>
        </w:tc>
      </w:tr>
      <w:tr>
        <w:trPr>
          <w:trHeight w:val="203"/>
        </w:trPr>
        <w:tc>
          <w:tcPr>
            <w:tcW w:w="48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7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(b)</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[X]</w:t>
            </w:r>
          </w:p>
        </w:tc>
      </w:tr>
    </w:tbl>
    <w:p>
      <w:pPr>
        <w:spacing w:after="0" w:line="207"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736"/>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right="5359" w:hanging="736"/>
        <w:spacing w:after="0" w:line="357" w:lineRule="auto"/>
        <w:tabs>
          <w:tab w:leader="none" w:pos="10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Pennsylvania</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1840" w:type="dxa"/>
            <w:vAlign w:val="bottom"/>
          </w:tcPr>
          <w:p>
            <w:pPr>
              <w:spacing w:after="0"/>
              <w:rPr>
                <w:sz w:val="17"/>
                <w:szCs w:val="17"/>
                <w:color w:val="auto"/>
              </w:rPr>
            </w:pPr>
          </w:p>
        </w:tc>
        <w:tc>
          <w:tcPr>
            <w:tcW w:w="1000" w:type="dxa"/>
            <w:vAlign w:val="bottom"/>
          </w:tcPr>
          <w:p>
            <w:pPr>
              <w:ind w:left="580"/>
              <w:spacing w:after="0"/>
              <w:rPr>
                <w:sz w:val="20"/>
                <w:szCs w:val="20"/>
                <w:color w:val="auto"/>
              </w:rPr>
            </w:pPr>
            <w:r>
              <w:rPr>
                <w:rFonts w:ascii="Courier New" w:cs="Courier New" w:eastAsia="Courier New" w:hAnsi="Courier New"/>
                <w:sz w:val="18"/>
                <w:szCs w:val="18"/>
                <w:color w:val="auto"/>
              </w:rPr>
              <w:t>5.</w:t>
            </w:r>
          </w:p>
        </w:tc>
        <w:tc>
          <w:tcPr>
            <w:tcW w:w="206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0 shares of Common Stock</w:t>
            </w:r>
          </w:p>
        </w:tc>
      </w:tr>
      <w:tr>
        <w:trPr>
          <w:trHeight w:val="203"/>
        </w:trPr>
        <w:tc>
          <w:tcPr>
            <w:tcW w:w="1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NUMBER OF</w:t>
            </w:r>
          </w:p>
        </w:tc>
        <w:tc>
          <w:tcPr>
            <w:tcW w:w="10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5"/>
              </w:rPr>
              <w:t>SHARES</w:t>
            </w:r>
          </w:p>
        </w:tc>
        <w:tc>
          <w:tcPr>
            <w:tcW w:w="3060" w:type="dxa"/>
            <w:vAlign w:val="bottom"/>
            <w:gridSpan w:val="2"/>
          </w:tcPr>
          <w:p>
            <w:pPr>
              <w:ind w:left="580"/>
              <w:spacing w:after="0"/>
              <w:rPr>
                <w:sz w:val="20"/>
                <w:szCs w:val="20"/>
                <w:color w:val="auto"/>
              </w:rPr>
            </w:pPr>
            <w:r>
              <w:rPr>
                <w:rFonts w:ascii="Courier New" w:cs="Courier New" w:eastAsia="Courier New" w:hAnsi="Courier New"/>
                <w:sz w:val="11"/>
                <w:szCs w:val="11"/>
                <w:color w:val="auto"/>
                <w:w w:val="73"/>
              </w:rPr>
              <w:t>---------------------------------------------------</w:t>
            </w:r>
          </w:p>
        </w:tc>
        <w:tc>
          <w:tcPr>
            <w:tcW w:w="3000" w:type="dxa"/>
            <w:vAlign w:val="bottom"/>
          </w:tcPr>
          <w:p>
            <w:pPr>
              <w:spacing w:after="0"/>
              <w:rPr>
                <w:sz w:val="17"/>
                <w:szCs w:val="17"/>
                <w:color w:val="auto"/>
              </w:rPr>
            </w:pP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6.</w:t>
            </w:r>
          </w:p>
        </w:tc>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SHARED VOTING POWER</w:t>
            </w:r>
          </w:p>
        </w:tc>
        <w:tc>
          <w:tcPr>
            <w:tcW w:w="300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840" w:type="dxa"/>
            <w:vAlign w:val="bottom"/>
          </w:tcPr>
          <w:p>
            <w:pPr>
              <w:jc w:val="center"/>
              <w:ind w:right="5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0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EACH</w:t>
            </w:r>
          </w:p>
        </w:tc>
        <w:tc>
          <w:tcPr>
            <w:tcW w:w="3060" w:type="dxa"/>
            <w:vAlign w:val="bottom"/>
            <w:gridSpan w:val="2"/>
          </w:tcPr>
          <w:p>
            <w:pPr>
              <w:ind w:left="580"/>
              <w:spacing w:after="0"/>
              <w:rPr>
                <w:sz w:val="20"/>
                <w:szCs w:val="20"/>
                <w:color w:val="auto"/>
              </w:rPr>
            </w:pPr>
            <w:r>
              <w:rPr>
                <w:rFonts w:ascii="Courier New" w:cs="Courier New" w:eastAsia="Courier New" w:hAnsi="Courier New"/>
                <w:sz w:val="11"/>
                <w:szCs w:val="11"/>
                <w:color w:val="auto"/>
                <w:w w:val="73"/>
              </w:rPr>
              <w:t>---------------------------------------------------</w:t>
            </w:r>
          </w:p>
        </w:tc>
        <w:tc>
          <w:tcPr>
            <w:tcW w:w="3000" w:type="dxa"/>
            <w:vAlign w:val="bottom"/>
          </w:tcPr>
          <w:p>
            <w:pPr>
              <w:spacing w:after="0"/>
              <w:rPr>
                <w:sz w:val="17"/>
                <w:szCs w:val="17"/>
                <w:color w:val="auto"/>
              </w:rPr>
            </w:pPr>
          </w:p>
        </w:tc>
      </w:tr>
      <w:tr>
        <w:trPr>
          <w:trHeight w:val="203"/>
        </w:trPr>
        <w:tc>
          <w:tcPr>
            <w:tcW w:w="1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1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7.</w:t>
            </w:r>
          </w:p>
        </w:tc>
        <w:tc>
          <w:tcPr>
            <w:tcW w:w="5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SOLE DISPOSITIVE POWER  0 shares of Common Stock</w:t>
            </w:r>
          </w:p>
        </w:tc>
      </w:tr>
    </w:tbl>
    <w:p>
      <w:pPr>
        <w:sectPr>
          <w:pgSz w:w="11900" w:h="16838" w:orient="portrait"/>
          <w:cols w:equalWidth="0" w:num="1">
            <w:col w:w="10219"/>
          </w:cols>
          <w:pgMar w:left="240" w:top="447" w:right="1440" w:bottom="0" w:gutter="0" w:footer="0" w:header="0"/>
        </w:sectPr>
      </w:pPr>
    </w:p>
    <w:bookmarkStart w:id="1" w:name="page2"/>
    <w:bookmarkEnd w:id="1"/>
    <w:p>
      <w:pPr>
        <w:ind w:left="632"/>
        <w:spacing w:after="0"/>
        <w:rPr>
          <w:sz w:val="20"/>
          <w:szCs w:val="20"/>
          <w:color w:val="auto"/>
        </w:rPr>
      </w:pPr>
      <w:r>
        <w:rPr>
          <w:rFonts w:ascii="Courier New" w:cs="Courier New" w:eastAsia="Courier New" w:hAnsi="Courier New"/>
          <w:sz w:val="18"/>
          <w:szCs w:val="18"/>
          <w:color w:val="auto"/>
        </w:rPr>
        <w:t>PERSON WITH</w:t>
      </w:r>
    </w:p>
    <w:p>
      <w:pPr>
        <w:spacing w:after="0" w:line="4" w:lineRule="exact"/>
        <w:rPr>
          <w:sz w:val="20"/>
          <w:szCs w:val="20"/>
          <w:color w:val="auto"/>
        </w:rPr>
      </w:pPr>
    </w:p>
    <w:p>
      <w:pPr>
        <w:ind w:left="2952"/>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952"/>
        <w:spacing w:after="0"/>
        <w:tabs>
          <w:tab w:leader="none" w:pos="3352" w:val="left"/>
          <w:tab w:leader="none" w:pos="6292" w:val="left"/>
        </w:tabs>
        <w:rPr>
          <w:sz w:val="20"/>
          <w:szCs w:val="20"/>
          <w:color w:val="auto"/>
        </w:rPr>
      </w:pPr>
      <w:r>
        <w:rPr>
          <w:rFonts w:ascii="Courier New" w:cs="Courier New" w:eastAsia="Courier New" w:hAnsi="Courier New"/>
          <w:sz w:val="18"/>
          <w:szCs w:val="18"/>
          <w:color w:val="auto"/>
        </w:rPr>
        <w:t>8.</w:t>
        <w:tab/>
        <w:t>SHARED DISPOSITIVE POWER</w:t>
      </w:r>
      <w:r>
        <w:rPr>
          <w:sz w:val="20"/>
          <w:szCs w:val="20"/>
          <w:color w:val="auto"/>
        </w:rPr>
        <w:tab/>
      </w:r>
      <w:r>
        <w:rPr>
          <w:rFonts w:ascii="Courier New" w:cs="Courier New" w:eastAsia="Courier New" w:hAnsi="Courier New"/>
          <w:sz w:val="16"/>
          <w:szCs w:val="16"/>
          <w:color w:val="auto"/>
        </w:rPr>
        <w:t>None</w:t>
      </w:r>
    </w:p>
    <w:p>
      <w:pPr>
        <w:spacing w:after="0" w:line="207" w:lineRule="exact"/>
        <w:rPr>
          <w:sz w:val="20"/>
          <w:szCs w:val="20"/>
          <w:color w:val="auto"/>
        </w:rPr>
      </w:pPr>
    </w:p>
    <w:p>
      <w:pPr>
        <w:ind w:left="212" w:hanging="212"/>
        <w:spacing w:after="0"/>
        <w:tabs>
          <w:tab w:leader="none" w:pos="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52" w:right="2839" w:hanging="736"/>
        <w:spacing w:after="0" w:line="235" w:lineRule="auto"/>
        <w:tabs>
          <w:tab w:leader="none" w:pos="1052"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 shares of Common Stock</w:t>
      </w:r>
    </w:p>
    <w:p>
      <w:pPr>
        <w:spacing w:after="0" w:line="208"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12" w:type="dxa"/>
        <w:tblCellMar>
          <w:top w:w="0" w:type="dxa"/>
          <w:left w:w="0" w:type="dxa"/>
          <w:bottom w:w="0" w:type="dxa"/>
          <w:right w:w="0" w:type="dxa"/>
        </w:tblCellMar>
      </w:tblPr>
      <w:tr>
        <w:trPr>
          <w:trHeight w:val="204"/>
        </w:trPr>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10.</w:t>
            </w:r>
          </w:p>
        </w:tc>
        <w:tc>
          <w:tcPr>
            <w:tcW w:w="6320" w:type="dxa"/>
            <w:vAlign w:val="bottom"/>
          </w:tcPr>
          <w:p>
            <w:pPr>
              <w:ind w:left="260"/>
              <w:spacing w:after="0"/>
              <w:rPr>
                <w:sz w:val="20"/>
                <w:szCs w:val="20"/>
                <w:color w:val="auto"/>
              </w:rPr>
            </w:pPr>
            <w:r>
              <w:rPr>
                <w:rFonts w:ascii="Courier New" w:cs="Courier New" w:eastAsia="Courier New" w:hAnsi="Courier New"/>
                <w:sz w:val="18"/>
                <w:szCs w:val="18"/>
                <w:color w:val="auto"/>
              </w:rPr>
              <w:t>CHECK BOX IF THE AGGREGATE AMOUNT IN ROW (9) EXCLUDES</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580" w:type="dxa"/>
            <w:vAlign w:val="bottom"/>
          </w:tcPr>
          <w:p>
            <w:pPr>
              <w:spacing w:after="0"/>
              <w:rPr>
                <w:sz w:val="17"/>
                <w:szCs w:val="17"/>
                <w:color w:val="auto"/>
              </w:rPr>
            </w:pPr>
          </w:p>
        </w:tc>
        <w:tc>
          <w:tcPr>
            <w:tcW w:w="6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CERTAIN SHARES*</w:t>
            </w:r>
          </w:p>
        </w:tc>
        <w:tc>
          <w:tcPr>
            <w:tcW w:w="780" w:type="dxa"/>
            <w:vAlign w:val="bottom"/>
          </w:tcPr>
          <w:p>
            <w:pPr>
              <w:spacing w:after="0"/>
              <w:rPr>
                <w:sz w:val="17"/>
                <w:szCs w:val="17"/>
                <w:color w:val="auto"/>
              </w:rPr>
            </w:pPr>
          </w:p>
        </w:tc>
      </w:tr>
    </w:tbl>
    <w:p>
      <w:pPr>
        <w:spacing w:after="0" w:line="207" w:lineRule="exact"/>
        <w:rPr>
          <w:sz w:val="20"/>
          <w:szCs w:val="20"/>
          <w:color w:val="auto"/>
        </w:rPr>
      </w:pPr>
    </w:p>
    <w:p>
      <w:pPr>
        <w:ind w:left="212" w:hanging="212"/>
        <w:spacing w:after="0"/>
        <w:tabs>
          <w:tab w:leader="none" w:pos="21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52" w:right="3999" w:hanging="841"/>
        <w:spacing w:after="0" w:line="235" w:lineRule="auto"/>
        <w:tabs>
          <w:tab w:leader="none" w:pos="1052"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w:t>
      </w:r>
    </w:p>
    <w:p>
      <w:pPr>
        <w:spacing w:after="0" w:line="208"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52" w:right="6519" w:hanging="841"/>
        <w:spacing w:after="0" w:line="235" w:lineRule="auto"/>
        <w:tabs>
          <w:tab w:leader="none" w:pos="1052"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08"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1"/>
          </w:cols>
          <w:pgMar w:left="248" w:top="136" w:right="1440" w:bottom="1440" w:gutter="0" w:footer="0" w:header="0"/>
        </w:sectPr>
      </w:pPr>
    </w:p>
    <w:bookmarkStart w:id="2" w:name="page3"/>
    <w:bookmarkEnd w:id="2"/>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Lightspan, Inc.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10140 Campus Point Drive</w:t>
      </w:r>
    </w:p>
    <w:p>
      <w:pPr>
        <w:ind w:left="540"/>
        <w:spacing w:after="0" w:line="238" w:lineRule="auto"/>
        <w:rPr>
          <w:sz w:val="20"/>
          <w:szCs w:val="20"/>
          <w:color w:val="auto"/>
        </w:rPr>
      </w:pPr>
      <w:r>
        <w:rPr>
          <w:rFonts w:ascii="Courier New" w:cs="Courier New" w:eastAsia="Courier New" w:hAnsi="Courier New"/>
          <w:sz w:val="18"/>
          <w:szCs w:val="18"/>
          <w:color w:val="auto"/>
        </w:rPr>
        <w:t>San Diego, CA 92121</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Corporation</w:t>
      </w:r>
    </w:p>
    <w:p>
      <w:pPr>
        <w:spacing w:after="0" w:line="207" w:lineRule="exact"/>
        <w:rPr>
          <w:sz w:val="20"/>
          <w:szCs w:val="20"/>
          <w:color w:val="auto"/>
        </w:rPr>
      </w:pPr>
    </w:p>
    <w:p>
      <w:pPr>
        <w:ind w:left="2220" w:right="2839" w:hanging="2211"/>
        <w:spacing w:after="0" w:line="235" w:lineRule="auto"/>
        <w:tabs>
          <w:tab w:leader="none" w:pos="2200" w:val="left"/>
        </w:tabs>
        <w:rPr>
          <w:sz w:val="20"/>
          <w:szCs w:val="20"/>
          <w:color w:val="auto"/>
        </w:rPr>
      </w:pPr>
      <w:r>
        <w:rPr>
          <w:rFonts w:ascii="Courier New" w:cs="Courier New" w:eastAsia="Courier New" w:hAnsi="Courier New"/>
          <w:sz w:val="18"/>
          <w:szCs w:val="18"/>
          <w:color w:val="auto"/>
        </w:rPr>
        <w:t>Items 2(b) and (c).</w:t>
        <w:tab/>
        <w:t>Address of Principal Business Office or, if None, Residence; Citizenship:</w:t>
      </w:r>
    </w:p>
    <w:p>
      <w:pPr>
        <w:spacing w:after="0" w:line="208"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The principal business office of Comcast Corporation is 1500 Market Street, Philadelphia, PA 19102-2148.</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Common Stock, par value $.001 per share ("Common Stock")</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53226T103</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 13d-2(b)</w:t>
      </w:r>
    </w:p>
    <w:p>
      <w:pPr>
        <w:ind w:left="96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7" w:lineRule="exact"/>
        <w:rPr>
          <w:sz w:val="20"/>
          <w:szCs w:val="20"/>
          <w:color w:val="auto"/>
        </w:rPr>
      </w:pPr>
    </w:p>
    <w:p>
      <w:pPr>
        <w:ind w:left="1060" w:hanging="525"/>
        <w:spacing w:after="0"/>
        <w:tabs>
          <w:tab w:leader="none" w:pos="10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Exchange Act;</w:t>
      </w:r>
    </w:p>
    <w:p>
      <w:pPr>
        <w:spacing w:after="0" w:line="218"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Exchange Act;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w:t>
      </w:r>
    </w:p>
    <w:p>
      <w:pPr>
        <w:ind w:left="1580"/>
        <w:spacing w:after="0" w:line="238" w:lineRule="auto"/>
        <w:rPr>
          <w:sz w:val="20"/>
          <w:szCs w:val="20"/>
          <w:color w:val="auto"/>
        </w:rPr>
      </w:pPr>
      <w:r>
        <w:rPr>
          <w:rFonts w:ascii="Courier New" w:cs="Courier New" w:eastAsia="Courier New" w:hAnsi="Courier New"/>
          <w:sz w:val="18"/>
          <w:szCs w:val="18"/>
          <w:color w:val="auto"/>
        </w:rPr>
        <w:t>Exchange Act;</w:t>
      </w:r>
    </w:p>
    <w:p>
      <w:pPr>
        <w:spacing w:after="0" w:line="207" w:lineRule="exact"/>
        <w:rPr>
          <w:sz w:val="20"/>
          <w:szCs w:val="20"/>
          <w:color w:val="auto"/>
        </w:rPr>
      </w:pPr>
    </w:p>
    <w:p>
      <w:pPr>
        <w:ind w:left="1580" w:right="1999" w:hanging="1045"/>
        <w:spacing w:after="0" w:line="235" w:lineRule="auto"/>
        <w:tabs>
          <w:tab w:leader="none" w:pos="105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An investment adviser in accordance with Rule 13d-1(b)(1)(ii)(E);</w:t>
      </w:r>
    </w:p>
    <w:p>
      <w:pPr>
        <w:spacing w:after="0" w:line="223" w:lineRule="exact"/>
        <w:rPr>
          <w:rFonts w:ascii="Courier New" w:cs="Courier New" w:eastAsia="Courier New" w:hAnsi="Courier New"/>
          <w:sz w:val="16"/>
          <w:szCs w:val="16"/>
          <w:color w:val="auto"/>
        </w:rPr>
      </w:pPr>
    </w:p>
    <w:p>
      <w:pPr>
        <w:ind w:left="1580" w:right="2199" w:hanging="1045"/>
        <w:spacing w:after="0" w:line="235" w:lineRule="auto"/>
        <w:tabs>
          <w:tab w:leader="none" w:pos="105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580" w:right="2199" w:hanging="1045"/>
        <w:spacing w:after="0" w:line="235" w:lineRule="auto"/>
        <w:tabs>
          <w:tab w:leader="none" w:pos="105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580" w:right="1999" w:hanging="1045"/>
        <w:spacing w:after="0" w:line="235" w:lineRule="auto"/>
        <w:tabs>
          <w:tab w:leader="none" w:pos="105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ectPr>
          <w:pgSz w:w="11900" w:h="16838" w:orient="portrait"/>
          <w:cols w:equalWidth="0" w:num="1">
            <w:col w:w="10219"/>
          </w:cols>
          <w:pgMar w:left="240" w:top="919" w:right="1440" w:bottom="1440" w:gutter="0" w:footer="0" w:header="0"/>
        </w:sectPr>
      </w:pPr>
    </w:p>
    <w:bookmarkStart w:id="3" w:name="page4"/>
    <w:bookmarkEnd w:id="3"/>
    <w:p>
      <w:pPr>
        <w:ind w:left="1580" w:right="2419" w:hanging="1045"/>
        <w:spacing w:after="0" w:line="236" w:lineRule="auto"/>
        <w:tabs>
          <w:tab w:leader="none" w:pos="105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If this statement is filed pursuant to Rule 13d-1(c), check this box. |_|</w:t>
      </w: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2519" w:firstLine="527"/>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issuer identified in Item 1.</w:t>
      </w:r>
    </w:p>
    <w:p>
      <w:pPr>
        <w:spacing w:after="0" w:line="164" w:lineRule="exact"/>
        <w:rPr>
          <w:sz w:val="20"/>
          <w:szCs w:val="20"/>
          <w:color w:val="auto"/>
        </w:rPr>
      </w:pPr>
    </w:p>
    <w:p>
      <w:pPr>
        <w:ind w:left="1060" w:hanging="525"/>
        <w:spacing w:after="0"/>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0 shares of Common Stock.</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700" w:hanging="533"/>
        <w:spacing w:after="0"/>
        <w:tabs>
          <w:tab w:leader="none" w:pos="170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 shares of Common Stock.</w:t>
      </w:r>
    </w:p>
    <w:p>
      <w:pPr>
        <w:spacing w:after="0" w:line="201" w:lineRule="exact"/>
        <w:rPr>
          <w:rFonts w:ascii="Courier New" w:cs="Courier New" w:eastAsia="Courier New" w:hAnsi="Courier New"/>
          <w:sz w:val="18"/>
          <w:szCs w:val="18"/>
          <w:color w:val="auto"/>
        </w:rPr>
      </w:pPr>
    </w:p>
    <w:p>
      <w:pPr>
        <w:ind w:left="1700" w:hanging="639"/>
        <w:spacing w:after="0"/>
        <w:tabs>
          <w:tab w:leader="none" w:pos="170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None.</w:t>
      </w:r>
    </w:p>
    <w:p>
      <w:pPr>
        <w:spacing w:after="0" w:line="201" w:lineRule="exact"/>
        <w:rPr>
          <w:rFonts w:ascii="Courier New" w:cs="Courier New" w:eastAsia="Courier New" w:hAnsi="Courier New"/>
          <w:sz w:val="18"/>
          <w:szCs w:val="18"/>
          <w:color w:val="auto"/>
        </w:rPr>
      </w:pPr>
    </w:p>
    <w:p>
      <w:pPr>
        <w:ind w:left="1700" w:hanging="744"/>
        <w:spacing w:after="0"/>
        <w:tabs>
          <w:tab w:leader="none" w:pos="170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 shares of Common Stock.</w:t>
      </w:r>
    </w:p>
    <w:p>
      <w:pPr>
        <w:spacing w:after="0" w:line="207" w:lineRule="exact"/>
        <w:rPr>
          <w:rFonts w:ascii="Courier New" w:cs="Courier New" w:eastAsia="Courier New" w:hAnsi="Courier New"/>
          <w:sz w:val="18"/>
          <w:szCs w:val="18"/>
          <w:color w:val="auto"/>
        </w:rPr>
      </w:pPr>
    </w:p>
    <w:p>
      <w:pPr>
        <w:ind w:right="1879" w:firstLine="1061"/>
        <w:spacing w:after="0" w:line="470" w:lineRule="auto"/>
        <w:tabs>
          <w:tab w:leader="none" w:pos="1685"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None. Item 5. Ownership of Five Percent or Less of a Class.</w:t>
      </w:r>
    </w:p>
    <w:p>
      <w:pPr>
        <w:spacing w:after="0" w:line="12"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960" w:right="18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jc w:val="center"/>
        <w:ind w:right="7579"/>
        <w:spacing w:after="0"/>
        <w:tabs>
          <w:tab w:leader="none" w:pos="1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925" w:right="1440" w:bottom="1440" w:gutter="0" w:footer="0" w:header="0"/>
        </w:sectPr>
      </w:pPr>
    </w:p>
    <w:bookmarkStart w:id="4" w:name="page5"/>
    <w:bookmarkEnd w:id="4"/>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jc w:val="center"/>
        <w:ind w:left="1560"/>
        <w:spacing w:after="0"/>
        <w:rPr>
          <w:sz w:val="20"/>
          <w:szCs w:val="20"/>
          <w:color w:val="auto"/>
        </w:rPr>
      </w:pPr>
      <w:r>
        <w:rPr>
          <w:rFonts w:ascii="Courier New" w:cs="Courier New" w:eastAsia="Courier New" w:hAnsi="Courier New"/>
          <w:sz w:val="18"/>
          <w:szCs w:val="18"/>
          <w:color w:val="auto"/>
        </w:rPr>
        <w:t>February 14, 2002</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jc w:val="center"/>
        <w:ind w:left="1560"/>
        <w:spacing w:after="0"/>
        <w:rPr>
          <w:sz w:val="20"/>
          <w:szCs w:val="20"/>
          <w:color w:val="auto"/>
        </w:rPr>
      </w:pPr>
      <w:r>
        <w:rPr>
          <w:rFonts w:ascii="Courier New" w:cs="Courier New" w:eastAsia="Courier New" w:hAnsi="Courier New"/>
          <w:sz w:val="18"/>
          <w:szCs w:val="18"/>
          <w:color w:val="auto"/>
        </w:rPr>
        <w:t>/s/ Arthur R. Block</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15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Arthur R. Block, Senior Vice President</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14"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lvl w:ilvl="1">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lvl w:ilvl="1">
      <w:lvlJc w:val="left"/>
      <w:lvlText w:val="%2."/>
      <w:numFmt w:val="decimal"/>
      <w:start w:val="1"/>
    </w:lvl>
  </w:abstractNum>
  <w:abstractNum w:abstractNumId="7">
    <w:nsid w:val="66EF438D"/>
    <w:multiLevelType w:val="hybridMultilevel"/>
    <w:lvl w:ilvl="0">
      <w:lvlJc w:val="left"/>
      <w:lvlText w:val="-"/>
      <w:numFmt w:val="bullet"/>
      <w:start w:val="1"/>
    </w:lvl>
    <w:lvl w:ilvl="1">
      <w:lvlJc w:val="left"/>
      <w:lvlText w:val="%2."/>
      <w:numFmt w:val="decimal"/>
      <w:start w:val="3"/>
    </w:lvl>
  </w:abstractNum>
  <w:abstractNum w:abstractNumId="8">
    <w:nsid w:val="140E0F76"/>
    <w:multiLevelType w:val="hybridMultilevel"/>
    <w:lvl w:ilvl="0">
      <w:lvlJc w:val="left"/>
      <w:lvlText w:val="-"/>
      <w:numFmt w:val="bullet"/>
      <w:start w:val="1"/>
    </w:lvl>
    <w:lvl w:ilvl="1">
      <w:lvlJc w:val="left"/>
      <w:lvlText w:val="%2."/>
      <w:numFmt w:val="decimal"/>
      <w:start w:val="4"/>
    </w:lvl>
  </w:abstractNum>
  <w:abstractNum w:abstractNumId="9">
    <w:nsid w:val="3352255A"/>
    <w:multiLevelType w:val="hybridMultilevel"/>
    <w:lvl w:ilvl="0">
      <w:lvlJc w:val="left"/>
      <w:lvlText w:val="-"/>
      <w:numFmt w:val="bullet"/>
      <w:start w:val="1"/>
    </w:lvl>
    <w:lvl w:ilvl="1">
      <w:lvlJc w:val="left"/>
      <w:lvlText w:val="%2."/>
      <w:numFmt w:val="decimal"/>
      <w:start w:val="9"/>
    </w:lvl>
  </w:abstractNum>
  <w:abstractNum w:abstractNumId="10">
    <w:nsid w:val="109CF92E"/>
    <w:multiLevelType w:val="hybridMultilevel"/>
    <w:lvl w:ilvl="0">
      <w:lvlJc w:val="left"/>
      <w:lvlText w:val="-"/>
      <w:numFmt w:val="bullet"/>
      <w:start w:val="1"/>
    </w:lvl>
    <w:lvl w:ilvl="1">
      <w:lvlJc w:val="left"/>
      <w:lvlText w:val="%2."/>
      <w:numFmt w:val="decimal"/>
      <w:start w:val="11"/>
    </w:lvl>
  </w:abstractNum>
  <w:abstractNum w:abstractNumId="11">
    <w:nsid w:val="DED7263"/>
    <w:multiLevelType w:val="hybridMultilevel"/>
    <w:lvl w:ilvl="0">
      <w:lvlJc w:val="left"/>
      <w:lvlText w:val="-"/>
      <w:numFmt w:val="bullet"/>
      <w:start w:val="1"/>
    </w:lvl>
    <w:lvl w:ilvl="1">
      <w:lvlJc w:val="left"/>
      <w:lvlText w:val="%2."/>
      <w:numFmt w:val="decimal"/>
      <w:start w:val="12"/>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4"/>
    </w:lvl>
  </w:abstractNum>
  <w:abstractNum w:abstractNumId="14">
    <w:nsid w:val="41A7C4C9"/>
    <w:multiLevelType w:val="hybridMultilevel"/>
    <w:lvl w:ilvl="0">
      <w:lvlJc w:val="left"/>
      <w:lvlText w:val="(%1)"/>
      <w:numFmt w:val="lowerLetter"/>
      <w:start w:val="9"/>
    </w:lvl>
  </w:abstractNum>
  <w:abstractNum w:abstractNumId="15">
    <w:nsid w:val="6B68079A"/>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2019-12-16T12:28:16Z</dcterms:created>
  <dcterms:modified xsi:type="dcterms:W3CDTF">2019-12-16T12:28:16Z</dcterms:modified>
</cp:coreProperties>
</file>