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ind w:left="2540"/>
        <w:spacing w:after="0"/>
        <w:tabs>
          <w:tab w:leader="none" w:pos="412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169"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8-K/A</w:t>
      </w:r>
    </w:p>
    <w:p>
      <w:pPr>
        <w:ind w:left="2720"/>
        <w:spacing w:after="0"/>
        <w:rPr>
          <w:sz w:val="20"/>
          <w:szCs w:val="20"/>
          <w:color w:val="auto"/>
        </w:rPr>
      </w:pPr>
      <w:r>
        <w:rPr>
          <w:rFonts w:ascii="Courier New" w:cs="Courier New" w:eastAsia="Courier New" w:hAnsi="Courier New"/>
          <w:sz w:val="15"/>
          <w:szCs w:val="15"/>
          <w:color w:val="auto"/>
        </w:rPr>
        <w:t>(Amendment No. 1)</w:t>
      </w:r>
    </w:p>
    <w:p>
      <w:pPr>
        <w:spacing w:after="0" w:line="338"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CURRENT REPORT</w:t>
      </w:r>
    </w:p>
    <w:p>
      <w:pPr>
        <w:spacing w:after="0" w:line="200" w:lineRule="exact"/>
        <w:rPr>
          <w:sz w:val="24"/>
          <w:szCs w:val="24"/>
          <w:color w:val="auto"/>
        </w:rPr>
      </w:pPr>
    </w:p>
    <w:p>
      <w:pPr>
        <w:spacing w:after="0" w:line="308"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PURSUANT TO SECTION 13 OR 15(d) of the</w:t>
      </w:r>
    </w:p>
    <w:p>
      <w:pPr>
        <w:ind w:left="2200"/>
        <w:spacing w:after="0"/>
        <w:rPr>
          <w:sz w:val="20"/>
          <w:szCs w:val="20"/>
          <w:color w:val="auto"/>
        </w:rPr>
      </w:pPr>
      <w:r>
        <w:rPr>
          <w:rFonts w:ascii="Courier New" w:cs="Courier New" w:eastAsia="Courier New" w:hAnsi="Courier New"/>
          <w:sz w:val="15"/>
          <w:szCs w:val="15"/>
          <w:color w:val="auto"/>
        </w:rPr>
        <w:t>SECURITIES EXCHANGE ACT OF 1934</w:t>
      </w:r>
    </w:p>
    <w:p>
      <w:pPr>
        <w:spacing w:after="0" w:line="200" w:lineRule="exact"/>
        <w:rPr>
          <w:sz w:val="24"/>
          <w:szCs w:val="24"/>
          <w:color w:val="auto"/>
        </w:rPr>
      </w:pPr>
    </w:p>
    <w:p>
      <w:pPr>
        <w:spacing w:after="0" w:line="313" w:lineRule="exact"/>
        <w:rPr>
          <w:sz w:val="24"/>
          <w:szCs w:val="24"/>
          <w:color w:val="auto"/>
        </w:rPr>
      </w:pPr>
    </w:p>
    <w:p>
      <w:pPr>
        <w:ind w:left="600"/>
        <w:spacing w:after="0"/>
        <w:rPr>
          <w:sz w:val="20"/>
          <w:szCs w:val="20"/>
          <w:color w:val="auto"/>
        </w:rPr>
      </w:pPr>
      <w:r>
        <w:rPr>
          <w:rFonts w:ascii="Courier New" w:cs="Courier New" w:eastAsia="Courier New" w:hAnsi="Courier New"/>
          <w:sz w:val="14"/>
          <w:szCs w:val="14"/>
          <w:color w:val="auto"/>
        </w:rPr>
        <w:t>Date of Report (Date of earliest event reported): November 16, 1999</w:t>
      </w:r>
    </w:p>
    <w:p>
      <w:pPr>
        <w:spacing w:after="0" w:line="200" w:lineRule="exact"/>
        <w:rPr>
          <w:sz w:val="24"/>
          <w:szCs w:val="24"/>
          <w:color w:val="auto"/>
        </w:rPr>
      </w:pPr>
    </w:p>
    <w:p>
      <w:pPr>
        <w:spacing w:after="0" w:line="314"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COMCAST CORPORATION</w:t>
      </w:r>
    </w:p>
    <w:p>
      <w:pPr>
        <w:ind w:left="1140"/>
        <w:spacing w:after="0"/>
        <w:rPr>
          <w:sz w:val="20"/>
          <w:szCs w:val="20"/>
          <w:color w:val="auto"/>
        </w:rPr>
      </w:pPr>
      <w:r>
        <w:rPr>
          <w:rFonts w:ascii="Courier New" w:cs="Courier New" w:eastAsia="Courier New" w:hAnsi="Courier New"/>
          <w:sz w:val="15"/>
          <w:szCs w:val="15"/>
          <w:color w:val="auto"/>
        </w:rPr>
        <w:t>------------------------------------------------------</w:t>
      </w:r>
    </w:p>
    <w:p>
      <w:pPr>
        <w:ind w:left="11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565" w:right="1440" w:bottom="1440" w:gutter="0" w:footer="0" w:header="0"/>
        </w:sectPr>
      </w:pPr>
    </w:p>
    <w:p>
      <w:pPr>
        <w:spacing w:after="0" w:line="338"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Pennsylvania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w:t>
      </w:r>
    </w:p>
    <w:p>
      <w:pPr>
        <w:spacing w:after="0"/>
        <w:rPr>
          <w:sz w:val="20"/>
          <w:szCs w:val="20"/>
          <w:color w:val="auto"/>
        </w:rPr>
      </w:pPr>
      <w:r>
        <w:rPr>
          <w:rFonts w:ascii="Courier New" w:cs="Courier New" w:eastAsia="Courier New" w:hAnsi="Courier New"/>
          <w:sz w:val="15"/>
          <w:szCs w:val="15"/>
          <w:color w:val="auto"/>
        </w:rPr>
        <w:t>jurisdiction of</w:t>
      </w:r>
    </w:p>
    <w:p>
      <w:pPr>
        <w:spacing w:after="0"/>
        <w:rPr>
          <w:sz w:val="20"/>
          <w:szCs w:val="20"/>
          <w:color w:val="auto"/>
        </w:rPr>
      </w:pPr>
      <w:r>
        <w:rPr>
          <w:rFonts w:ascii="Courier New" w:cs="Courier New" w:eastAsia="Courier New" w:hAnsi="Courier New"/>
          <w:sz w:val="15"/>
          <w:szCs w:val="15"/>
          <w:color w:val="auto"/>
        </w:rPr>
        <w:t>incorporation)</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0-6983</w:t>
      </w:r>
    </w:p>
    <w:p>
      <w:pPr>
        <w:spacing w:after="0" w:line="5"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w:t>
      </w:r>
    </w:p>
    <w:p>
      <w:pPr>
        <w:ind w:left="440"/>
        <w:spacing w:after="0"/>
        <w:rPr>
          <w:sz w:val="20"/>
          <w:szCs w:val="20"/>
          <w:color w:val="auto"/>
        </w:rPr>
      </w:pPr>
      <w:r>
        <w:rPr>
          <w:rFonts w:ascii="Courier New" w:cs="Courier New" w:eastAsia="Courier New" w:hAnsi="Courier New"/>
          <w:sz w:val="15"/>
          <w:szCs w:val="15"/>
          <w:color w:val="auto"/>
        </w:rPr>
        <w:t>number)</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23-1709202</w:t>
      </w:r>
    </w:p>
    <w:p>
      <w:pPr>
        <w:spacing w:after="0" w:line="5" w:lineRule="exact"/>
        <w:rPr>
          <w:sz w:val="24"/>
          <w:szCs w:val="24"/>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rPr>
          <w:sz w:val="20"/>
          <w:szCs w:val="20"/>
          <w:color w:val="auto"/>
        </w:rPr>
      </w:pPr>
      <w:r>
        <w:rPr>
          <w:rFonts w:ascii="Courier New" w:cs="Courier New" w:eastAsia="Courier New" w:hAnsi="Courier New"/>
          <w:sz w:val="15"/>
          <w:szCs w:val="15"/>
          <w:color w:val="auto"/>
        </w:rPr>
        <w:t>identification</w:t>
      </w:r>
    </w:p>
    <w:p>
      <w:pPr>
        <w:ind w:left="540"/>
        <w:spacing w:after="0"/>
        <w:rPr>
          <w:sz w:val="20"/>
          <w:szCs w:val="20"/>
          <w:color w:val="auto"/>
        </w:rPr>
      </w:pPr>
      <w:r>
        <w:rPr>
          <w:rFonts w:ascii="Courier New" w:cs="Courier New" w:eastAsia="Courier New" w:hAnsi="Courier New"/>
          <w:sz w:val="15"/>
          <w:szCs w:val="15"/>
          <w:color w:val="auto"/>
        </w:rPr>
        <w:t>no.)</w:t>
      </w:r>
    </w:p>
    <w:p>
      <w:pPr>
        <w:spacing w:after="0" w:line="200" w:lineRule="exact"/>
        <w:rPr>
          <w:sz w:val="24"/>
          <w:szCs w:val="24"/>
          <w:color w:val="auto"/>
        </w:rPr>
      </w:pPr>
    </w:p>
    <w:p>
      <w:pPr>
        <w:sectPr>
          <w:pgSz w:w="11900" w:h="16838" w:orient="portrait"/>
          <w:cols w:equalWidth="0" w:num="3">
            <w:col w:w="2100" w:space="720"/>
            <w:col w:w="2260" w:space="720"/>
            <w:col w:w="4419"/>
          </w:cols>
          <w:pgMar w:left="240" w:top="565" w:right="1440" w:bottom="1440" w:gutter="0" w:footer="0" w:header="0"/>
          <w:type w:val="continuous"/>
        </w:sectPr>
      </w:pPr>
    </w:p>
    <w:p>
      <w:pPr>
        <w:spacing w:after="0" w:line="307" w:lineRule="exact"/>
        <w:rPr>
          <w:sz w:val="24"/>
          <w:szCs w:val="24"/>
          <w:color w:val="auto"/>
        </w:rPr>
      </w:pPr>
    </w:p>
    <w:p>
      <w:pPr>
        <w:ind w:left="1140"/>
        <w:spacing w:after="0"/>
        <w:tabs>
          <w:tab w:leader="none" w:pos="5080" w:val="left"/>
        </w:tabs>
        <w:rPr>
          <w:sz w:val="20"/>
          <w:szCs w:val="20"/>
          <w:color w:val="auto"/>
        </w:rPr>
      </w:pPr>
      <w:r>
        <w:rPr>
          <w:rFonts w:ascii="Courier New" w:cs="Courier New" w:eastAsia="Courier New" w:hAnsi="Courier New"/>
          <w:sz w:val="15"/>
          <w:szCs w:val="15"/>
          <w:color w:val="auto"/>
        </w:rPr>
        <w:t>1500 Market Street, Philadelphia, PA</w:t>
      </w:r>
      <w:r>
        <w:rPr>
          <w:sz w:val="20"/>
          <w:szCs w:val="20"/>
          <w:color w:val="auto"/>
        </w:rPr>
        <w:tab/>
      </w:r>
      <w:r>
        <w:rPr>
          <w:rFonts w:ascii="Courier New" w:cs="Courier New" w:eastAsia="Courier New" w:hAnsi="Courier New"/>
          <w:sz w:val="14"/>
          <w:szCs w:val="14"/>
          <w:color w:val="auto"/>
        </w:rPr>
        <w:t>19102-2148</w:t>
      </w:r>
    </w:p>
    <w:p>
      <w:pPr>
        <w:spacing w:after="0" w:line="5"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ind w:left="1040"/>
        <w:spacing w:after="0"/>
        <w:tabs>
          <w:tab w:leader="none" w:pos="508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ectPr>
          <w:pgSz w:w="11900" w:h="16838" w:orient="portrait"/>
          <w:cols w:equalWidth="0" w:num="1">
            <w:col w:w="10219"/>
          </w:cols>
          <w:pgMar w:left="240" w:top="565"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Registrant's telephone number, including area code (215) 665-1700</w:t>
      </w:r>
    </w:p>
    <w:p>
      <w:pPr>
        <w:ind w:left="52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85" w:lineRule="exact"/>
        <w:rPr>
          <w:sz w:val="24"/>
          <w:szCs w:val="24"/>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Acquisition or Disposition of Assets.</w:t>
      </w:r>
    </w:p>
    <w:p>
      <w:pPr>
        <w:spacing w:after="0" w:line="175" w:lineRule="exact"/>
        <w:rPr>
          <w:sz w:val="24"/>
          <w:szCs w:val="24"/>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November 16, 1999, Comcast Corporation ("Comcast"), Comcast's wholly owned subsidiary, Comcast LCI Holdings, Inc. ("LCI Holdings"), Lenfest Communications, Inc. ("Lenfest") and the Lenfest stockholders entered into an Agreement and Plan of Merger ("Merger Agreement") pursuant to which Comcast was to acquire Lenfest in exchange for a specified number of shares of its Class A Special Common Stock, par value $1.00 per share (the "Class A Special Common Stock"), determined by formula, as defined in the Merger Agreement (the "Lenfest Acquisition"), subject to closing adjustments. At the time Comcast entered into the Merger Agreement, the consideration to be exchanged in the Lenfest Acquisition was calculated to be approximately 116 million shares of Class A Special Common Stock, subject to closing adjustments, with a value of $5.339 billion, based on the average closing price of the Class A Special Common Stock for the period from November 9, 1999 to November 22, 1999.</w:t>
      </w:r>
    </w:p>
    <w:p>
      <w:pPr>
        <w:spacing w:after="0" w:line="183" w:lineRule="exact"/>
        <w:rPr>
          <w:sz w:val="24"/>
          <w:szCs w:val="24"/>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January 18, 2000, the Lenfest Acquisition closed. At the time of closing, the consideration to be exchanged in the Lenfest Acquisition was calculated to be 121.4 million shares of Class A Special Common Stock, subject to closing adjustments, with a value of $6.077 billion, based on the average closing price of the Class A Special Common Stock for the period from January 12, 2000 to January 14, 2000. Immediately upon closing of the Lenfest Acquisition, Lenfest was merged with and into LCI Holdings, with LCI Holdings as the surviving corporation. The Agreement and Plan of Merger is incorporated by reference hereto as Exhibit 10.1.</w:t>
      </w:r>
    </w:p>
    <w:p>
      <w:pPr>
        <w:spacing w:after="0" w:line="179" w:lineRule="exact"/>
        <w:rPr>
          <w:sz w:val="24"/>
          <w:szCs w:val="24"/>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unaudited pro forma condensed consolidated financial statements of Comcast Corporation are included in this Report under Item 7 and are listed in the index to unaudited pro forma financial information.</w:t>
      </w:r>
    </w:p>
    <w:p>
      <w:pPr>
        <w:spacing w:after="0" w:line="169" w:lineRule="exact"/>
        <w:rPr>
          <w:sz w:val="24"/>
          <w:szCs w:val="24"/>
          <w:color w:val="auto"/>
        </w:rPr>
      </w:pPr>
    </w:p>
    <w:p>
      <w:pPr>
        <w:ind w:left="35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565" w:right="1440" w:bottom="1440" w:gutter="0" w:footer="0" w:header="0"/>
          <w:type w:val="continuous"/>
        </w:sectPr>
      </w:pPr>
    </w:p>
    <w:bookmarkStart w:id="1" w:name="page2"/>
    <w:bookmarkEnd w:id="1"/>
    <w:p>
      <w:pPr>
        <w:spacing w:after="0"/>
        <w:tabs>
          <w:tab w:leader="none" w:pos="130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unaudited pro forma condensed consolidated financial statements of Comcast Corporation are included in this Report and are listed in the index to unaudited pro forma financial information.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175" w:lineRule="exact"/>
        <w:rPr>
          <w:sz w:val="20"/>
          <w:szCs w:val="20"/>
          <w:color w:val="auto"/>
        </w:rPr>
      </w:pPr>
    </w:p>
    <w:p>
      <w:pPr>
        <w:jc w:val="both"/>
        <w:ind w:left="880" w:right="3359" w:hanging="880"/>
        <w:spacing w:after="0" w:line="256" w:lineRule="auto"/>
        <w:tabs>
          <w:tab w:leader="none" w:pos="86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4"/>
          <w:szCs w:val="14"/>
          <w:color w:val="auto"/>
        </w:rPr>
        <w:t>Agreement and Plan of Merger, dated as of November 16, 1999, by and among Comcast Corporation ("Comcast"), Comcast LCI Holdings, Inc., a wholly owned subsidiary of Comcast, Lenfest Communications, Inc.</w:t>
      </w:r>
    </w:p>
    <w:p>
      <w:pPr>
        <w:spacing w:after="0" w:line="1" w:lineRule="exact"/>
        <w:rPr>
          <w:sz w:val="20"/>
          <w:szCs w:val="20"/>
          <w:color w:val="auto"/>
        </w:rPr>
      </w:pPr>
    </w:p>
    <w:p>
      <w:pPr>
        <w:ind w:left="880" w:right="3259"/>
        <w:spacing w:after="0" w:line="237" w:lineRule="auto"/>
        <w:rPr>
          <w:sz w:val="20"/>
          <w:szCs w:val="20"/>
          <w:color w:val="auto"/>
        </w:rPr>
      </w:pPr>
      <w:r>
        <w:rPr>
          <w:rFonts w:ascii="Courier New" w:cs="Courier New" w:eastAsia="Courier New" w:hAnsi="Courier New"/>
          <w:sz w:val="15"/>
          <w:szCs w:val="15"/>
          <w:color w:val="auto"/>
        </w:rPr>
        <w:t>("Lenfest") and Lenfest's stockholders as named therein (incorporated by reference to Exhibit 10.1 to our Current Report on Form 8-K filed on December 13, 1999).</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Pressman Ciocca Smith LLP.</w:t>
      </w:r>
    </w:p>
    <w:p>
      <w:pPr>
        <w:spacing w:after="0" w:line="175" w:lineRule="exact"/>
        <w:rPr>
          <w:sz w:val="20"/>
          <w:szCs w:val="20"/>
          <w:color w:val="auto"/>
        </w:rPr>
      </w:pPr>
    </w:p>
    <w:p>
      <w:pPr>
        <w:ind w:left="880" w:right="3179" w:hanging="880"/>
        <w:spacing w:after="0" w:line="237" w:lineRule="auto"/>
        <w:tabs>
          <w:tab w:leader="none" w:pos="86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The audited consolidated financial statements of Lenfest as of December 31, 1999 and 1998 and for each of the three years in the period ended December 31, 1999 (incorporated by reference to Lenfest's Annual Report on Form 10-K filed on March 30, 2000).</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2" w:right="1440" w:bottom="1440" w:gutter="0" w:footer="0" w:header="0"/>
        </w:sectPr>
      </w:pPr>
    </w:p>
    <w:bookmarkStart w:id="2" w:name="page3"/>
    <w:bookmarkEnd w:id="2"/>
    <w:p>
      <w:pPr>
        <w:ind w:left="3080"/>
        <w:spacing w:after="0"/>
        <w:rPr>
          <w:sz w:val="20"/>
          <w:szCs w:val="20"/>
          <w:color w:val="auto"/>
        </w:rPr>
      </w:pPr>
      <w:r>
        <w:rPr>
          <w:rFonts w:ascii="Courier New" w:cs="Courier New" w:eastAsia="Courier New" w:hAnsi="Courier New"/>
          <w:sz w:val="15"/>
          <w:szCs w:val="15"/>
          <w:color w:val="auto"/>
        </w:rPr>
        <w:t>SIGNATURE</w:t>
      </w:r>
    </w:p>
    <w:p>
      <w:pPr>
        <w:ind w:left="30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622"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3, 2000</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175" w:lineRule="exact"/>
        <w:rPr>
          <w:sz w:val="20"/>
          <w:szCs w:val="20"/>
          <w:color w:val="auto"/>
        </w:rPr>
      </w:pPr>
    </w:p>
    <w:p>
      <w:pPr>
        <w:sectPr>
          <w:pgSz w:w="11900" w:h="16838" w:orient="portrait"/>
          <w:cols w:equalWidth="0" w:num="3">
            <w:col w:w="520" w:space="180"/>
            <w:col w:w="2540" w:space="720"/>
            <w:col w:w="6259"/>
          </w:cols>
          <w:pgMar w:left="240" w:top="622" w:right="1440" w:bottom="1440" w:gutter="0" w:footer="0" w:header="0"/>
          <w:type w:val="continuous"/>
        </w:sectPr>
      </w:pPr>
    </w:p>
    <w:p>
      <w:pPr>
        <w:ind w:left="3960"/>
        <w:spacing w:after="0"/>
        <w:rPr>
          <w:sz w:val="20"/>
          <w:szCs w:val="20"/>
          <w:color w:val="auto"/>
        </w:rPr>
      </w:pPr>
      <w:r>
        <w:rPr>
          <w:rFonts w:ascii="Courier New" w:cs="Courier New" w:eastAsia="Courier New" w:hAnsi="Courier New"/>
          <w:sz w:val="15"/>
          <w:szCs w:val="15"/>
          <w:color w:val="auto"/>
        </w:rPr>
        <w:t>By: /s/ Lawrence J. Salva</w:t>
      </w:r>
    </w:p>
    <w:p>
      <w:pPr>
        <w:ind w:left="4300"/>
        <w:spacing w:after="0"/>
        <w:rPr>
          <w:sz w:val="20"/>
          <w:szCs w:val="20"/>
          <w:color w:val="auto"/>
        </w:rPr>
      </w:pPr>
      <w:r>
        <w:rPr>
          <w:rFonts w:ascii="Courier New" w:cs="Courier New" w:eastAsia="Courier New" w:hAnsi="Courier New"/>
          <w:sz w:val="15"/>
          <w:szCs w:val="15"/>
          <w:color w:val="auto"/>
        </w:rPr>
        <w:t>-----------------------</w:t>
      </w:r>
    </w:p>
    <w:p>
      <w:pPr>
        <w:ind w:left="4300"/>
        <w:spacing w:after="0"/>
        <w:rPr>
          <w:sz w:val="20"/>
          <w:szCs w:val="20"/>
          <w:color w:val="auto"/>
        </w:rPr>
      </w:pPr>
      <w:r>
        <w:rPr>
          <w:rFonts w:ascii="Courier New" w:cs="Courier New" w:eastAsia="Courier New" w:hAnsi="Courier New"/>
          <w:sz w:val="15"/>
          <w:szCs w:val="15"/>
          <w:color w:val="auto"/>
        </w:rPr>
        <w:t>Lawrence J. Salva</w:t>
      </w:r>
    </w:p>
    <w:p>
      <w:pPr>
        <w:spacing w:after="0" w:line="4"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Senior Vice President and</w:t>
      </w:r>
    </w:p>
    <w:p>
      <w:pPr>
        <w:spacing w:after="0" w:line="5"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Chief Accounting Officer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2" w:right="1440" w:bottom="1440" w:gutter="0" w:footer="0" w:header="0"/>
          <w:type w:val="continuous"/>
        </w:sectPr>
      </w:pPr>
    </w:p>
    <w:bookmarkStart w:id="3" w:name="page4"/>
    <w:bookmarkEnd w:id="3"/>
    <w:p>
      <w:pPr>
        <w:ind w:left="2980"/>
        <w:spacing w:after="0"/>
        <w:rPr>
          <w:sz w:val="20"/>
          <w:szCs w:val="20"/>
          <w:color w:val="auto"/>
        </w:rPr>
      </w:pPr>
      <w:r>
        <w:rPr>
          <w:rFonts w:ascii="Courier New" w:cs="Courier New" w:eastAsia="Courier New" w:hAnsi="Courier New"/>
          <w:sz w:val="15"/>
          <w:szCs w:val="15"/>
          <w:color w:val="auto"/>
        </w:rPr>
        <w:t>EXHIBIT INDEX</w:t>
      </w:r>
    </w:p>
    <w:p>
      <w:pPr>
        <w:ind w:left="298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Pressman Ciocca Smith LLP.</w:t>
      </w:r>
    </w:p>
    <w:p>
      <w:pPr>
        <w:spacing w:after="0" w:line="175" w:lineRule="exact"/>
        <w:rPr>
          <w:sz w:val="20"/>
          <w:szCs w:val="20"/>
          <w:color w:val="auto"/>
        </w:rPr>
      </w:pPr>
    </w:p>
    <w:p>
      <w:pPr>
        <w:ind w:left="880" w:right="3179" w:hanging="880"/>
        <w:spacing w:after="0" w:line="237" w:lineRule="auto"/>
        <w:tabs>
          <w:tab w:leader="none" w:pos="86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The audited consolidated financial statements of Lenfest as of December 31, 1999 and 1998 and for each of the three years in the period ended December 31, 1999 (incorporated by reference to Lenfest's Annual Report on Form 10-K filed on March 30, 2000).</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52" w:right="1440" w:bottom="1440" w:gutter="0" w:footer="0" w:header="0"/>
        </w:sectPr>
      </w:pPr>
    </w:p>
    <w:bookmarkStart w:id="4" w:name="page5"/>
    <w:bookmarkEnd w:id="4"/>
    <w:p>
      <w:pPr>
        <w:ind w:left="2280"/>
        <w:spacing w:after="0"/>
        <w:rPr>
          <w:sz w:val="20"/>
          <w:szCs w:val="20"/>
          <w:color w:val="auto"/>
        </w:rPr>
      </w:pPr>
      <w:r>
        <w:rPr>
          <w:rFonts w:ascii="Courier New" w:cs="Courier New" w:eastAsia="Courier New" w:hAnsi="Courier New"/>
          <w:sz w:val="15"/>
          <w:szCs w:val="15"/>
          <w:color w:val="auto"/>
        </w:rPr>
        <w:t>COMCAST CORPORATION</w:t>
      </w:r>
    </w:p>
    <w:tbl>
      <w:tblPr>
        <w:tblLayout w:type="fixed"/>
        <w:tblInd w:w="0" w:type="dxa"/>
        <w:tblCellMar>
          <w:top w:w="0" w:type="dxa"/>
          <w:left w:w="0" w:type="dxa"/>
          <w:bottom w:w="0" w:type="dxa"/>
          <w:right w:w="0" w:type="dxa"/>
        </w:tblCellMar>
      </w:tblPr>
      <w:tr>
        <w:trPr>
          <w:trHeight w:val="170"/>
        </w:trPr>
        <w:tc>
          <w:tcPr>
            <w:tcW w:w="2500" w:type="dxa"/>
            <w:vAlign w:val="bottom"/>
            <w:gridSpan w:val="3"/>
          </w:tcPr>
          <w:p>
            <w:pPr>
              <w:ind w:left="880"/>
              <w:spacing w:after="0"/>
              <w:rPr>
                <w:sz w:val="20"/>
                <w:szCs w:val="20"/>
                <w:color w:val="auto"/>
              </w:rPr>
            </w:pPr>
            <w:r>
              <w:rPr>
                <w:rFonts w:ascii="Courier New" w:cs="Courier New" w:eastAsia="Courier New" w:hAnsi="Courier New"/>
                <w:sz w:val="15"/>
                <w:szCs w:val="15"/>
                <w:color w:val="auto"/>
                <w:w w:val="98"/>
              </w:rPr>
              <w:t>INDEX TO UNAUDITED</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PRO</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FORMA FINANCIAL INFORMATION</w:t>
            </w:r>
          </w:p>
        </w:tc>
        <w:tc>
          <w:tcPr>
            <w:tcW w:w="660" w:type="dxa"/>
            <w:vAlign w:val="bottom"/>
          </w:tcPr>
          <w:p>
            <w:pPr>
              <w:spacing w:after="0"/>
              <w:rPr>
                <w:sz w:val="14"/>
                <w:szCs w:val="14"/>
                <w:color w:val="auto"/>
              </w:rPr>
            </w:pPr>
          </w:p>
        </w:tc>
      </w:tr>
      <w:tr>
        <w:trPr>
          <w:trHeight w:val="509"/>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Unaudited Pro</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Forma</w:t>
            </w:r>
          </w:p>
        </w:tc>
        <w:tc>
          <w:tcPr>
            <w:tcW w:w="3740" w:type="dxa"/>
            <w:vAlign w:val="bottom"/>
            <w:gridSpan w:val="3"/>
          </w:tcPr>
          <w:p>
            <w:pPr>
              <w:spacing w:after="0"/>
              <w:rPr>
                <w:sz w:val="20"/>
                <w:szCs w:val="20"/>
                <w:color w:val="auto"/>
              </w:rPr>
            </w:pPr>
            <w:r>
              <w:rPr>
                <w:rFonts w:ascii="Courier New" w:cs="Courier New" w:eastAsia="Courier New" w:hAnsi="Courier New"/>
                <w:sz w:val="15"/>
                <w:szCs w:val="15"/>
                <w:color w:val="auto"/>
              </w:rPr>
              <w:t>Financial Information</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w w:val="93"/>
              </w:rPr>
              <w:t>F - 1</w:t>
            </w:r>
          </w:p>
        </w:tc>
      </w:tr>
      <w:tr>
        <w:trPr>
          <w:trHeight w:val="339"/>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Unaudited Pro</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Forma</w:t>
            </w:r>
          </w:p>
        </w:tc>
        <w:tc>
          <w:tcPr>
            <w:tcW w:w="3740" w:type="dxa"/>
            <w:vAlign w:val="bottom"/>
            <w:gridSpan w:val="3"/>
          </w:tcPr>
          <w:p>
            <w:pPr>
              <w:spacing w:after="0"/>
              <w:rPr>
                <w:sz w:val="20"/>
                <w:szCs w:val="20"/>
                <w:color w:val="auto"/>
              </w:rPr>
            </w:pPr>
            <w:r>
              <w:rPr>
                <w:rFonts w:ascii="Courier New" w:cs="Courier New" w:eastAsia="Courier New" w:hAnsi="Courier New"/>
                <w:sz w:val="15"/>
                <w:szCs w:val="15"/>
                <w:color w:val="auto"/>
              </w:rPr>
              <w:t>Condensed Consolidated</w:t>
            </w:r>
          </w:p>
        </w:tc>
        <w:tc>
          <w:tcPr>
            <w:tcW w:w="660" w:type="dxa"/>
            <w:vAlign w:val="bottom"/>
          </w:tcPr>
          <w:p>
            <w:pPr>
              <w:spacing w:after="0"/>
              <w:rPr>
                <w:sz w:val="24"/>
                <w:szCs w:val="24"/>
                <w:color w:val="auto"/>
              </w:rPr>
            </w:pP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Balance Sheet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as of</w:t>
            </w:r>
          </w:p>
        </w:tc>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December</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w w:val="93"/>
              </w:rPr>
              <w:t>F - 2</w:t>
            </w:r>
          </w:p>
        </w:tc>
      </w:tr>
      <w:tr>
        <w:trPr>
          <w:trHeight w:val="339"/>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Unaudited Pro</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Forma</w:t>
            </w:r>
          </w:p>
        </w:tc>
        <w:tc>
          <w:tcPr>
            <w:tcW w:w="3740" w:type="dxa"/>
            <w:vAlign w:val="bottom"/>
            <w:gridSpan w:val="3"/>
          </w:tcPr>
          <w:p>
            <w:pPr>
              <w:spacing w:after="0"/>
              <w:rPr>
                <w:sz w:val="20"/>
                <w:szCs w:val="20"/>
                <w:color w:val="auto"/>
              </w:rPr>
            </w:pPr>
            <w:r>
              <w:rPr>
                <w:rFonts w:ascii="Courier New" w:cs="Courier New" w:eastAsia="Courier New" w:hAnsi="Courier New"/>
                <w:sz w:val="15"/>
                <w:szCs w:val="15"/>
                <w:color w:val="auto"/>
              </w:rPr>
              <w:t>Condensed Consolidated Statement</w:t>
            </w:r>
          </w:p>
        </w:tc>
        <w:tc>
          <w:tcPr>
            <w:tcW w:w="660" w:type="dxa"/>
            <w:vAlign w:val="bottom"/>
          </w:tcPr>
          <w:p>
            <w:pPr>
              <w:spacing w:after="0"/>
              <w:rPr>
                <w:sz w:val="24"/>
                <w:szCs w:val="24"/>
                <w:color w:val="auto"/>
              </w:rPr>
            </w:pP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of Operations</w:t>
            </w:r>
          </w:p>
        </w:tc>
        <w:tc>
          <w:tcPr>
            <w:tcW w:w="16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for the Year Ended</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December 31, 1999</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w w:val="93"/>
              </w:rPr>
              <w:t>F - 3</w:t>
            </w:r>
          </w:p>
        </w:tc>
      </w:tr>
      <w:tr>
        <w:trPr>
          <w:trHeight w:val="339"/>
        </w:trPr>
        <w:tc>
          <w:tcPr>
            <w:tcW w:w="2500" w:type="dxa"/>
            <w:vAlign w:val="bottom"/>
            <w:gridSpan w:val="3"/>
          </w:tcPr>
          <w:p>
            <w:pPr>
              <w:spacing w:after="0"/>
              <w:rPr>
                <w:sz w:val="20"/>
                <w:szCs w:val="20"/>
                <w:color w:val="auto"/>
              </w:rPr>
            </w:pPr>
            <w:r>
              <w:rPr>
                <w:rFonts w:ascii="Courier New" w:cs="Courier New" w:eastAsia="Courier New" w:hAnsi="Courier New"/>
                <w:sz w:val="15"/>
                <w:szCs w:val="15"/>
                <w:color w:val="auto"/>
                <w:w w:val="98"/>
              </w:rPr>
              <w:t>Notes to Unaudited Pro Forma</w:t>
            </w:r>
          </w:p>
        </w:tc>
        <w:tc>
          <w:tcPr>
            <w:tcW w:w="3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Condensed Consolidated</w:t>
            </w:r>
          </w:p>
        </w:tc>
        <w:tc>
          <w:tcPr>
            <w:tcW w:w="660" w:type="dxa"/>
            <w:vAlign w:val="bottom"/>
          </w:tcPr>
          <w:p>
            <w:pPr>
              <w:spacing w:after="0"/>
              <w:rPr>
                <w:sz w:val="24"/>
                <w:szCs w:val="24"/>
                <w:color w:val="auto"/>
              </w:rPr>
            </w:pPr>
          </w:p>
        </w:tc>
      </w:tr>
      <w:tr>
        <w:trPr>
          <w:trHeight w:val="170"/>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w w:val="96"/>
              </w:rPr>
              <w:t>Financial Statements</w:t>
            </w: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w w:val="93"/>
              </w:rPr>
              <w:t>F - 4</w:t>
            </w:r>
          </w:p>
        </w:tc>
      </w:tr>
    </w:tbl>
    <w:p>
      <w:pPr>
        <w:sectPr>
          <w:pgSz w:w="11900" w:h="16838" w:orient="portrait"/>
          <w:cols w:equalWidth="0" w:num="1">
            <w:col w:w="9779"/>
          </w:cols>
          <w:pgMar w:left="680" w:top="622" w:right="1440" w:bottom="1440" w:gutter="0" w:footer="0" w:header="0"/>
        </w:sectPr>
      </w:pPr>
    </w:p>
    <w:bookmarkStart w:id="5" w:name="page6"/>
    <w:bookmarkEnd w:id="5"/>
    <w:p>
      <w:pPr>
        <w:jc w:val="center"/>
        <w:ind w:right="3099"/>
        <w:spacing w:after="0"/>
        <w:rPr>
          <w:sz w:val="20"/>
          <w:szCs w:val="20"/>
          <w:color w:val="auto"/>
        </w:rPr>
      </w:pPr>
      <w:r>
        <w:rPr>
          <w:rFonts w:ascii="Courier New" w:cs="Courier New" w:eastAsia="Courier New" w:hAnsi="Courier New"/>
          <w:sz w:val="15"/>
          <w:szCs w:val="15"/>
          <w:color w:val="auto"/>
        </w:rPr>
        <w:t>UNAUDITED PRO FORMA</w:t>
      </w:r>
    </w:p>
    <w:p>
      <w:pPr>
        <w:jc w:val="center"/>
        <w:ind w:right="3099"/>
        <w:spacing w:after="0"/>
        <w:rPr>
          <w:sz w:val="20"/>
          <w:szCs w:val="20"/>
          <w:color w:val="auto"/>
        </w:rPr>
      </w:pPr>
      <w:r>
        <w:rPr>
          <w:rFonts w:ascii="Courier New" w:cs="Courier New" w:eastAsia="Courier New" w:hAnsi="Courier New"/>
          <w:sz w:val="15"/>
          <w:szCs w:val="15"/>
          <w:color w:val="auto"/>
        </w:rPr>
        <w:t>FINANCIAL INFORMATION</w:t>
      </w:r>
    </w:p>
    <w:p>
      <w:pPr>
        <w:spacing w:after="0" w:line="174"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On November 16, 1999, Comcast Corporation ("Comcast"), Comcast's wholly owned subsidiary, Comcast LCI Holdings, Inc. ("LCI Holdings"), Lenfest Communications, Inc. ("Lenfest") and the Lenfest stockholders entered into an Agreement and Plan of Merger (the "Merger Agreement") pursuant to which Comcast was to acquire Lenfest in exchange for a specified number of shares of its Class A Special Common Stock, par value $1.00 per share (the "Class A Special Common Stock"), determined by formula, as defined in the Merger Agreement (the "Lenfest Acquisition"), subject to closing adjustments.</w:t>
      </w:r>
    </w:p>
    <w:p>
      <w:pPr>
        <w:spacing w:after="0" w:line="178"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On January 18, 2000, the Lenfest Acquisition closed. At the time of closing, the consideration to be exchanged in the Lenfest Acquisition was calculated to be 121.4 million shares of Class A Special Common Stock, subject to closing adjustments, with a value of $6.077 billion, based on the average closing price of the Class A Special Common Stock for the period from January 12, 2000 to January 14, 2000. The determination of the closing adjustments is ongoing. Immediately upon closing of the Lenfest Acquisition, Lenfest was merged with and into LCI Holdings, with LCI Holdings as the surviving corporation.</w:t>
      </w:r>
    </w:p>
    <w:p>
      <w:pPr>
        <w:spacing w:after="0" w:line="178"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unaudited pro forma information set forth below for Comcast gives effect to the Lenfest Acquisition as if it had been completed on January 1, 1999 for purposes of the condensed consolidated statement of operations for the year ended December 31, 1999. For purposes of the condensed consolidated balance sheet, the Lenfest Acquisition was assumed to have occurred on December 31, 1999. This information is based on the historical consolidated balance sheets and related historical consolidated statements of operations of Comcast and Lenfest giving effect to the Lenfest Acquisition using the purchase method of accounting for business combinations.</w:t>
      </w:r>
    </w:p>
    <w:p>
      <w:pPr>
        <w:spacing w:after="0" w:line="179"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This pro forma financial information should be read in conjunction with the historical consolidated financial statements of Comcast and Lenfest and the respective notes thereto that have been incorporated herein by reference.</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pro forma adjustments do not reflect any operating efficiencies and cost savings that may be achieved with respect to the combined company. The pro forma adjustments do not include any adjustments to historical sales for any future price changes nor any adjustments to selling, marketing or any other expenses for any future operating changes. Upon the closing of the Lenfest Acquisition, Lenfest may incur certain integration related expenses not reflected in the pro forma financial statements as a result of the elimination of duplicate facilities, operational realignment and related workforce reductions. Such costs would generally be recognized by Comcast as a liability assumed as of the merger date resulting in additional goodwill in accordance with Emerging Issues Task Force No. 95-3, "Recognition of Liabilities in Connection with a Purchase Business Combination". The assessment of integration related expenses is ongoing.</w:t>
      </w:r>
    </w:p>
    <w:p>
      <w:pPr>
        <w:spacing w:after="0" w:line="183"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following information is not necessarily indicative of the financial position or operating results that would have occurred had the Lenfest Acquisition been consummated on the dates, or at the beginning of the period, for which such transaction has been given effect.</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For purposes of preparing Comcast's consolidated financial statements, Comcast will establish a new basis for Lenfest's assets and liabilities based upon fair values thereof and the Comcast purchase price, including the costs of the Lenfest Acquisition. A final determination of required purchase accounting adjustments, including the allocation of the purchase price to the assets acquired and liabilities assumed based on their respective fair values, has not yet been made. Accordingly, the purchase accounting adjustments made in connection with the development of the pro forma condensed consolidated financial information are preliminary and have been made solely for purposes of developing such pro forma condensed consolidated financial information. Comcast will obtain an independent appraisal of the fair value of certain of Lenfest's assets and liabilities and will make appropriate purchase accounting adjustments upon completion of that appraisal.</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19"/>
          </w:cols>
          <w:pgMar w:left="240" w:top="45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Comcast Corporation</w:t>
      </w:r>
    </w:p>
    <w:p>
      <w:pPr>
        <w:spacing w:after="0"/>
        <w:rPr>
          <w:sz w:val="20"/>
          <w:szCs w:val="20"/>
          <w:color w:val="auto"/>
        </w:rPr>
      </w:pPr>
      <w:r>
        <w:rPr>
          <w:rFonts w:ascii="Courier New" w:cs="Courier New" w:eastAsia="Courier New" w:hAnsi="Courier New"/>
          <w:sz w:val="15"/>
          <w:szCs w:val="15"/>
          <w:color w:val="auto"/>
        </w:rPr>
        <w:t>Pro Forma Condensed Consolidated Balance Sheet (Unaudited)</w:t>
      </w:r>
    </w:p>
    <w:p>
      <w:pPr>
        <w:spacing w:after="0"/>
        <w:rPr>
          <w:sz w:val="20"/>
          <w:szCs w:val="20"/>
          <w:color w:val="auto"/>
        </w:rPr>
      </w:pPr>
      <w:r>
        <w:rPr>
          <w:rFonts w:ascii="Courier New" w:cs="Courier New" w:eastAsia="Courier New" w:hAnsi="Courier New"/>
          <w:sz w:val="15"/>
          <w:szCs w:val="15"/>
          <w:color w:val="auto"/>
        </w:rPr>
        <w:t>As of December 31, 1999</w:t>
      </w:r>
    </w:p>
    <w:p>
      <w:pPr>
        <w:spacing w:after="0" w:line="238" w:lineRule="auto"/>
        <w:rPr>
          <w:sz w:val="20"/>
          <w:szCs w:val="20"/>
          <w:color w:val="auto"/>
        </w:rPr>
      </w:pPr>
      <w:r>
        <w:rPr>
          <w:rFonts w:ascii="Courier New" w:cs="Courier New" w:eastAsia="Courier New" w:hAnsi="Courier New"/>
          <w:sz w:val="15"/>
          <w:szCs w:val="15"/>
          <w:color w:val="auto"/>
        </w:rPr>
        <w:t>(Dollars in millions)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Historical</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Historical</w:t>
            </w:r>
          </w:p>
        </w:tc>
        <w:tc>
          <w:tcPr>
            <w:tcW w:w="3000" w:type="dxa"/>
            <w:vAlign w:val="bottom"/>
            <w:gridSpan w:val="2"/>
          </w:tcPr>
          <w:p>
            <w:pPr>
              <w:jc w:val="right"/>
              <w:ind w:right="1787"/>
              <w:spacing w:after="0"/>
              <w:rPr>
                <w:sz w:val="20"/>
                <w:szCs w:val="20"/>
                <w:color w:val="auto"/>
              </w:rPr>
            </w:pPr>
            <w:r>
              <w:rPr>
                <w:rFonts w:ascii="Courier New" w:cs="Courier New" w:eastAsia="Courier New" w:hAnsi="Courier New"/>
                <w:sz w:val="15"/>
                <w:szCs w:val="15"/>
                <w:color w:val="auto"/>
              </w:rPr>
              <w:t>Pro Forma</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Comcast</w:t>
            </w:r>
          </w:p>
        </w:tc>
      </w:tr>
      <w:tr>
        <w:trPr>
          <w:trHeight w:val="170"/>
        </w:trPr>
        <w:tc>
          <w:tcPr>
            <w:tcW w:w="5140" w:type="dxa"/>
            <w:vAlign w:val="bottom"/>
          </w:tcPr>
          <w:p>
            <w:pPr>
              <w:spacing w:after="0"/>
              <w:rPr>
                <w:sz w:val="14"/>
                <w:szCs w:val="14"/>
                <w:color w:val="auto"/>
              </w:rPr>
            </w:pP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Comcast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Lenfest</w:t>
            </w:r>
          </w:p>
        </w:tc>
        <w:tc>
          <w:tcPr>
            <w:tcW w:w="3000" w:type="dxa"/>
            <w:vAlign w:val="bottom"/>
            <w:gridSpan w:val="2"/>
          </w:tcPr>
          <w:p>
            <w:pPr>
              <w:jc w:val="right"/>
              <w:ind w:right="1687"/>
              <w:spacing w:after="0"/>
              <w:rPr>
                <w:sz w:val="20"/>
                <w:szCs w:val="20"/>
                <w:color w:val="auto"/>
              </w:rPr>
            </w:pPr>
            <w:r>
              <w:rPr>
                <w:rFonts w:ascii="Courier New" w:cs="Courier New" w:eastAsia="Courier New" w:hAnsi="Courier New"/>
                <w:sz w:val="15"/>
                <w:szCs w:val="15"/>
                <w:color w:val="auto"/>
              </w:rPr>
              <w:t>Adjustments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r>
      <w:tr>
        <w:trPr>
          <w:trHeight w:val="170"/>
        </w:trPr>
        <w:tc>
          <w:tcPr>
            <w:tcW w:w="5140" w:type="dxa"/>
            <w:vAlign w:val="bottom"/>
          </w:tcPr>
          <w:p>
            <w:pPr>
              <w:spacing w:after="0"/>
              <w:rPr>
                <w:sz w:val="14"/>
                <w:szCs w:val="14"/>
                <w:color w:val="auto"/>
              </w:rPr>
            </w:pP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0" w:type="dxa"/>
            <w:vAlign w:val="bottom"/>
            <w:gridSpan w:val="2"/>
          </w:tcPr>
          <w:p>
            <w:pPr>
              <w:jc w:val="right"/>
              <w:ind w:right="168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1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9"/>
        </w:trPr>
        <w:tc>
          <w:tcPr>
            <w:tcW w:w="51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$922.2</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$145.0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(4),(5),(6)</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$1,071.3</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7,606.0</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159.0</w:t>
            </w:r>
          </w:p>
        </w:tc>
        <w:tc>
          <w:tcPr>
            <w:tcW w:w="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7,765.0</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w w:val="99"/>
              </w:rPr>
              <w:t>Accounts receivable, less allowance for doubtful accounts</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673.3</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30.9</w:t>
            </w:r>
          </w:p>
        </w:tc>
        <w:tc>
          <w:tcPr>
            <w:tcW w:w="30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(5.7)(4),(6),(9),(11)</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698.5</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Inventories, net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457.0</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457.0</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Other current assets</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100.1</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(4),(6)</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104.5</w:t>
            </w:r>
          </w:p>
        </w:tc>
      </w:tr>
      <w:tr>
        <w:trPr>
          <w:trHeight w:val="170"/>
        </w:trPr>
        <w:tc>
          <w:tcPr>
            <w:tcW w:w="5140" w:type="dxa"/>
            <w:vAlign w:val="bottom"/>
          </w:tcPr>
          <w:p>
            <w:pPr>
              <w:spacing w:after="0"/>
              <w:rPr>
                <w:sz w:val="14"/>
                <w:szCs w:val="14"/>
                <w:color w:val="auto"/>
              </w:rPr>
            </w:pPr>
          </w:p>
        </w:tc>
        <w:tc>
          <w:tcPr>
            <w:tcW w:w="25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70"/>
              </w:rPr>
              <w:t>-------------------------------------</w:t>
            </w:r>
          </w:p>
        </w:tc>
        <w:tc>
          <w:tcPr>
            <w:tcW w:w="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Total current assets</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9,758.6</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337.9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c>
          <w:tcPr>
            <w:tcW w:w="212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10,096.3</w:t>
            </w:r>
          </w:p>
        </w:tc>
      </w:tr>
      <w:tr>
        <w:trPr>
          <w:trHeight w:val="170"/>
        </w:trPr>
        <w:tc>
          <w:tcPr>
            <w:tcW w:w="5140" w:type="dxa"/>
            <w:vAlign w:val="bottom"/>
          </w:tcPr>
          <w:p>
            <w:pPr>
              <w:spacing w:after="0"/>
              <w:rPr>
                <w:sz w:val="14"/>
                <w:szCs w:val="14"/>
                <w:color w:val="auto"/>
              </w:rPr>
            </w:pPr>
          </w:p>
        </w:tc>
        <w:tc>
          <w:tcPr>
            <w:tcW w:w="25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70"/>
              </w:rPr>
              <w:t>-------------------------------------</w:t>
            </w:r>
          </w:p>
        </w:tc>
        <w:tc>
          <w:tcPr>
            <w:tcW w:w="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339"/>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5,548.8</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(30.9)</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169.1</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(4),(6)</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5,687.0</w:t>
            </w:r>
          </w:p>
        </w:tc>
      </w:tr>
      <w:tr>
        <w:trPr>
          <w:trHeight w:val="170"/>
        </w:trPr>
        <w:tc>
          <w:tcPr>
            <w:tcW w:w="5140" w:type="dxa"/>
            <w:vAlign w:val="bottom"/>
          </w:tcPr>
          <w:p>
            <w:pPr>
              <w:spacing w:after="0"/>
              <w:rPr>
                <w:sz w:val="14"/>
                <w:szCs w:val="14"/>
                <w:color w:val="auto"/>
              </w:rPr>
            </w:pPr>
          </w:p>
        </w:tc>
        <w:tc>
          <w:tcPr>
            <w:tcW w:w="25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70"/>
              </w:rPr>
              <w:t>-------------------------------------</w:t>
            </w:r>
          </w:p>
        </w:tc>
        <w:tc>
          <w:tcPr>
            <w:tcW w:w="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339"/>
        </w:trPr>
        <w:tc>
          <w:tcPr>
            <w:tcW w:w="514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5,099.0</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1,096.3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502.0</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(1),(4),(6)</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6,697.3</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Accumulated depreciation</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(1,700.9)</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(530.6)</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530.6</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(1,700.9)</w:t>
            </w:r>
          </w:p>
        </w:tc>
      </w:tr>
      <w:tr>
        <w:trPr>
          <w:trHeight w:val="170"/>
        </w:trPr>
        <w:tc>
          <w:tcPr>
            <w:tcW w:w="5140" w:type="dxa"/>
            <w:vAlign w:val="bottom"/>
          </w:tcPr>
          <w:p>
            <w:pPr>
              <w:spacing w:after="0"/>
              <w:rPr>
                <w:sz w:val="14"/>
                <w:szCs w:val="14"/>
                <w:color w:val="auto"/>
              </w:rPr>
            </w:pPr>
          </w:p>
        </w:tc>
        <w:tc>
          <w:tcPr>
            <w:tcW w:w="25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70"/>
              </w:rPr>
              <w:t>-------------------------------------</w:t>
            </w:r>
          </w:p>
        </w:tc>
        <w:tc>
          <w:tcPr>
            <w:tcW w:w="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3,398.1</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565.7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1,032.6</w:t>
            </w:r>
          </w:p>
        </w:tc>
        <w:tc>
          <w:tcPr>
            <w:tcW w:w="212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4,996.4</w:t>
            </w:r>
          </w:p>
        </w:tc>
      </w:tr>
      <w:tr>
        <w:trPr>
          <w:trHeight w:val="170"/>
        </w:trPr>
        <w:tc>
          <w:tcPr>
            <w:tcW w:w="5140" w:type="dxa"/>
            <w:vAlign w:val="bottom"/>
          </w:tcPr>
          <w:p>
            <w:pPr>
              <w:spacing w:after="0"/>
              <w:rPr>
                <w:sz w:val="14"/>
                <w:szCs w:val="14"/>
                <w:color w:val="auto"/>
              </w:rPr>
            </w:pPr>
          </w:p>
        </w:tc>
        <w:tc>
          <w:tcPr>
            <w:tcW w:w="25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70"/>
              </w:rPr>
              <w:t>-------------------------------------</w:t>
            </w:r>
          </w:p>
        </w:tc>
        <w:tc>
          <w:tcPr>
            <w:tcW w:w="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339"/>
        </w:trPr>
        <w:tc>
          <w:tcPr>
            <w:tcW w:w="5140" w:type="dxa"/>
            <w:vAlign w:val="bottom"/>
          </w:tcPr>
          <w:p>
            <w:pPr>
              <w:spacing w:after="0"/>
              <w:rPr>
                <w:sz w:val="20"/>
                <w:szCs w:val="20"/>
                <w:color w:val="auto"/>
              </w:rPr>
            </w:pPr>
            <w:r>
              <w:rPr>
                <w:rFonts w:ascii="Courier New" w:cs="Courier New" w:eastAsia="Courier New" w:hAnsi="Courier New"/>
                <w:sz w:val="15"/>
                <w:szCs w:val="15"/>
                <w:color w:val="auto"/>
              </w:rPr>
              <w:t>DEFERRED CHARGES AND OTHER</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12,722.1</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927.6</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7,689.4</w:t>
            </w:r>
          </w:p>
        </w:tc>
        <w:tc>
          <w:tcPr>
            <w:tcW w:w="2120" w:type="dxa"/>
            <w:vAlign w:val="bottom"/>
          </w:tcPr>
          <w:p>
            <w:pPr>
              <w:spacing w:after="0"/>
              <w:rPr>
                <w:sz w:val="20"/>
                <w:szCs w:val="20"/>
                <w:color w:val="auto"/>
              </w:rPr>
            </w:pPr>
            <w:r>
              <w:rPr>
                <w:rFonts w:ascii="Courier New" w:cs="Courier New" w:eastAsia="Courier New" w:hAnsi="Courier New"/>
                <w:sz w:val="15"/>
                <w:szCs w:val="15"/>
                <w:color w:val="auto"/>
                <w:w w:val="97"/>
              </w:rPr>
              <w:t>(2),(4),(5),(6),(8),(16)</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21,339.1</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Accumulated amortization</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(2,742.0)</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(322.8)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322.8</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(2),(4)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(2,742.0)</w:t>
            </w:r>
          </w:p>
        </w:tc>
      </w:tr>
      <w:tr>
        <w:trPr>
          <w:trHeight w:val="170"/>
        </w:trPr>
        <w:tc>
          <w:tcPr>
            <w:tcW w:w="5140" w:type="dxa"/>
            <w:vAlign w:val="bottom"/>
          </w:tcPr>
          <w:p>
            <w:pPr>
              <w:spacing w:after="0"/>
              <w:rPr>
                <w:sz w:val="14"/>
                <w:szCs w:val="14"/>
                <w:color w:val="auto"/>
              </w:rPr>
            </w:pPr>
          </w:p>
        </w:tc>
        <w:tc>
          <w:tcPr>
            <w:tcW w:w="25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70"/>
              </w:rPr>
              <w:t>-------------------------------------</w:t>
            </w:r>
          </w:p>
        </w:tc>
        <w:tc>
          <w:tcPr>
            <w:tcW w:w="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Deferred charges and other, net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9,980.1</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604.8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8,012.2</w:t>
            </w:r>
          </w:p>
        </w:tc>
        <w:tc>
          <w:tcPr>
            <w:tcW w:w="212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18,597.1</w:t>
            </w:r>
          </w:p>
        </w:tc>
      </w:tr>
      <w:tr>
        <w:trPr>
          <w:trHeight w:val="170"/>
        </w:trPr>
        <w:tc>
          <w:tcPr>
            <w:tcW w:w="5140" w:type="dxa"/>
            <w:vAlign w:val="bottom"/>
          </w:tcPr>
          <w:p>
            <w:pPr>
              <w:spacing w:after="0"/>
              <w:rPr>
                <w:sz w:val="14"/>
                <w:szCs w:val="14"/>
                <w:color w:val="auto"/>
              </w:rPr>
            </w:pPr>
          </w:p>
        </w:tc>
        <w:tc>
          <w:tcPr>
            <w:tcW w:w="25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70"/>
              </w:rPr>
              <w:t>-------------------------------------</w:t>
            </w:r>
          </w:p>
        </w:tc>
        <w:tc>
          <w:tcPr>
            <w:tcW w:w="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5140" w:type="dxa"/>
            <w:vAlign w:val="bottom"/>
          </w:tcPr>
          <w:p>
            <w:pPr>
              <w:spacing w:after="0"/>
              <w:rPr>
                <w:sz w:val="14"/>
                <w:szCs w:val="14"/>
                <w:color w:val="auto"/>
              </w:rPr>
            </w:pP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$28,685.6</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$1,477.5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$9,213.7</w:t>
            </w:r>
          </w:p>
        </w:tc>
        <w:tc>
          <w:tcPr>
            <w:tcW w:w="212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$39,376.8</w:t>
            </w:r>
          </w:p>
        </w:tc>
      </w:tr>
      <w:tr>
        <w:trPr>
          <w:trHeight w:val="170"/>
        </w:trPr>
        <w:tc>
          <w:tcPr>
            <w:tcW w:w="5140" w:type="dxa"/>
            <w:vAlign w:val="bottom"/>
          </w:tcPr>
          <w:p>
            <w:pPr>
              <w:spacing w:after="0"/>
              <w:rPr>
                <w:sz w:val="14"/>
                <w:szCs w:val="14"/>
                <w:color w:val="auto"/>
              </w:rPr>
            </w:pPr>
          </w:p>
        </w:tc>
        <w:tc>
          <w:tcPr>
            <w:tcW w:w="340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7"/>
              </w:rPr>
              <w:t>=====================================</w:t>
            </w:r>
          </w:p>
        </w:tc>
        <w:tc>
          <w:tcPr>
            <w:tcW w:w="212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339"/>
        </w:trPr>
        <w:tc>
          <w:tcPr>
            <w:tcW w:w="51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 (DEFICIENCY)</w:t>
            </w:r>
          </w:p>
        </w:tc>
        <w:tc>
          <w:tcPr>
            <w:tcW w:w="1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9"/>
        </w:trPr>
        <w:tc>
          <w:tcPr>
            <w:tcW w:w="51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Accounts payable and accrued expenses</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$2,786.5</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$130.8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$73.6</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(4),(6),(9),(11),(16)</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$2,990.9</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Accrued interest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104.5</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21.5</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0.7</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126.7</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2,118.6</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2,118.6</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Current portion of long-term debt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517.5</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205.0</w:t>
            </w:r>
          </w:p>
        </w:tc>
        <w:tc>
          <w:tcPr>
            <w:tcW w:w="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722.5</w:t>
            </w:r>
          </w:p>
        </w:tc>
      </w:tr>
      <w:tr>
        <w:trPr>
          <w:trHeight w:val="170"/>
        </w:trPr>
        <w:tc>
          <w:tcPr>
            <w:tcW w:w="5140" w:type="dxa"/>
            <w:vAlign w:val="bottom"/>
          </w:tcPr>
          <w:p>
            <w:pPr>
              <w:spacing w:after="0"/>
              <w:rPr>
                <w:sz w:val="14"/>
                <w:szCs w:val="14"/>
                <w:color w:val="auto"/>
              </w:rPr>
            </w:pPr>
          </w:p>
        </w:tc>
        <w:tc>
          <w:tcPr>
            <w:tcW w:w="25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70"/>
              </w:rPr>
              <w:t>-------------------------------------</w:t>
            </w:r>
          </w:p>
        </w:tc>
        <w:tc>
          <w:tcPr>
            <w:tcW w:w="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Total current liabilities</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5,527.1</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357.3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74.3</w:t>
            </w:r>
          </w:p>
        </w:tc>
        <w:tc>
          <w:tcPr>
            <w:tcW w:w="212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5,958.7</w:t>
            </w:r>
          </w:p>
        </w:tc>
      </w:tr>
      <w:tr>
        <w:trPr>
          <w:trHeight w:val="170"/>
        </w:trPr>
        <w:tc>
          <w:tcPr>
            <w:tcW w:w="5140" w:type="dxa"/>
            <w:vAlign w:val="bottom"/>
          </w:tcPr>
          <w:p>
            <w:pPr>
              <w:spacing w:after="0"/>
              <w:rPr>
                <w:sz w:val="14"/>
                <w:szCs w:val="14"/>
                <w:color w:val="auto"/>
              </w:rPr>
            </w:pPr>
          </w:p>
        </w:tc>
        <w:tc>
          <w:tcPr>
            <w:tcW w:w="25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70"/>
              </w:rPr>
              <w:t>-------------------------------------</w:t>
            </w:r>
          </w:p>
        </w:tc>
        <w:tc>
          <w:tcPr>
            <w:tcW w:w="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339"/>
        </w:trPr>
        <w:tc>
          <w:tcPr>
            <w:tcW w:w="5140" w:type="dxa"/>
            <w:vAlign w:val="bottom"/>
          </w:tcPr>
          <w:p>
            <w:pPr>
              <w:spacing w:after="0"/>
              <w:rPr>
                <w:sz w:val="20"/>
                <w:szCs w:val="20"/>
                <w:color w:val="auto"/>
              </w:rPr>
            </w:pPr>
            <w:r>
              <w:rPr>
                <w:rFonts w:ascii="Courier New" w:cs="Courier New" w:eastAsia="Courier New" w:hAnsi="Courier New"/>
                <w:sz w:val="15"/>
                <w:szCs w:val="15"/>
                <w:color w:val="auto"/>
              </w:rPr>
              <w:t>LONG-TERM DEBT, less current portion</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8,707.2</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1,286.6</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337.9</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(3),(6)</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10,331.7</w:t>
            </w:r>
          </w:p>
        </w:tc>
      </w:tr>
      <w:tr>
        <w:trPr>
          <w:trHeight w:val="170"/>
        </w:trPr>
        <w:tc>
          <w:tcPr>
            <w:tcW w:w="5140" w:type="dxa"/>
            <w:vAlign w:val="bottom"/>
          </w:tcPr>
          <w:p>
            <w:pPr>
              <w:spacing w:after="0"/>
              <w:rPr>
                <w:sz w:val="14"/>
                <w:szCs w:val="14"/>
                <w:color w:val="auto"/>
              </w:rPr>
            </w:pPr>
          </w:p>
        </w:tc>
        <w:tc>
          <w:tcPr>
            <w:tcW w:w="25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70"/>
              </w:rPr>
              <w:t>-------------------------------------</w:t>
            </w:r>
          </w:p>
        </w:tc>
        <w:tc>
          <w:tcPr>
            <w:tcW w:w="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339"/>
        </w:trPr>
        <w:tc>
          <w:tcPr>
            <w:tcW w:w="51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3,150.5</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2,492.0</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(4),(8)</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5,665.8</w:t>
            </w:r>
          </w:p>
        </w:tc>
      </w:tr>
      <w:tr>
        <w:trPr>
          <w:trHeight w:val="170"/>
        </w:trPr>
        <w:tc>
          <w:tcPr>
            <w:tcW w:w="5140" w:type="dxa"/>
            <w:vAlign w:val="bottom"/>
          </w:tcPr>
          <w:p>
            <w:pPr>
              <w:spacing w:after="0"/>
              <w:rPr>
                <w:sz w:val="14"/>
                <w:szCs w:val="14"/>
                <w:color w:val="auto"/>
              </w:rPr>
            </w:pPr>
          </w:p>
        </w:tc>
        <w:tc>
          <w:tcPr>
            <w:tcW w:w="25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70"/>
              </w:rPr>
              <w:t>-------------------------------------</w:t>
            </w:r>
          </w:p>
        </w:tc>
        <w:tc>
          <w:tcPr>
            <w:tcW w:w="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339"/>
        </w:trPr>
        <w:tc>
          <w:tcPr>
            <w:tcW w:w="5140" w:type="dxa"/>
            <w:vAlign w:val="bottom"/>
          </w:tcPr>
          <w:p>
            <w:pPr>
              <w:spacing w:after="0"/>
              <w:rPr>
                <w:sz w:val="20"/>
                <w:szCs w:val="20"/>
                <w:color w:val="auto"/>
              </w:rPr>
            </w:pPr>
            <w:r>
              <w:rPr>
                <w:rFonts w:ascii="Courier New" w:cs="Courier New" w:eastAsia="Courier New" w:hAnsi="Courier New"/>
                <w:sz w:val="15"/>
                <w:szCs w:val="15"/>
                <w:color w:val="auto"/>
              </w:rPr>
              <w:t>MINORITY INTEREST AND OTHER</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959.5</w:t>
            </w:r>
          </w:p>
        </w:tc>
        <w:tc>
          <w:tcPr>
            <w:tcW w:w="98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42.6</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1,002.1</w:t>
            </w:r>
          </w:p>
        </w:tc>
      </w:tr>
      <w:tr>
        <w:trPr>
          <w:trHeight w:val="170"/>
        </w:trPr>
        <w:tc>
          <w:tcPr>
            <w:tcW w:w="5140" w:type="dxa"/>
            <w:vAlign w:val="bottom"/>
          </w:tcPr>
          <w:p>
            <w:pPr>
              <w:spacing w:after="0"/>
              <w:rPr>
                <w:sz w:val="14"/>
                <w:szCs w:val="14"/>
                <w:color w:val="auto"/>
              </w:rPr>
            </w:pPr>
          </w:p>
        </w:tc>
        <w:tc>
          <w:tcPr>
            <w:tcW w:w="25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70"/>
              </w:rPr>
              <w:t>-------------------------------------</w:t>
            </w:r>
          </w:p>
        </w:tc>
        <w:tc>
          <w:tcPr>
            <w:tcW w:w="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339"/>
        </w:trPr>
        <w:tc>
          <w:tcPr>
            <w:tcW w:w="51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9"/>
        </w:trPr>
        <w:tc>
          <w:tcPr>
            <w:tcW w:w="5140" w:type="dxa"/>
            <w:vAlign w:val="bottom"/>
          </w:tcPr>
          <w:p>
            <w:pPr>
              <w:spacing w:after="0"/>
              <w:rPr>
                <w:sz w:val="20"/>
                <w:szCs w:val="20"/>
                <w:color w:val="auto"/>
              </w:rPr>
            </w:pPr>
            <w:r>
              <w:rPr>
                <w:rFonts w:ascii="Courier New" w:cs="Courier New" w:eastAsia="Courier New" w:hAnsi="Courier New"/>
                <w:sz w:val="15"/>
                <w:szCs w:val="15"/>
                <w:color w:val="auto"/>
              </w:rPr>
              <w:t>STOCKHOLDERS' EQUITY (DEFICIENCY)</w:t>
            </w:r>
          </w:p>
        </w:tc>
        <w:tc>
          <w:tcPr>
            <w:tcW w:w="1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Series B convertible preferred stock</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569.6</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569.6</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Class A special common stock</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716.4</w:t>
            </w:r>
          </w:p>
        </w:tc>
        <w:tc>
          <w:tcPr>
            <w:tcW w:w="9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121.4</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837.8</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Class A common stock</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26.0</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26.0</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Class B common stock</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9.4</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Additional capital</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3,527.0</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51.6</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5,904.2</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(5),(7)</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9,482.8</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Accumulated deficit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(619.8)</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(323.1)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323.1</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(4),(7)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(619.8)</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6,112.7</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81.8</w:t>
            </w:r>
          </w:p>
        </w:tc>
        <w:tc>
          <w:tcPr>
            <w:tcW w:w="3000" w:type="dxa"/>
            <w:vAlign w:val="bottom"/>
            <w:gridSpan w:val="2"/>
          </w:tcPr>
          <w:p>
            <w:pPr>
              <w:jc w:val="right"/>
              <w:ind w:right="1787"/>
              <w:spacing w:after="0"/>
              <w:rPr>
                <w:sz w:val="20"/>
                <w:szCs w:val="20"/>
                <w:color w:val="auto"/>
              </w:rPr>
            </w:pPr>
            <w:r>
              <w:rPr>
                <w:rFonts w:ascii="Courier New" w:cs="Courier New" w:eastAsia="Courier New" w:hAnsi="Courier New"/>
                <w:sz w:val="15"/>
                <w:szCs w:val="15"/>
                <w:color w:val="auto"/>
              </w:rPr>
              <w:t>(81.8)(7)</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6,112.7</w:t>
            </w:r>
          </w:p>
        </w:tc>
      </w:tr>
      <w:tr>
        <w:trPr>
          <w:trHeight w:val="170"/>
        </w:trPr>
        <w:tc>
          <w:tcPr>
            <w:tcW w:w="5140" w:type="dxa"/>
            <w:vAlign w:val="bottom"/>
          </w:tcPr>
          <w:p>
            <w:pPr>
              <w:spacing w:after="0"/>
              <w:rPr>
                <w:sz w:val="14"/>
                <w:szCs w:val="14"/>
                <w:color w:val="auto"/>
              </w:rPr>
            </w:pPr>
          </w:p>
        </w:tc>
        <w:tc>
          <w:tcPr>
            <w:tcW w:w="25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70"/>
              </w:rPr>
              <w:t>-------------------------------------</w:t>
            </w:r>
          </w:p>
        </w:tc>
        <w:tc>
          <w:tcPr>
            <w:tcW w:w="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Total stockholders' equity (deficiency)</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10,341.3</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(189.7)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6,266.9</w:t>
            </w:r>
          </w:p>
        </w:tc>
        <w:tc>
          <w:tcPr>
            <w:tcW w:w="212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16,418.5</w:t>
            </w:r>
          </w:p>
        </w:tc>
      </w:tr>
      <w:tr>
        <w:trPr>
          <w:trHeight w:val="170"/>
        </w:trPr>
        <w:tc>
          <w:tcPr>
            <w:tcW w:w="5140" w:type="dxa"/>
            <w:vAlign w:val="bottom"/>
          </w:tcPr>
          <w:p>
            <w:pPr>
              <w:spacing w:after="0"/>
              <w:rPr>
                <w:sz w:val="14"/>
                <w:szCs w:val="14"/>
                <w:color w:val="auto"/>
              </w:rPr>
            </w:pPr>
          </w:p>
        </w:tc>
        <w:tc>
          <w:tcPr>
            <w:tcW w:w="25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70"/>
              </w:rPr>
              <w:t>-------------------------------------</w:t>
            </w:r>
          </w:p>
        </w:tc>
        <w:tc>
          <w:tcPr>
            <w:tcW w:w="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5140" w:type="dxa"/>
            <w:vAlign w:val="bottom"/>
          </w:tcPr>
          <w:p>
            <w:pPr>
              <w:spacing w:after="0"/>
              <w:rPr>
                <w:sz w:val="14"/>
                <w:szCs w:val="14"/>
                <w:color w:val="auto"/>
              </w:rPr>
            </w:pP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$28,685.6</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$1,477.5</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$9,213.7</w:t>
            </w:r>
          </w:p>
        </w:tc>
        <w:tc>
          <w:tcPr>
            <w:tcW w:w="212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$39,376.8</w:t>
            </w:r>
          </w:p>
        </w:tc>
      </w:tr>
      <w:tr>
        <w:trPr>
          <w:trHeight w:val="170"/>
        </w:trPr>
        <w:tc>
          <w:tcPr>
            <w:tcW w:w="5140" w:type="dxa"/>
            <w:vAlign w:val="bottom"/>
          </w:tcPr>
          <w:p>
            <w:pPr>
              <w:spacing w:after="0"/>
              <w:rPr>
                <w:sz w:val="14"/>
                <w:szCs w:val="14"/>
                <w:color w:val="auto"/>
              </w:rPr>
            </w:pPr>
          </w:p>
        </w:tc>
        <w:tc>
          <w:tcPr>
            <w:tcW w:w="340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7"/>
              </w:rPr>
              <w:t>=====================================</w:t>
            </w:r>
          </w:p>
        </w:tc>
        <w:tc>
          <w:tcPr>
            <w:tcW w:w="212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bl>
    <w:p>
      <w:pPr>
        <w:spacing w:after="0" w:line="175" w:lineRule="exact"/>
        <w:rPr>
          <w:sz w:val="20"/>
          <w:szCs w:val="20"/>
          <w:color w:val="auto"/>
        </w:rPr>
      </w:pPr>
    </w:p>
    <w:p>
      <w:pPr>
        <w:jc w:val="center"/>
        <w:ind w:right="4740"/>
        <w:spacing w:after="0"/>
        <w:rPr>
          <w:sz w:val="20"/>
          <w:szCs w:val="20"/>
          <w:color w:val="auto"/>
        </w:rPr>
      </w:pPr>
      <w:r>
        <w:rPr>
          <w:rFonts w:ascii="Courier New" w:cs="Courier New" w:eastAsia="Courier New" w:hAnsi="Courier New"/>
          <w:sz w:val="14"/>
          <w:szCs w:val="14"/>
          <w:color w:val="auto"/>
        </w:rPr>
        <w:t>See notes to unaudited pro forma condensed consolidated financial statements.</w:t>
      </w:r>
    </w:p>
    <w:p>
      <w:pPr>
        <w:spacing w:after="0" w:line="1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1520"/>
          </w:cols>
          <w:pgMar w:left="240" w:top="452" w:right="13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Comcast Corporation</w:t>
      </w:r>
    </w:p>
    <w:p>
      <w:pPr>
        <w:spacing w:after="0"/>
        <w:rPr>
          <w:sz w:val="20"/>
          <w:szCs w:val="20"/>
          <w:color w:val="auto"/>
        </w:rPr>
      </w:pPr>
      <w:r>
        <w:rPr>
          <w:rFonts w:ascii="Courier New" w:cs="Courier New" w:eastAsia="Courier New" w:hAnsi="Courier New"/>
          <w:sz w:val="15"/>
          <w:szCs w:val="15"/>
          <w:color w:val="auto"/>
        </w:rPr>
        <w:t>Pro Forma Condensed Consolidated Statement of Operations (Unaudited)</w:t>
      </w:r>
    </w:p>
    <w:p>
      <w:pPr>
        <w:spacing w:after="0"/>
        <w:rPr>
          <w:sz w:val="20"/>
          <w:szCs w:val="20"/>
          <w:color w:val="auto"/>
        </w:rPr>
      </w:pPr>
      <w:r>
        <w:rPr>
          <w:rFonts w:ascii="Courier New" w:cs="Courier New" w:eastAsia="Courier New" w:hAnsi="Courier New"/>
          <w:sz w:val="15"/>
          <w:szCs w:val="15"/>
          <w:color w:val="auto"/>
        </w:rPr>
        <w:t>Year Ended December 31, 1999</w:t>
      </w:r>
    </w:p>
    <w:p>
      <w:pPr>
        <w:spacing w:after="0" w:line="238" w:lineRule="auto"/>
        <w:rPr>
          <w:sz w:val="20"/>
          <w:szCs w:val="20"/>
          <w:color w:val="auto"/>
        </w:rPr>
      </w:pPr>
      <w:r>
        <w:rPr>
          <w:rFonts w:ascii="Courier New" w:cs="Courier New" w:eastAsia="Courier New" w:hAnsi="Courier New"/>
          <w:sz w:val="15"/>
          <w:szCs w:val="15"/>
          <w:color w:val="auto"/>
        </w:rPr>
        <w:t>(Amounts in millions, except per share data)</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5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Historical</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Historical</w:t>
            </w:r>
          </w:p>
        </w:tc>
        <w:tc>
          <w:tcPr>
            <w:tcW w:w="2640" w:type="dxa"/>
            <w:vAlign w:val="bottom"/>
            <w:gridSpan w:val="2"/>
          </w:tcPr>
          <w:p>
            <w:pPr>
              <w:jc w:val="right"/>
              <w:ind w:right="1507"/>
              <w:spacing w:after="0"/>
              <w:rPr>
                <w:sz w:val="20"/>
                <w:szCs w:val="20"/>
                <w:color w:val="auto"/>
              </w:rPr>
            </w:pPr>
            <w:r>
              <w:rPr>
                <w:rFonts w:ascii="Courier New" w:cs="Courier New" w:eastAsia="Courier New" w:hAnsi="Courier New"/>
                <w:sz w:val="15"/>
                <w:szCs w:val="15"/>
                <w:color w:val="auto"/>
              </w:rPr>
              <w:t>Pro Forma</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Comcast</w:t>
            </w:r>
          </w:p>
        </w:tc>
      </w:tr>
      <w:tr>
        <w:trPr>
          <w:trHeight w:val="170"/>
        </w:trPr>
        <w:tc>
          <w:tcPr>
            <w:tcW w:w="536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5"/>
                <w:szCs w:val="15"/>
                <w:color w:val="auto"/>
              </w:rPr>
              <w:t>Comcast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Lenfest</w:t>
            </w:r>
          </w:p>
        </w:tc>
        <w:tc>
          <w:tcPr>
            <w:tcW w:w="2640" w:type="dxa"/>
            <w:vAlign w:val="bottom"/>
            <w:gridSpan w:val="2"/>
          </w:tcPr>
          <w:p>
            <w:pPr>
              <w:jc w:val="right"/>
              <w:ind w:right="1427"/>
              <w:spacing w:after="0"/>
              <w:rPr>
                <w:sz w:val="20"/>
                <w:szCs w:val="20"/>
                <w:color w:val="auto"/>
              </w:rPr>
            </w:pPr>
            <w:r>
              <w:rPr>
                <w:rFonts w:ascii="Courier New" w:cs="Courier New" w:eastAsia="Courier New" w:hAnsi="Courier New"/>
                <w:sz w:val="15"/>
                <w:szCs w:val="15"/>
                <w:color w:val="auto"/>
              </w:rPr>
              <w:t>Adjustments</w:t>
            </w:r>
          </w:p>
        </w:tc>
        <w:tc>
          <w:tcPr>
            <w:tcW w:w="1040" w:type="dxa"/>
            <w:vAlign w:val="bottom"/>
          </w:tcPr>
          <w:p>
            <w:pPr>
              <w:jc w:val="right"/>
              <w:ind w:right="167"/>
              <w:spacing w:after="0"/>
              <w:rPr>
                <w:sz w:val="20"/>
                <w:szCs w:val="20"/>
                <w:color w:val="auto"/>
              </w:rPr>
            </w:pPr>
            <w:r>
              <w:rPr>
                <w:rFonts w:ascii="Courier New" w:cs="Courier New" w:eastAsia="Courier New" w:hAnsi="Courier New"/>
                <w:sz w:val="15"/>
                <w:szCs w:val="15"/>
                <w:color w:val="auto"/>
                <w:w w:val="96"/>
              </w:rPr>
              <w:t>Pro Forma</w:t>
            </w:r>
          </w:p>
        </w:tc>
      </w:tr>
      <w:tr>
        <w:trPr>
          <w:trHeight w:val="170"/>
        </w:trPr>
        <w:tc>
          <w:tcPr>
            <w:tcW w:w="536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40" w:type="dxa"/>
            <w:vAlign w:val="bottom"/>
            <w:gridSpan w:val="2"/>
          </w:tcPr>
          <w:p>
            <w:pPr>
              <w:jc w:val="right"/>
              <w:ind w:right="14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Service income</w:t>
            </w:r>
          </w:p>
        </w:tc>
        <w:tc>
          <w:tcPr>
            <w:tcW w:w="150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$3,361.8</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$542.8</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$78.7</w:t>
            </w:r>
          </w:p>
        </w:tc>
        <w:tc>
          <w:tcPr>
            <w:tcW w:w="2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(4),(6),(9),(10),(11)  $3,983.3</w:t>
            </w: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Net sales from electronic retailing</w:t>
            </w:r>
          </w:p>
        </w:tc>
        <w:tc>
          <w:tcPr>
            <w:tcW w:w="150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2,847.4</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2,847.4</w:t>
            </w:r>
          </w:p>
        </w:tc>
      </w:tr>
      <w:tr>
        <w:trPr>
          <w:trHeight w:val="170"/>
        </w:trPr>
        <w:tc>
          <w:tcPr>
            <w:tcW w:w="5360" w:type="dxa"/>
            <w:vAlign w:val="bottom"/>
          </w:tcPr>
          <w:p>
            <w:pPr>
              <w:spacing w:after="0"/>
              <w:rPr>
                <w:sz w:val="14"/>
                <w:szCs w:val="14"/>
                <w:color w:val="auto"/>
              </w:rPr>
            </w:pPr>
          </w:p>
        </w:tc>
        <w:tc>
          <w:tcPr>
            <w:tcW w:w="248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73"/>
              </w:rPr>
              <w:t>----------------------------------</w:t>
            </w: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150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6,209.2</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542.8</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78.7</w:t>
            </w:r>
          </w:p>
        </w:tc>
        <w:tc>
          <w:tcPr>
            <w:tcW w:w="176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6,830.7</w:t>
            </w:r>
          </w:p>
        </w:tc>
      </w:tr>
      <w:tr>
        <w:trPr>
          <w:trHeight w:val="170"/>
        </w:trPr>
        <w:tc>
          <w:tcPr>
            <w:tcW w:w="5360" w:type="dxa"/>
            <w:vAlign w:val="bottom"/>
          </w:tcPr>
          <w:p>
            <w:pPr>
              <w:spacing w:after="0"/>
              <w:rPr>
                <w:sz w:val="14"/>
                <w:szCs w:val="14"/>
                <w:color w:val="auto"/>
              </w:rPr>
            </w:pPr>
          </w:p>
        </w:tc>
        <w:tc>
          <w:tcPr>
            <w:tcW w:w="248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73"/>
              </w:rPr>
              <w:t>----------------------------------</w:t>
            </w: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Operating</w:t>
            </w:r>
          </w:p>
        </w:tc>
        <w:tc>
          <w:tcPr>
            <w:tcW w:w="150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1,663.1</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208.6</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w:t>
            </w:r>
          </w:p>
        </w:tc>
        <w:tc>
          <w:tcPr>
            <w:tcW w:w="1760" w:type="dxa"/>
            <w:vAlign w:val="bottom"/>
          </w:tcPr>
          <w:p>
            <w:pPr>
              <w:spacing w:after="0"/>
              <w:rPr>
                <w:sz w:val="20"/>
                <w:szCs w:val="20"/>
                <w:color w:val="auto"/>
              </w:rPr>
            </w:pPr>
            <w:r>
              <w:rPr>
                <w:rFonts w:ascii="Courier New" w:cs="Courier New" w:eastAsia="Courier New" w:hAnsi="Courier New"/>
                <w:sz w:val="15"/>
                <w:szCs w:val="15"/>
                <w:color w:val="auto"/>
                <w:w w:val="96"/>
              </w:rPr>
              <w:t>(4),6),(9),(10),(11)</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1,877.4</w:t>
            </w: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Cost of goods sold from electronic retailing</w:t>
            </w:r>
          </w:p>
        </w:tc>
        <w:tc>
          <w:tcPr>
            <w:tcW w:w="150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1,740.1</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1,740.1</w:t>
            </w: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 administrative</w:t>
            </w:r>
          </w:p>
        </w:tc>
        <w:tc>
          <w:tcPr>
            <w:tcW w:w="150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926.0</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131.1</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w:t>
            </w: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(4),(6)</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1,061.5</w:t>
            </w: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Depreciation</w:t>
            </w:r>
          </w:p>
        </w:tc>
        <w:tc>
          <w:tcPr>
            <w:tcW w:w="150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572.0</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102.7</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63.7</w:t>
            </w: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(4),(6),(12)</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738.4</w:t>
            </w: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Amortization</w:t>
            </w:r>
          </w:p>
        </w:tc>
        <w:tc>
          <w:tcPr>
            <w:tcW w:w="150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644.0</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52.1</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594.7</w:t>
            </w: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(4),(6),(12)</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1,290.8</w:t>
            </w:r>
          </w:p>
        </w:tc>
      </w:tr>
      <w:tr>
        <w:trPr>
          <w:trHeight w:val="170"/>
        </w:trPr>
        <w:tc>
          <w:tcPr>
            <w:tcW w:w="5360" w:type="dxa"/>
            <w:vAlign w:val="bottom"/>
          </w:tcPr>
          <w:p>
            <w:pPr>
              <w:spacing w:after="0"/>
              <w:rPr>
                <w:sz w:val="14"/>
                <w:szCs w:val="14"/>
                <w:color w:val="auto"/>
              </w:rPr>
            </w:pPr>
          </w:p>
        </w:tc>
        <w:tc>
          <w:tcPr>
            <w:tcW w:w="248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73"/>
              </w:rPr>
              <w:t>----------------------------------</w:t>
            </w: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150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5,545.2</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494.5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668.5</w:t>
            </w:r>
          </w:p>
        </w:tc>
        <w:tc>
          <w:tcPr>
            <w:tcW w:w="176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6,708.2</w:t>
            </w:r>
          </w:p>
        </w:tc>
      </w:tr>
      <w:tr>
        <w:trPr>
          <w:trHeight w:val="170"/>
        </w:trPr>
        <w:tc>
          <w:tcPr>
            <w:tcW w:w="5360" w:type="dxa"/>
            <w:vAlign w:val="bottom"/>
          </w:tcPr>
          <w:p>
            <w:pPr>
              <w:spacing w:after="0"/>
              <w:rPr>
                <w:sz w:val="14"/>
                <w:szCs w:val="14"/>
                <w:color w:val="auto"/>
              </w:rPr>
            </w:pPr>
          </w:p>
        </w:tc>
        <w:tc>
          <w:tcPr>
            <w:tcW w:w="248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73"/>
              </w:rPr>
              <w:t>----------------------------------</w:t>
            </w: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50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664.0</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(589.8)</w:t>
            </w:r>
          </w:p>
        </w:tc>
        <w:tc>
          <w:tcPr>
            <w:tcW w:w="176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122.5</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Interest expense</w:t>
            </w:r>
          </w:p>
        </w:tc>
        <w:tc>
          <w:tcPr>
            <w:tcW w:w="150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538.3</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w:t>
            </w: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(4),(6),(13)</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673.5</w:t>
            </w: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Investment income</w:t>
            </w:r>
          </w:p>
        </w:tc>
        <w:tc>
          <w:tcPr>
            <w:tcW w:w="15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(629.5)</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(20.2)</w:t>
            </w:r>
          </w:p>
        </w:tc>
        <w:tc>
          <w:tcPr>
            <w:tcW w:w="2640" w:type="dxa"/>
            <w:vAlign w:val="bottom"/>
            <w:gridSpan w:val="2"/>
          </w:tcPr>
          <w:p>
            <w:pPr>
              <w:jc w:val="right"/>
              <w:ind w:right="1427"/>
              <w:spacing w:after="0"/>
              <w:rPr>
                <w:sz w:val="20"/>
                <w:szCs w:val="20"/>
                <w:color w:val="auto"/>
              </w:rPr>
            </w:pPr>
            <w:r>
              <w:rPr>
                <w:rFonts w:ascii="Courier New" w:cs="Courier New" w:eastAsia="Courier New" w:hAnsi="Courier New"/>
                <w:sz w:val="15"/>
                <w:szCs w:val="15"/>
                <w:color w:val="auto"/>
              </w:rPr>
              <w:t>(0.5)(6)</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(650.2)</w:t>
            </w: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Expense related to indexed debt</w:t>
            </w:r>
          </w:p>
        </w:tc>
        <w:tc>
          <w:tcPr>
            <w:tcW w:w="150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666.0</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666.0</w:t>
            </w: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Equity in net (income) losses of affiliates</w:t>
            </w:r>
          </w:p>
        </w:tc>
        <w:tc>
          <w:tcPr>
            <w:tcW w:w="15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(1.4)</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16.6</w:t>
            </w: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(4),(6)</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w:t>
            </w: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Other (income) expense</w:t>
            </w:r>
          </w:p>
        </w:tc>
        <w:tc>
          <w:tcPr>
            <w:tcW w:w="15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(1,409.4)</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w:t>
            </w:r>
          </w:p>
        </w:tc>
        <w:tc>
          <w:tcPr>
            <w:tcW w:w="2640" w:type="dxa"/>
            <w:vAlign w:val="bottom"/>
            <w:gridSpan w:val="2"/>
          </w:tcPr>
          <w:p>
            <w:pPr>
              <w:jc w:val="right"/>
              <w:ind w:right="1427"/>
              <w:spacing w:after="0"/>
              <w:rPr>
                <w:sz w:val="20"/>
                <w:szCs w:val="20"/>
                <w:color w:val="auto"/>
              </w:rPr>
            </w:pPr>
            <w:r>
              <w:rPr>
                <w:rFonts w:ascii="Courier New" w:cs="Courier New" w:eastAsia="Courier New" w:hAnsi="Courier New"/>
                <w:sz w:val="15"/>
                <w:szCs w:val="15"/>
                <w:color w:val="auto"/>
              </w:rPr>
              <w:t>(0.1)(4)</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(1,408.2)</w:t>
            </w:r>
          </w:p>
        </w:tc>
      </w:tr>
      <w:tr>
        <w:trPr>
          <w:trHeight w:val="170"/>
        </w:trPr>
        <w:tc>
          <w:tcPr>
            <w:tcW w:w="5360" w:type="dxa"/>
            <w:vAlign w:val="bottom"/>
          </w:tcPr>
          <w:p>
            <w:pPr>
              <w:spacing w:after="0"/>
              <w:rPr>
                <w:sz w:val="14"/>
                <w:szCs w:val="14"/>
                <w:color w:val="auto"/>
              </w:rPr>
            </w:pPr>
          </w:p>
        </w:tc>
        <w:tc>
          <w:tcPr>
            <w:tcW w:w="248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73"/>
              </w:rPr>
              <w:t>----------------------------------</w:t>
            </w: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15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(836.0)</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99.1</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25.7</w:t>
            </w:r>
          </w:p>
        </w:tc>
        <w:tc>
          <w:tcPr>
            <w:tcW w:w="17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(711.2)</w:t>
            </w:r>
          </w:p>
        </w:tc>
      </w:tr>
      <w:tr>
        <w:trPr>
          <w:trHeight w:val="170"/>
        </w:trPr>
        <w:tc>
          <w:tcPr>
            <w:tcW w:w="5360" w:type="dxa"/>
            <w:vAlign w:val="bottom"/>
          </w:tcPr>
          <w:p>
            <w:pPr>
              <w:spacing w:after="0"/>
              <w:rPr>
                <w:sz w:val="14"/>
                <w:szCs w:val="14"/>
                <w:color w:val="auto"/>
              </w:rPr>
            </w:pPr>
          </w:p>
        </w:tc>
        <w:tc>
          <w:tcPr>
            <w:tcW w:w="248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73"/>
              </w:rPr>
              <w:t>----------------------------------</w:t>
            </w: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 EXPENSE</w:t>
            </w: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(BENEFIT), MINORITY INTEREST, DISCONTINUED</w:t>
            </w: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OPERATIONS AND EXTRAORDINARY ITEMS</w:t>
            </w:r>
          </w:p>
        </w:tc>
        <w:tc>
          <w:tcPr>
            <w:tcW w:w="150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1,500.0</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(615.5)</w:t>
            </w:r>
          </w:p>
        </w:tc>
        <w:tc>
          <w:tcPr>
            <w:tcW w:w="176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833.7</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INCOME TAX EXPENSE (BENEFIT)</w:t>
            </w:r>
          </w:p>
        </w:tc>
        <w:tc>
          <w:tcPr>
            <w:tcW w:w="150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723.7</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(16.5)</w:t>
            </w:r>
          </w:p>
        </w:tc>
        <w:tc>
          <w:tcPr>
            <w:tcW w:w="2640" w:type="dxa"/>
            <w:vAlign w:val="bottom"/>
            <w:gridSpan w:val="2"/>
          </w:tcPr>
          <w:p>
            <w:pPr>
              <w:jc w:val="right"/>
              <w:ind w:right="1347"/>
              <w:spacing w:after="0"/>
              <w:rPr>
                <w:sz w:val="20"/>
                <w:szCs w:val="20"/>
                <w:color w:val="auto"/>
              </w:rPr>
            </w:pPr>
            <w:r>
              <w:rPr>
                <w:rFonts w:ascii="Courier New" w:cs="Courier New" w:eastAsia="Courier New" w:hAnsi="Courier New"/>
                <w:sz w:val="15"/>
                <w:szCs w:val="15"/>
                <w:color w:val="auto"/>
              </w:rPr>
              <w:t>(201.6)(14)</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505.6</w:t>
            </w:r>
          </w:p>
        </w:tc>
      </w:tr>
      <w:tr>
        <w:trPr>
          <w:trHeight w:val="170"/>
        </w:trPr>
        <w:tc>
          <w:tcPr>
            <w:tcW w:w="5360" w:type="dxa"/>
            <w:vAlign w:val="bottom"/>
          </w:tcPr>
          <w:p>
            <w:pPr>
              <w:spacing w:after="0"/>
              <w:rPr>
                <w:sz w:val="14"/>
                <w:szCs w:val="14"/>
                <w:color w:val="auto"/>
              </w:rPr>
            </w:pPr>
          </w:p>
        </w:tc>
        <w:tc>
          <w:tcPr>
            <w:tcW w:w="248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73"/>
              </w:rPr>
              <w:t>----------------------------------</w:t>
            </w: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INCOME (LOSS) BEFORE MINORITY INTEREST,</w:t>
            </w: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DISCONTINUED OPERATIONS AND</w:t>
            </w: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EXTRAORDINARY ITEMS</w:t>
            </w:r>
          </w:p>
        </w:tc>
        <w:tc>
          <w:tcPr>
            <w:tcW w:w="150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776.3</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(413.9)</w:t>
            </w:r>
          </w:p>
        </w:tc>
        <w:tc>
          <w:tcPr>
            <w:tcW w:w="176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328.1</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MINORITY INTEREST INCOME</w:t>
            </w:r>
          </w:p>
        </w:tc>
        <w:tc>
          <w:tcPr>
            <w:tcW w:w="150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4.6</w:t>
            </w: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w:t>
            </w:r>
          </w:p>
        </w:tc>
      </w:tr>
      <w:tr>
        <w:trPr>
          <w:trHeight w:val="170"/>
        </w:trPr>
        <w:tc>
          <w:tcPr>
            <w:tcW w:w="5360" w:type="dxa"/>
            <w:vAlign w:val="bottom"/>
          </w:tcPr>
          <w:p>
            <w:pPr>
              <w:spacing w:after="0"/>
              <w:rPr>
                <w:sz w:val="14"/>
                <w:szCs w:val="14"/>
                <w:color w:val="auto"/>
              </w:rPr>
            </w:pPr>
          </w:p>
        </w:tc>
        <w:tc>
          <w:tcPr>
            <w:tcW w:w="248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73"/>
              </w:rPr>
              <w:t>----------------------------------</w:t>
            </w: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150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780.9</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(413.9)</w:t>
            </w:r>
          </w:p>
        </w:tc>
        <w:tc>
          <w:tcPr>
            <w:tcW w:w="176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332.7</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PREFERRED DIVIDENDS</w:t>
            </w:r>
          </w:p>
        </w:tc>
        <w:tc>
          <w:tcPr>
            <w:tcW w:w="15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(29.7)</w:t>
            </w: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(29.7)</w:t>
            </w:r>
          </w:p>
        </w:tc>
      </w:tr>
      <w:tr>
        <w:trPr>
          <w:trHeight w:val="170"/>
        </w:trPr>
        <w:tc>
          <w:tcPr>
            <w:tcW w:w="5360" w:type="dxa"/>
            <w:vAlign w:val="bottom"/>
          </w:tcPr>
          <w:p>
            <w:pPr>
              <w:spacing w:after="0"/>
              <w:rPr>
                <w:sz w:val="14"/>
                <w:szCs w:val="14"/>
                <w:color w:val="auto"/>
              </w:rPr>
            </w:pPr>
          </w:p>
        </w:tc>
        <w:tc>
          <w:tcPr>
            <w:tcW w:w="248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73"/>
              </w:rPr>
              <w:t>----------------------------------</w:t>
            </w: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FOR COMMON STOCKHOLDERS</w:t>
            </w:r>
          </w:p>
        </w:tc>
        <w:tc>
          <w:tcPr>
            <w:tcW w:w="150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$751.2</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($413.9)</w:t>
            </w:r>
          </w:p>
        </w:tc>
        <w:tc>
          <w:tcPr>
            <w:tcW w:w="176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$303.0</w:t>
            </w:r>
          </w:p>
        </w:tc>
      </w:tr>
      <w:tr>
        <w:trPr>
          <w:trHeight w:val="170"/>
        </w:trPr>
        <w:tc>
          <w:tcPr>
            <w:tcW w:w="5360" w:type="dxa"/>
            <w:vAlign w:val="bottom"/>
          </w:tcPr>
          <w:p>
            <w:pPr>
              <w:spacing w:after="0"/>
              <w:rPr>
                <w:sz w:val="14"/>
                <w:szCs w:val="14"/>
                <w:color w:val="auto"/>
              </w:rPr>
            </w:pPr>
          </w:p>
        </w:tc>
        <w:tc>
          <w:tcPr>
            <w:tcW w:w="3360" w:type="dxa"/>
            <w:vAlign w:val="bottom"/>
            <w:gridSpan w:val="3"/>
          </w:tcPr>
          <w:p>
            <w:pPr>
              <w:ind w:left="360"/>
              <w:spacing w:after="0"/>
              <w:rPr>
                <w:sz w:val="20"/>
                <w:szCs w:val="20"/>
                <w:color w:val="auto"/>
              </w:rPr>
            </w:pPr>
            <w:r>
              <w:rPr>
                <w:rFonts w:ascii="Courier New" w:cs="Courier New" w:eastAsia="Courier New" w:hAnsi="Courier New"/>
                <w:sz w:val="15"/>
                <w:szCs w:val="15"/>
                <w:color w:val="auto"/>
                <w:w w:val="97"/>
              </w:rPr>
              <w:t>==================================</w:t>
            </w:r>
          </w:p>
        </w:tc>
        <w:tc>
          <w:tcPr>
            <w:tcW w:w="176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Basic earnings for common stockholders per common share</w:t>
            </w: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from continuing operations</w:t>
            </w:r>
          </w:p>
        </w:tc>
        <w:tc>
          <w:tcPr>
            <w:tcW w:w="150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$1.00</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$0.35</w:t>
            </w:r>
          </w:p>
        </w:tc>
      </w:tr>
      <w:tr>
        <w:trPr>
          <w:trHeight w:val="170"/>
        </w:trPr>
        <w:tc>
          <w:tcPr>
            <w:tcW w:w="5360" w:type="dxa"/>
            <w:vAlign w:val="bottom"/>
          </w:tcPr>
          <w:p>
            <w:pPr>
              <w:spacing w:after="0"/>
              <w:rPr>
                <w:sz w:val="14"/>
                <w:szCs w:val="14"/>
                <w:color w:val="auto"/>
              </w:rPr>
            </w:pPr>
          </w:p>
        </w:tc>
        <w:tc>
          <w:tcPr>
            <w:tcW w:w="150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common shares</w:t>
            </w: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outstanding during the period</w:t>
            </w:r>
          </w:p>
        </w:tc>
        <w:tc>
          <w:tcPr>
            <w:tcW w:w="150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749.1</w:t>
            </w:r>
          </w:p>
        </w:tc>
        <w:tc>
          <w:tcPr>
            <w:tcW w:w="9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121.4</w:t>
            </w: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(15)</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870.5</w:t>
            </w:r>
          </w:p>
        </w:tc>
      </w:tr>
      <w:tr>
        <w:trPr>
          <w:trHeight w:val="170"/>
        </w:trPr>
        <w:tc>
          <w:tcPr>
            <w:tcW w:w="5360" w:type="dxa"/>
            <w:vAlign w:val="bottom"/>
          </w:tcPr>
          <w:p>
            <w:pPr>
              <w:spacing w:after="0"/>
              <w:rPr>
                <w:sz w:val="14"/>
                <w:szCs w:val="14"/>
                <w:color w:val="auto"/>
              </w:rPr>
            </w:pPr>
          </w:p>
        </w:tc>
        <w:tc>
          <w:tcPr>
            <w:tcW w:w="150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Diluted earnings for common stockholders per common share</w:t>
            </w: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from continuing operations</w:t>
            </w:r>
          </w:p>
        </w:tc>
        <w:tc>
          <w:tcPr>
            <w:tcW w:w="150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$0.95</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$0.35</w:t>
            </w:r>
          </w:p>
        </w:tc>
      </w:tr>
      <w:tr>
        <w:trPr>
          <w:trHeight w:val="170"/>
        </w:trPr>
        <w:tc>
          <w:tcPr>
            <w:tcW w:w="5360" w:type="dxa"/>
            <w:vAlign w:val="bottom"/>
          </w:tcPr>
          <w:p>
            <w:pPr>
              <w:spacing w:after="0"/>
              <w:rPr>
                <w:sz w:val="14"/>
                <w:szCs w:val="14"/>
                <w:color w:val="auto"/>
              </w:rPr>
            </w:pPr>
          </w:p>
        </w:tc>
        <w:tc>
          <w:tcPr>
            <w:tcW w:w="150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common shares</w:t>
            </w: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outstanding during the period</w:t>
            </w:r>
          </w:p>
        </w:tc>
        <w:tc>
          <w:tcPr>
            <w:tcW w:w="150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819.9</w:t>
            </w:r>
          </w:p>
        </w:tc>
        <w:tc>
          <w:tcPr>
            <w:tcW w:w="9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121.4</w:t>
            </w: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(15)</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941.3</w:t>
            </w:r>
          </w:p>
        </w:tc>
      </w:tr>
      <w:tr>
        <w:trPr>
          <w:trHeight w:val="170"/>
        </w:trPr>
        <w:tc>
          <w:tcPr>
            <w:tcW w:w="5360" w:type="dxa"/>
            <w:vAlign w:val="bottom"/>
          </w:tcPr>
          <w:p>
            <w:pPr>
              <w:spacing w:after="0"/>
              <w:rPr>
                <w:sz w:val="14"/>
                <w:szCs w:val="14"/>
                <w:color w:val="auto"/>
              </w:rPr>
            </w:pPr>
          </w:p>
        </w:tc>
        <w:tc>
          <w:tcPr>
            <w:tcW w:w="150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jc w:val="center"/>
        <w:ind w:right="4740"/>
        <w:spacing w:after="0"/>
        <w:rPr>
          <w:sz w:val="20"/>
          <w:szCs w:val="20"/>
          <w:color w:val="auto"/>
        </w:rPr>
      </w:pPr>
      <w:r>
        <w:rPr>
          <w:rFonts w:ascii="Courier New" w:cs="Courier New" w:eastAsia="Courier New" w:hAnsi="Courier New"/>
          <w:sz w:val="14"/>
          <w:szCs w:val="14"/>
          <w:color w:val="auto"/>
        </w:rPr>
        <w:t>See notes to unaudited pro forma condensed consolidated financial statements.</w:t>
      </w:r>
    </w:p>
    <w:p>
      <w:pPr>
        <w:spacing w:after="0" w:line="1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1520"/>
          </w:cols>
          <w:pgMar w:left="240" w:top="452" w:right="139" w:bottom="1440" w:gutter="0" w:footer="0" w:header="0"/>
        </w:sectPr>
      </w:pPr>
    </w:p>
    <w:bookmarkStart w:id="8" w:name="page9"/>
    <w:bookmarkEnd w:id="8"/>
    <w:p>
      <w:pPr>
        <w:ind w:left="10"/>
        <w:spacing w:after="0"/>
        <w:rPr>
          <w:sz w:val="20"/>
          <w:szCs w:val="20"/>
          <w:color w:val="auto"/>
        </w:rPr>
      </w:pPr>
      <w:r>
        <w:rPr>
          <w:rFonts w:ascii="Courier New" w:cs="Courier New" w:eastAsia="Courier New" w:hAnsi="Courier New"/>
          <w:sz w:val="15"/>
          <w:szCs w:val="15"/>
          <w:color w:val="auto"/>
        </w:rPr>
        <w:t>NOTES TO UNAUDITED PRO FORMA CONDENSED CONSOLIDATED FINANCIAL STATEMENTS</w:t>
      </w:r>
    </w:p>
    <w:p>
      <w:pPr>
        <w:spacing w:after="0" w:line="175"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The following adjustments and elimination entries have been made to the unaudited pro forma condensed consolidated balance sheet and unaudited pro forma condensed consolidated statement of operations to reflect the Lenfest Acquisition:</w:t>
      </w:r>
    </w:p>
    <w:p>
      <w:pPr>
        <w:spacing w:after="0" w:line="176" w:lineRule="exact"/>
        <w:rPr>
          <w:sz w:val="20"/>
          <w:szCs w:val="20"/>
          <w:color w:val="auto"/>
        </w:rPr>
      </w:pPr>
    </w:p>
    <w:p>
      <w:pPr>
        <w:ind w:left="530" w:right="3179" w:hanging="530"/>
        <w:spacing w:after="0" w:line="259" w:lineRule="auto"/>
        <w:tabs>
          <w:tab w:leader="none" w:pos="53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estimated fair value of the property and equipment acquired in excess of the historical book value of such property and equipment. The estimated fair value of the acquired property and equipment is subject to adjustment upon receipt by Comcast of an independent appraisal of Lenfest.</w:t>
      </w:r>
    </w:p>
    <w:p>
      <w:pPr>
        <w:spacing w:after="0" w:line="162" w:lineRule="exact"/>
        <w:rPr>
          <w:rFonts w:ascii="Courier New" w:cs="Courier New" w:eastAsia="Courier New" w:hAnsi="Courier New"/>
          <w:sz w:val="14"/>
          <w:szCs w:val="14"/>
          <w:color w:val="auto"/>
        </w:rPr>
      </w:pPr>
    </w:p>
    <w:p>
      <w:pPr>
        <w:ind w:left="530" w:right="3259" w:hanging="530"/>
        <w:spacing w:after="0" w:line="259" w:lineRule="auto"/>
        <w:tabs>
          <w:tab w:leader="none" w:pos="53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allocation of the excess of the total consideration over the net assets acquired to deferred charges, principally to franchise acquisition costs. The purchase price allocation is subject to adjustment upon receipt by Comcast of an independent appraisal of Lenfest.</w:t>
      </w:r>
    </w:p>
    <w:p>
      <w:pPr>
        <w:spacing w:after="0" w:line="162" w:lineRule="exact"/>
        <w:rPr>
          <w:rFonts w:ascii="Courier New" w:cs="Courier New" w:eastAsia="Courier New" w:hAnsi="Courier New"/>
          <w:sz w:val="14"/>
          <w:szCs w:val="14"/>
          <w:color w:val="auto"/>
        </w:rPr>
      </w:pPr>
    </w:p>
    <w:p>
      <w:pPr>
        <w:ind w:left="530" w:right="3359" w:hanging="530"/>
        <w:spacing w:after="0" w:line="237" w:lineRule="auto"/>
        <w:tabs>
          <w:tab w:leader="none" w:pos="53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estimated fair value of the long-term debt acquired in excess of the historical book value of such long-term debt. The purchase price allocation is subject to adjustment upon receipt by Comcast of an independent appraisal of Lenfest.</w:t>
      </w:r>
    </w:p>
    <w:p>
      <w:pPr>
        <w:spacing w:after="0" w:line="176" w:lineRule="exact"/>
        <w:rPr>
          <w:rFonts w:ascii="Courier New" w:cs="Courier New" w:eastAsia="Courier New" w:hAnsi="Courier New"/>
          <w:sz w:val="15"/>
          <w:szCs w:val="15"/>
          <w:color w:val="auto"/>
        </w:rPr>
      </w:pPr>
    </w:p>
    <w:p>
      <w:pPr>
        <w:ind w:left="530" w:right="3539" w:hanging="530"/>
        <w:spacing w:after="0" w:line="237" w:lineRule="auto"/>
        <w:tabs>
          <w:tab w:leader="none" w:pos="53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certain assets and liabilities and the results of operations that were not acquired or assumed by the Company pursuant to the terms of the Merger Agreement (primarily certain of Lenfest's non-cable television operations).</w:t>
      </w:r>
    </w:p>
    <w:p>
      <w:pPr>
        <w:spacing w:after="0" w:line="176" w:lineRule="exact"/>
        <w:rPr>
          <w:rFonts w:ascii="Courier New" w:cs="Courier New" w:eastAsia="Courier New" w:hAnsi="Courier New"/>
          <w:sz w:val="15"/>
          <w:szCs w:val="15"/>
          <w:color w:val="auto"/>
        </w:rPr>
      </w:pPr>
    </w:p>
    <w:p>
      <w:pPr>
        <w:ind w:left="530" w:right="3359" w:hanging="530"/>
        <w:spacing w:after="0" w:line="258" w:lineRule="auto"/>
        <w:tabs>
          <w:tab w:leader="none" w:pos="53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par value of the 121.4 million shares of Class A Special Common Stock issued by Comcast and the related additional capital valued at $5.956 billion, based on the average closing price of the Class A Special Common Stock for the period from January 12, 2000 to January 14, 2000, and certain other costs of the acquisition totaling $2.0 million.</w:t>
      </w:r>
    </w:p>
    <w:p>
      <w:pPr>
        <w:spacing w:after="0" w:line="164" w:lineRule="exact"/>
        <w:rPr>
          <w:rFonts w:ascii="Courier New" w:cs="Courier New" w:eastAsia="Courier New" w:hAnsi="Courier New"/>
          <w:sz w:val="14"/>
          <w:szCs w:val="14"/>
          <w:color w:val="auto"/>
        </w:rPr>
      </w:pPr>
    </w:p>
    <w:p>
      <w:pPr>
        <w:jc w:val="both"/>
        <w:ind w:left="530" w:right="3179" w:hanging="530"/>
        <w:spacing w:after="0" w:line="237" w:lineRule="auto"/>
        <w:tabs>
          <w:tab w:leader="none" w:pos="53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consolidation of Garden State Cablevision L.P., an investee previously accounted for under the equity method, owned 50% by Comcast and 50% by Lenfest.</w:t>
      </w:r>
    </w:p>
    <w:p>
      <w:pPr>
        <w:spacing w:after="0" w:line="169"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Lenfest's historical equity.</w:t>
      </w:r>
    </w:p>
    <w:p>
      <w:pPr>
        <w:spacing w:after="0" w:line="174" w:lineRule="exact"/>
        <w:rPr>
          <w:rFonts w:ascii="Courier New" w:cs="Courier New" w:eastAsia="Courier New" w:hAnsi="Courier New"/>
          <w:sz w:val="15"/>
          <w:szCs w:val="15"/>
          <w:color w:val="auto"/>
        </w:rPr>
      </w:pPr>
    </w:p>
    <w:p>
      <w:pPr>
        <w:ind w:left="530" w:right="3359" w:hanging="530"/>
        <w:spacing w:after="0" w:line="237" w:lineRule="auto"/>
        <w:tabs>
          <w:tab w:leader="none" w:pos="53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goodwill and deferred income taxes resulting from differences in the book and tax bases of the assets of Lenfest arising from the Lenfest Acquisition.</w:t>
      </w:r>
    </w:p>
    <w:p>
      <w:pPr>
        <w:spacing w:after="0" w:line="174" w:lineRule="exact"/>
        <w:rPr>
          <w:rFonts w:ascii="Courier New" w:cs="Courier New" w:eastAsia="Courier New" w:hAnsi="Courier New"/>
          <w:sz w:val="15"/>
          <w:szCs w:val="15"/>
          <w:color w:val="auto"/>
        </w:rPr>
      </w:pPr>
    </w:p>
    <w:p>
      <w:pPr>
        <w:ind w:left="530" w:right="3179" w:hanging="530"/>
        <w:spacing w:after="0" w:line="235" w:lineRule="auto"/>
        <w:tabs>
          <w:tab w:leader="none" w:pos="53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commissions paid to Lenfest by QVC, Inc., a consolidated subsidiary of Comcast.</w:t>
      </w:r>
    </w:p>
    <w:p>
      <w:pPr>
        <w:spacing w:after="0" w:line="175" w:lineRule="exact"/>
        <w:rPr>
          <w:rFonts w:ascii="Courier New" w:cs="Courier New" w:eastAsia="Courier New" w:hAnsi="Courier New"/>
          <w:sz w:val="15"/>
          <w:szCs w:val="15"/>
          <w:color w:val="auto"/>
        </w:rPr>
      </w:pPr>
    </w:p>
    <w:p>
      <w:pPr>
        <w:ind w:left="530" w:right="3179" w:hanging="530"/>
        <w:spacing w:after="0" w:line="237" w:lineRule="auto"/>
        <w:tabs>
          <w:tab w:leader="none" w:pos="53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cable programming expenses charged to Lenfest by E! Entertainment Television, Inc., a consolidated subsidiary of Comcast.</w:t>
      </w:r>
    </w:p>
    <w:p>
      <w:pPr>
        <w:spacing w:after="0" w:line="174" w:lineRule="exact"/>
        <w:rPr>
          <w:rFonts w:ascii="Courier New" w:cs="Courier New" w:eastAsia="Courier New" w:hAnsi="Courier New"/>
          <w:sz w:val="15"/>
          <w:szCs w:val="15"/>
          <w:color w:val="auto"/>
        </w:rPr>
      </w:pPr>
    </w:p>
    <w:p>
      <w:pPr>
        <w:jc w:val="both"/>
        <w:ind w:left="530" w:right="3799" w:hanging="530"/>
        <w:spacing w:after="0" w:line="265" w:lineRule="auto"/>
        <w:tabs>
          <w:tab w:leader="none" w:pos="53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elimination of cable programming expenses charged to Lenfest by Comcast SportsNet, a consolidated subsidiary of Comcast.</w:t>
      </w:r>
    </w:p>
    <w:p>
      <w:pPr>
        <w:spacing w:after="0" w:line="158" w:lineRule="exact"/>
        <w:rPr>
          <w:rFonts w:ascii="Courier New" w:cs="Courier New" w:eastAsia="Courier New" w:hAnsi="Courier New"/>
          <w:sz w:val="14"/>
          <w:szCs w:val="14"/>
          <w:color w:val="auto"/>
        </w:rPr>
      </w:pPr>
    </w:p>
    <w:p>
      <w:pPr>
        <w:ind w:left="530" w:right="3179" w:hanging="530"/>
        <w:spacing w:after="0" w:line="238" w:lineRule="auto"/>
        <w:tabs>
          <w:tab w:leader="none" w:pos="53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depreciation and amortization expense related to the fair value of the assets acquired in excess of their historical book values and amortization of deferred charges and goodwill arising from the Lenfest Acquisition. Depreciation expense is based on a weighted average life for property and equipment of 10 years. Amortization expense is based on a weighted average life for deferred charges of 12 years and goodwill of 20 years.</w:t>
      </w:r>
    </w:p>
    <w:p>
      <w:pPr>
        <w:spacing w:after="0" w:line="176" w:lineRule="exact"/>
        <w:rPr>
          <w:rFonts w:ascii="Courier New" w:cs="Courier New" w:eastAsia="Courier New" w:hAnsi="Courier New"/>
          <w:sz w:val="15"/>
          <w:szCs w:val="15"/>
          <w:color w:val="auto"/>
        </w:rPr>
      </w:pPr>
    </w:p>
    <w:p>
      <w:pPr>
        <w:ind w:left="530" w:right="3259" w:hanging="530"/>
        <w:spacing w:after="0" w:line="237" w:lineRule="auto"/>
        <w:tabs>
          <w:tab w:leader="none" w:pos="53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reduction in interest expense resulting from the increased fair value of the debt acquired in excess of its historical book value. The reduction in interest expense is based on a weighted average maturity date of Lenfest's long-term debt of approximately 7 years.</w:t>
      </w:r>
    </w:p>
    <w:p>
      <w:pPr>
        <w:spacing w:after="0" w:line="170"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tax effects of the pro forma adjustments.</w:t>
      </w:r>
    </w:p>
    <w:p>
      <w:pPr>
        <w:spacing w:after="0" w:line="174" w:lineRule="exact"/>
        <w:rPr>
          <w:rFonts w:ascii="Courier New" w:cs="Courier New" w:eastAsia="Courier New" w:hAnsi="Courier New"/>
          <w:sz w:val="15"/>
          <w:szCs w:val="15"/>
          <w:color w:val="auto"/>
        </w:rPr>
      </w:pPr>
    </w:p>
    <w:p>
      <w:pPr>
        <w:ind w:left="530" w:right="3259" w:hanging="530"/>
        <w:spacing w:after="0" w:line="235" w:lineRule="auto"/>
        <w:tabs>
          <w:tab w:leader="none" w:pos="53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shares of Comcast's Class A Special Common stock issued in the Lenfest Acquisition.</w:t>
      </w:r>
    </w:p>
    <w:p>
      <w:pPr>
        <w:spacing w:after="0" w:line="175" w:lineRule="exact"/>
        <w:rPr>
          <w:rFonts w:ascii="Courier New" w:cs="Courier New" w:eastAsia="Courier New" w:hAnsi="Courier New"/>
          <w:sz w:val="15"/>
          <w:szCs w:val="15"/>
          <w:color w:val="auto"/>
        </w:rPr>
      </w:pPr>
    </w:p>
    <w:p>
      <w:pPr>
        <w:ind w:left="530" w:right="3179" w:hanging="530"/>
        <w:spacing w:after="0" w:line="238" w:lineRule="auto"/>
        <w:tabs>
          <w:tab w:leader="none" w:pos="53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bonus plan payments due under the Agreement and Plan of Merger, entered into by Comcast, Comcast LCI Holdings, Inc., a wholly owned subsidiary of Comcast, Lenfest and Lenfest's stockholders as named therein, of $53.8 million. As payments under the bonus plan were contingent upon the closing of the Lenfest Acquisition, for purposes of the pro forma financial statements, the bonus plan payments have been recognized as a liability assumed as part of the Lenfest Acquisition which results in additional deferred charges at the date of acquisition.</w:t>
      </w:r>
    </w:p>
    <w:p>
      <w:pPr>
        <w:spacing w:after="0" w:line="172"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29"/>
          </w:cols>
          <w:pgMar w:left="230" w:top="622" w:right="1440" w:bottom="1440" w:gutter="0" w:footer="0" w:header="0"/>
        </w:sectPr>
      </w:pPr>
    </w:p>
    <w:bookmarkStart w:id="9" w:name="page10"/>
    <w:bookmarkEnd w:id="9"/>
    <w:p>
      <w:pPr>
        <w:ind w:left="1320"/>
        <w:spacing w:after="0"/>
        <w:rPr>
          <w:sz w:val="20"/>
          <w:szCs w:val="20"/>
          <w:color w:val="auto"/>
        </w:rPr>
      </w:pPr>
      <w:r>
        <w:rPr>
          <w:rFonts w:ascii="Courier New" w:cs="Courier New" w:eastAsia="Courier New" w:hAnsi="Courier New"/>
          <w:sz w:val="15"/>
          <w:szCs w:val="15"/>
          <w:color w:val="auto"/>
        </w:rPr>
        <w:t>CONSENT OF INDEPENDENT CERTIFIED PUBLIC ACCOUNTANTS</w:t>
      </w:r>
    </w:p>
    <w:p>
      <w:pPr>
        <w:spacing w:after="0" w:line="344"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We consent to the incorporation by reference in this Form 8-K/A of Comcast Corporation of our report dated March 27, 2000, on our audits of the consolidated balance sheet of Lenfest Communications, Inc. and subsidiaries as of December 31, 1999 and 1998, and the related consolidated statements of operations, changes in stockholders' deficiency and cash flows for each of the years in the three-year period ended December 31, 1999. Such consolidated financial statements are not separately presented herein.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Pressman Ciocca Smith LLP</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Hatboro, Pennsylvania</w:t>
      </w:r>
    </w:p>
    <w:p>
      <w:pPr>
        <w:spacing w:after="0"/>
        <w:rPr>
          <w:sz w:val="20"/>
          <w:szCs w:val="20"/>
          <w:color w:val="auto"/>
        </w:rPr>
      </w:pPr>
      <w:r>
        <w:rPr>
          <w:rFonts w:ascii="Courier New" w:cs="Courier New" w:eastAsia="Courier New" w:hAnsi="Courier New"/>
          <w:sz w:val="15"/>
          <w:szCs w:val="15"/>
          <w:color w:val="auto"/>
        </w:rPr>
        <w:t>March 31, 2000</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2019-12-12T23:03:08Z</dcterms:created>
  <dcterms:modified xsi:type="dcterms:W3CDTF">2019-12-12T23:03:08Z</dcterms:modified>
</cp:coreProperties>
</file>