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3, 2006</w:t>
      </w:r>
    </w:p>
    <w:p>
      <w:pPr>
        <w:spacing w:after="0" w:line="23"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tbl>
      <w:tblPr>
        <w:tblLayout w:type="fixed"/>
        <w:tblInd w:w="198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charter)</w:t>
            </w:r>
          </w:p>
        </w:tc>
      </w:tr>
      <w:tr>
        <w:trPr>
          <w:trHeight w:val="226"/>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520" w:type="dxa"/>
            <w:vAlign w:val="bottom"/>
          </w:tcPr>
          <w:p>
            <w:pPr>
              <w:spacing w:after="0"/>
              <w:rPr>
                <w:sz w:val="19"/>
                <w:szCs w:val="19"/>
                <w:color w:val="auto"/>
              </w:rPr>
            </w:pPr>
          </w:p>
        </w:tc>
      </w:tr>
      <w:tr>
        <w:trPr>
          <w:trHeight w:val="449"/>
        </w:trPr>
        <w:tc>
          <w:tcPr>
            <w:tcW w:w="2040" w:type="dxa"/>
            <w:vAlign w:val="bottom"/>
          </w:tcPr>
          <w:p>
            <w:pPr>
              <w:jc w:val="center"/>
              <w:ind w:right="206"/>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5200" w:type="dxa"/>
            <w:vAlign w:val="bottom"/>
            <w:gridSpan w:val="3"/>
          </w:tcPr>
          <w:p>
            <w:pPr>
              <w:jc w:val="center"/>
              <w:ind w:left="4040"/>
              <w:spacing w:after="0"/>
              <w:rPr>
                <w:sz w:val="20"/>
                <w:szCs w:val="20"/>
                <w:color w:val="auto"/>
              </w:rPr>
            </w:pPr>
            <w:r>
              <w:rPr>
                <w:rFonts w:ascii="Times New Roman" w:cs="Times New Roman" w:eastAsia="Times New Roman" w:hAnsi="Times New Roman"/>
                <w:sz w:val="18"/>
                <w:szCs w:val="18"/>
                <w:b w:val="1"/>
                <w:bCs w:val="1"/>
                <w:color w:val="auto"/>
                <w:w w:val="96"/>
              </w:rPr>
              <w:t>27-0000798</w:t>
            </w:r>
          </w:p>
        </w:tc>
      </w:tr>
      <w:tr>
        <w:trPr>
          <w:trHeight w:val="149"/>
        </w:trPr>
        <w:tc>
          <w:tcPr>
            <w:tcW w:w="204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04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49"/>
        </w:trPr>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Times New Roman" w:cs="Times New Roman" w:eastAsia="Times New Roman" w:hAnsi="Times New Roman"/>
                <w:sz w:val="18"/>
                <w:szCs w:val="18"/>
                <w:b w:val="1"/>
                <w:bCs w:val="1"/>
                <w:color w:val="auto"/>
                <w:w w:val="97"/>
              </w:rPr>
              <w:t>1500 Market Street</w:t>
            </w:r>
          </w:p>
        </w:tc>
      </w:tr>
      <w:tr>
        <w:trPr>
          <w:trHeight w:val="216"/>
        </w:trPr>
        <w:tc>
          <w:tcPr>
            <w:tcW w:w="2040" w:type="dxa"/>
            <w:vAlign w:val="bottom"/>
          </w:tcPr>
          <w:p>
            <w:pPr>
              <w:spacing w:after="0"/>
              <w:rPr>
                <w:sz w:val="18"/>
                <w:szCs w:val="18"/>
                <w:color w:val="auto"/>
              </w:rPr>
            </w:pPr>
          </w:p>
        </w:tc>
        <w:tc>
          <w:tcPr>
            <w:tcW w:w="5200" w:type="dxa"/>
            <w:vAlign w:val="bottom"/>
            <w:gridSpan w:val="3"/>
          </w:tcPr>
          <w:p>
            <w:pPr>
              <w:jc w:val="center"/>
              <w:ind w:right="1752"/>
              <w:spacing w:after="0"/>
              <w:rPr>
                <w:sz w:val="20"/>
                <w:szCs w:val="20"/>
                <w:color w:val="auto"/>
              </w:rPr>
            </w:pPr>
            <w:r>
              <w:rPr>
                <w:rFonts w:ascii="Times New Roman" w:cs="Times New Roman" w:eastAsia="Times New Roman" w:hAnsi="Times New Roman"/>
                <w:sz w:val="18"/>
                <w:szCs w:val="18"/>
                <w:b w:val="1"/>
                <w:bCs w:val="1"/>
                <w:color w:val="auto"/>
                <w:w w:val="96"/>
              </w:rPr>
              <w:t>Philadelphia, PA 19102-2148</w:t>
            </w:r>
          </w:p>
        </w:tc>
      </w:tr>
      <w:tr>
        <w:trPr>
          <w:trHeight w:val="216"/>
        </w:trPr>
        <w:tc>
          <w:tcPr>
            <w:tcW w:w="2040" w:type="dxa"/>
            <w:vAlign w:val="bottom"/>
          </w:tcPr>
          <w:p>
            <w:pPr>
              <w:spacing w:after="0"/>
              <w:rPr>
                <w:sz w:val="18"/>
                <w:szCs w:val="18"/>
                <w:color w:val="auto"/>
              </w:rPr>
            </w:pPr>
          </w:p>
        </w:tc>
        <w:tc>
          <w:tcPr>
            <w:tcW w:w="2680" w:type="dxa"/>
            <w:vAlign w:val="bottom"/>
            <w:gridSpan w:val="2"/>
          </w:tcPr>
          <w:p>
            <w:pPr>
              <w:jc w:val="center"/>
              <w:ind w:left="620"/>
              <w:spacing w:after="0"/>
              <w:rPr>
                <w:sz w:val="20"/>
                <w:szCs w:val="20"/>
                <w:color w:val="auto"/>
              </w:rPr>
            </w:pPr>
            <w:r>
              <w:rPr>
                <w:rFonts w:ascii="Times New Roman" w:cs="Times New Roman" w:eastAsia="Times New Roman" w:hAnsi="Times New Roman"/>
                <w:sz w:val="18"/>
                <w:szCs w:val="18"/>
                <w:b w:val="1"/>
                <w:bCs w:val="1"/>
                <w:color w:val="auto"/>
                <w:w w:val="97"/>
              </w:rPr>
              <w:t>(215) 665-1700</w:t>
            </w:r>
          </w:p>
        </w:tc>
        <w:tc>
          <w:tcPr>
            <w:tcW w:w="2520" w:type="dxa"/>
            <w:vAlign w:val="bottom"/>
          </w:tcPr>
          <w:p>
            <w:pPr>
              <w:spacing w:after="0"/>
              <w:rPr>
                <w:sz w:val="18"/>
                <w:szCs w:val="18"/>
                <w:color w:val="auto"/>
              </w:rPr>
            </w:pPr>
          </w:p>
        </w:tc>
      </w:tr>
      <w:tr>
        <w:trPr>
          <w:trHeight w:val="178"/>
        </w:trPr>
        <w:tc>
          <w:tcPr>
            <w:tcW w:w="2040" w:type="dxa"/>
            <w:vAlign w:val="bottom"/>
          </w:tcPr>
          <w:p>
            <w:pPr>
              <w:spacing w:after="0"/>
              <w:rPr>
                <w:sz w:val="15"/>
                <w:szCs w:val="15"/>
                <w:color w:val="auto"/>
              </w:rPr>
            </w:pPr>
          </w:p>
        </w:tc>
        <w:tc>
          <w:tcPr>
            <w:tcW w:w="5200" w:type="dxa"/>
            <w:vAlign w:val="bottom"/>
            <w:gridSpan w:val="3"/>
          </w:tcPr>
          <w:p>
            <w:pPr>
              <w:jc w:val="center"/>
              <w:ind w:right="173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COMCAST CORPORATION 2002 DEFERRED COMPENSATION PLAN</w:t>
      </w:r>
    </w:p>
    <w:p>
      <w:pPr>
        <w:spacing w:after="0" w:line="2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COMCAST CORPORATION 2005 DEFERRED COMPENSATION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R. Block</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Market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19102-2148</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jc w:val="center"/>
        <w:spacing w:after="0"/>
        <w:rPr>
          <w:sz w:val="20"/>
          <w:szCs w:val="20"/>
          <w:color w:val="auto"/>
        </w:rPr>
      </w:pPr>
      <w:r>
        <w:rPr>
          <w:rFonts w:ascii="Times New Roman" w:cs="Times New Roman" w:eastAsia="Times New Roman" w:hAnsi="Times New Roman"/>
          <w:sz w:val="18"/>
          <w:szCs w:val="18"/>
          <w:b w:val="1"/>
          <w:bCs w:val="1"/>
          <w:color w:val="auto"/>
        </w:rPr>
        <w:t>(215) 665-1700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360" w:type="dxa"/>
            <w:vAlign w:val="bottom"/>
          </w:tcPr>
          <w:p>
            <w:pPr>
              <w:spacing w:after="0"/>
              <w:rPr>
                <w:sz w:val="13"/>
                <w:szCs w:val="13"/>
                <w:color w:val="auto"/>
              </w:rPr>
            </w:pPr>
          </w:p>
        </w:tc>
      </w:tr>
      <w:tr>
        <w:trPr>
          <w:trHeight w:val="149"/>
        </w:trPr>
        <w:tc>
          <w:tcPr>
            <w:tcW w:w="4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Proposed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136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2200" w:type="dxa"/>
            <w:vAlign w:val="bottom"/>
          </w:tcPr>
          <w:p>
            <w:pPr>
              <w:jc w:val="center"/>
              <w:ind w:left="526"/>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 to be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maximum offering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c>
          <w:tcPr>
            <w:tcW w:w="1360" w:type="dxa"/>
            <w:vAlign w:val="bottom"/>
          </w:tcPr>
          <w:p>
            <w:pPr>
              <w:jc w:val="center"/>
              <w:ind w:left="246"/>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 of</w:t>
            </w:r>
          </w:p>
        </w:tc>
      </w:tr>
      <w:tr>
        <w:trPr>
          <w:trHeight w:val="179"/>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securities to be registered</w:t>
            </w:r>
          </w:p>
        </w:tc>
        <w:tc>
          <w:tcPr>
            <w:tcW w:w="2200" w:type="dxa"/>
            <w:vAlign w:val="bottom"/>
            <w:tcBorders>
              <w:bottom w:val="single" w:sz="8" w:color="auto"/>
            </w:tcBorders>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w w:val="96"/>
              </w:rPr>
              <w:t>registered (1) (2)</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 per unit (1)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offering price(3)</w:t>
            </w:r>
          </w:p>
        </w:tc>
        <w:tc>
          <w:tcPr>
            <w:tcW w:w="1360" w:type="dxa"/>
            <w:vAlign w:val="bottom"/>
            <w:tcBorders>
              <w:bottom w:val="single" w:sz="8" w:color="auto"/>
            </w:tcBorders>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w w:val="97"/>
              </w:rPr>
              <w:t>registration fee(3)</w:t>
            </w: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2200" w:type="dxa"/>
            <w:vAlign w:val="bottom"/>
          </w:tcPr>
          <w:p>
            <w:pPr>
              <w:jc w:val="center"/>
              <w:ind w:left="526"/>
              <w:spacing w:after="0"/>
              <w:rPr>
                <w:sz w:val="20"/>
                <w:szCs w:val="20"/>
                <w:color w:val="auto"/>
              </w:rPr>
            </w:pPr>
            <w:r>
              <w:rPr>
                <w:rFonts w:ascii="Times New Roman" w:cs="Times New Roman" w:eastAsia="Times New Roman" w:hAnsi="Times New Roman"/>
                <w:sz w:val="18"/>
                <w:szCs w:val="18"/>
                <w:color w:val="auto"/>
                <w:w w:val="95"/>
              </w:rPr>
              <w:t>250,000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$6,495,000.00</w:t>
            </w:r>
          </w:p>
        </w:tc>
        <w:tc>
          <w:tcPr>
            <w:tcW w:w="1360" w:type="dxa"/>
            <w:vAlign w:val="bottom"/>
          </w:tcPr>
          <w:p>
            <w:pPr>
              <w:jc w:val="center"/>
              <w:ind w:left="246"/>
              <w:spacing w:after="0"/>
              <w:rPr>
                <w:sz w:val="20"/>
                <w:szCs w:val="20"/>
                <w:color w:val="auto"/>
              </w:rPr>
            </w:pPr>
            <w:r>
              <w:rPr>
                <w:rFonts w:ascii="Times New Roman" w:cs="Times New Roman" w:eastAsia="Times New Roman" w:hAnsi="Times New Roman"/>
                <w:sz w:val="18"/>
                <w:szCs w:val="18"/>
                <w:color w:val="auto"/>
                <w:w w:val="95"/>
              </w:rPr>
              <w:t>$694.97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0" w:lineRule="exact"/>
        <w:rPr>
          <w:sz w:val="24"/>
          <w:szCs w:val="24"/>
          <w:color w:val="auto"/>
        </w:rPr>
      </w:pPr>
    </w:p>
    <w:p>
      <w:pPr>
        <w:ind w:left="460" w:right="140" w:hanging="452"/>
        <w:spacing w:after="0" w:line="25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(the “Registration Statement”) registers the issuance of 50,000 shares of the Class A Common Stock (the “Common Stock”) of Comcast Corporation (the “Registrant”), par value $0.01, which are issuable pursuant to the Comcast Corporation 2002 Deferred Compensation Plan, as amended and restated (the “2002 Plan”) and 200,000 shares of Common Stock which are issuable pursuant to the Comcast Corporation 2005 Deferred Compensation Plan (the “2005 Plan” and, together with the 2002 Plan, the “Plans”) of the Registrant.</w:t>
      </w:r>
    </w:p>
    <w:p>
      <w:pPr>
        <w:ind w:left="460" w:right="260" w:hanging="452"/>
        <w:spacing w:after="0" w:line="250"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Times New Roman" w:cs="Times New Roman" w:eastAsia="Times New Roman" w:hAnsi="Times New Roman"/>
          <w:sz w:val="18"/>
          <w:szCs w:val="18"/>
          <w:color w:val="auto"/>
        </w:rPr>
      </w:pPr>
    </w:p>
    <w:p>
      <w:pPr>
        <w:ind w:left="460" w:hanging="452"/>
        <w:spacing w:after="0" w:line="323" w:lineRule="auto"/>
        <w:tabs>
          <w:tab w:leader="none" w:pos="4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79"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Plans as specified by Rule 428(b)(1) of the Securities Act. Such documents are not being filed with the Securities and Exchange Commission (the “Commission”), but constitute, along with the documents incorporated by reference to this Registration Statement, a prospectus that meets the requirements of Section 10(a) of the Securities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79"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Comcast Corporation (the “Registrant”) will furnish, without charge, to each person to whom the prospectus is delivered, upon the written or oral request of such person, a copy of any and all of the documents incorporated by reference, other than exhibits to such documents (unless such documents are specifically incorporated by reference to the information that is incorporated). Requests should be directed to: Comcast Corporation, 1500 Market Street, Philadelphia, Pennsylvania 19102-2148; telephone (215) 665-1700.</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are incorporated by reference into this Registration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64"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2004;</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quarters ended March 31, 2005, June 30, 2005 and September 30, 2005; and</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and 8-K/A filed with the Commission on January 6, 2005, February 22, 2005, March 11,</w:t>
      </w:r>
    </w:p>
    <w:p>
      <w:pPr>
        <w:spacing w:after="0" w:line="21" w:lineRule="exact"/>
        <w:rPr>
          <w:rFonts w:ascii="Times New Roman" w:cs="Times New Roman" w:eastAsia="Times New Roman" w:hAnsi="Times New Roman"/>
          <w:sz w:val="18"/>
          <w:szCs w:val="18"/>
          <w:color w:val="auto"/>
        </w:rPr>
      </w:pPr>
    </w:p>
    <w:p>
      <w:pPr>
        <w:ind w:left="9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2005, March 25, 2005, April 8, 2005, April 26, 2005, May 24, 2005, June 2, 2005, June 6, 2005, August 5, 2005, September 13, 2005, November 10, 2005, November 15, 2005, November 23, 2005 and December 20, 2005.</w:t>
      </w:r>
    </w:p>
    <w:p>
      <w:pPr>
        <w:spacing w:after="0" w:line="37" w:lineRule="exact"/>
        <w:rPr>
          <w:rFonts w:ascii="Times New Roman" w:cs="Times New Roman" w:eastAsia="Times New Roman" w:hAnsi="Times New Roman"/>
          <w:sz w:val="18"/>
          <w:szCs w:val="18"/>
          <w:color w:val="auto"/>
        </w:rPr>
      </w:pPr>
    </w:p>
    <w:p>
      <w:pPr>
        <w:jc w:val="both"/>
        <w:ind w:left="900" w:right="320" w:hanging="446"/>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Stock contained in the Registration Statement on Form S-4 (File No. 333-82460), filed with the Commission on February 11, 2002, including any amendments or reports filed for the purpose of updating such description in which there is described the terms, rights and provisions applicable to the Registrant’s Common Stock.</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Registrant is not incorporating by reference any Form 8-Ks through which it furnished, rather than filed, information with the Commission.</w:t>
      </w:r>
    </w:p>
    <w:p>
      <w:pPr>
        <w:sectPr>
          <w:pgSz w:w="11900" w:h="16838" w:orient="portrait"/>
          <w:cols w:equalWidth="0" w:num="1">
            <w:col w:w="11380"/>
          </w:cols>
          <w:pgMar w:left="240" w:top="272" w:right="279" w:bottom="1440" w:gutter="0" w:footer="0" w:header="0"/>
        </w:sectPr>
      </w:pPr>
    </w:p>
    <w:bookmarkStart w:id="2" w:name="page3"/>
    <w:bookmarkEnd w:id="2"/>
    <w:p>
      <w:pPr>
        <w:ind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documents filed by the Registrant pursuant to Sections 13(a), 13(c), 14 or 15(d) of the Securities Exchange Act of 1934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79" w:lineRule="exact"/>
        <w:rPr>
          <w:sz w:val="20"/>
          <w:szCs w:val="20"/>
          <w:color w:val="auto"/>
        </w:rPr>
      </w:pPr>
    </w:p>
    <w:p>
      <w:pPr>
        <w:ind w:right="240" w:firstLine="913"/>
        <w:spacing w:after="0" w:line="275"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06"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25" w:lineRule="exact"/>
        <w:rPr>
          <w:sz w:val="20"/>
          <w:szCs w:val="20"/>
          <w:color w:val="auto"/>
        </w:rPr>
      </w:pPr>
    </w:p>
    <w:p>
      <w:pPr>
        <w:jc w:val="both"/>
        <w:ind w:right="180" w:firstLine="913"/>
        <w:spacing w:after="0" w:line="310" w:lineRule="auto"/>
        <w:rPr>
          <w:sz w:val="20"/>
          <w:szCs w:val="20"/>
          <w:color w:val="auto"/>
        </w:rPr>
      </w:pPr>
      <w:r>
        <w:rPr>
          <w:rFonts w:ascii="Times New Roman" w:cs="Times New Roman" w:eastAsia="Times New Roman" w:hAnsi="Times New Roman"/>
          <w:sz w:val="16"/>
          <w:szCs w:val="16"/>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84"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23"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26"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23"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19" w:lineRule="exact"/>
        <w:rPr>
          <w:sz w:val="20"/>
          <w:szCs w:val="20"/>
          <w:color w:val="auto"/>
        </w:rPr>
      </w:pPr>
    </w:p>
    <w:p>
      <w:pPr>
        <w:jc w:val="both"/>
        <w:ind w:right="20" w:firstLine="913"/>
        <w:spacing w:after="0" w:line="262" w:lineRule="auto"/>
        <w:rPr>
          <w:sz w:val="20"/>
          <w:szCs w:val="20"/>
          <w:color w:val="auto"/>
        </w:rPr>
      </w:pPr>
      <w:r>
        <w:rPr>
          <w:rFonts w:ascii="Times New Roman" w:cs="Times New Roman" w:eastAsia="Times New Roman" w:hAnsi="Times New Roman"/>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1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126"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Registrant shall indemnify such person against expenses actually and reasonably incurred by such person in connection therewith. Section 7.02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99" w:lineRule="exact"/>
        <w:rPr>
          <w:sz w:val="20"/>
          <w:szCs w:val="20"/>
          <w:color w:val="auto"/>
        </w:rPr>
      </w:pPr>
    </w:p>
    <w:p>
      <w:pPr>
        <w:ind w:right="100" w:firstLine="913"/>
        <w:spacing w:after="0" w:line="254" w:lineRule="auto"/>
        <w:rPr>
          <w:sz w:val="20"/>
          <w:szCs w:val="20"/>
          <w:color w:val="auto"/>
        </w:rPr>
      </w:pPr>
      <w:r>
        <w:rPr>
          <w:rFonts w:ascii="Times New Roman" w:cs="Times New Roman" w:eastAsia="Times New Roman" w:hAnsi="Times New Roman"/>
          <w:sz w:val="18"/>
          <w:szCs w:val="18"/>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60"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Pepper Hamilton LLP.</w:t>
      </w:r>
    </w:p>
    <w:p>
      <w:pPr>
        <w:spacing w:after="0" w:line="117"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color w:val="auto"/>
        </w:rPr>
        <w:t>Opinion of Pepper Hamilton LLP.</w:t>
      </w:r>
    </w:p>
    <w:p>
      <w:pPr>
        <w:spacing w:after="0" w:line="117"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Deloitte &amp; Touche LLP.</w:t>
      </w:r>
    </w:p>
    <w:p>
      <w:pPr>
        <w:spacing w:after="0" w:line="117"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(contained in the signature pages hereto).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77" w:lineRule="exact"/>
        <w:rPr>
          <w:sz w:val="20"/>
          <w:szCs w:val="20"/>
          <w:color w:val="auto"/>
        </w:rPr>
      </w:pPr>
    </w:p>
    <w:p>
      <w:pPr>
        <w:ind w:left="1160" w:hanging="239"/>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ind w:right="80" w:firstLine="921"/>
        <w:spacing w:after="0" w:line="255"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decrease in volume of securities offered (if the total dollar value of securities offered would not exceed that which was registered) and any deviation from the low or high and of the estimated maximum offering range may be reflected in the form of a prospectus filed with the Commission pursuant to Rule 424(h) if, in the aggregate, the changes in volume and price represent no more than a 20 percent change in the maximum aggregate offering price set forth in the “Calculation of Registration Fee” table in the effective Registration Statement; and</w:t>
      </w:r>
    </w:p>
    <w:p>
      <w:pPr>
        <w:spacing w:after="0" w:line="125" w:lineRule="exact"/>
        <w:rPr>
          <w:rFonts w:ascii="Times New Roman" w:cs="Times New Roman" w:eastAsia="Times New Roman" w:hAnsi="Times New Roman"/>
          <w:sz w:val="18"/>
          <w:szCs w:val="18"/>
          <w:color w:val="auto"/>
        </w:rPr>
      </w:pPr>
    </w:p>
    <w:p>
      <w:pPr>
        <w:ind w:right="40" w:firstLine="921"/>
        <w:spacing w:after="0" w:line="275"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the Registration Statement.</w:t>
      </w:r>
    </w:p>
    <w:p>
      <w:pPr>
        <w:spacing w:after="0" w:line="119" w:lineRule="exact"/>
        <w:rPr>
          <w:sz w:val="20"/>
          <w:szCs w:val="20"/>
          <w:color w:val="auto"/>
        </w:rPr>
      </w:pPr>
    </w:p>
    <w:p>
      <w:pPr>
        <w:ind w:right="200" w:firstLine="921"/>
        <w:spacing w:after="0" w:line="262" w:lineRule="auto"/>
        <w:tabs>
          <w:tab w:leader="none" w:pos="1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8" w:lineRule="exact"/>
        <w:rPr>
          <w:rFonts w:ascii="Times New Roman" w:cs="Times New Roman" w:eastAsia="Times New Roman" w:hAnsi="Times New Roman"/>
          <w:sz w:val="18"/>
          <w:szCs w:val="18"/>
          <w:color w:val="auto"/>
        </w:rPr>
      </w:pPr>
    </w:p>
    <w:p>
      <w:pPr>
        <w:ind w:right="800" w:firstLine="921"/>
        <w:spacing w:after="0" w:line="275" w:lineRule="auto"/>
        <w:tabs>
          <w:tab w:leader="none" w:pos="11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6"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3"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trustees,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December 30, 2005.</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83820</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Name:  Arthur R. Block, Senior Vice President,</w:t>
      </w:r>
    </w:p>
    <w:p>
      <w:pPr>
        <w:spacing w:after="0" w:line="2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58"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each of David L. Cohen, Lawrence S. Smith,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2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04" w:lineRule="exact"/>
        <w:rPr>
          <w:sz w:val="20"/>
          <w:szCs w:val="20"/>
          <w:color w:val="auto"/>
        </w:rPr>
      </w:pPr>
    </w:p>
    <w:p>
      <w:pPr>
        <w:ind w:left="2020"/>
        <w:spacing w:after="0"/>
        <w:tabs>
          <w:tab w:leader="none" w:pos="70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71120</wp:posOffset>
            </wp:positionV>
            <wp:extent cx="480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71120</wp:posOffset>
            </wp:positionV>
            <wp:extent cx="231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71120</wp:posOffset>
            </wp:positionV>
            <wp:extent cx="240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 Ralph J. Roberts</w:t>
            </w:r>
          </w:p>
        </w:tc>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 of the Executive and Finance Committee of the</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January 3, 2006</w:t>
            </w:r>
          </w:p>
        </w:tc>
        <w:tc>
          <w:tcPr>
            <w:tcW w:w="0" w:type="dxa"/>
            <w:vAlign w:val="bottom"/>
          </w:tcPr>
          <w:p>
            <w:pPr>
              <w:spacing w:after="0"/>
              <w:rPr>
                <w:sz w:val="1"/>
                <w:szCs w:val="1"/>
                <w:color w:val="auto"/>
              </w:rPr>
            </w:pPr>
          </w:p>
        </w:tc>
      </w:tr>
      <w:tr>
        <w:trPr>
          <w:trHeight w:val="122"/>
        </w:trPr>
        <w:tc>
          <w:tcPr>
            <w:tcW w:w="4380" w:type="dxa"/>
            <w:vAlign w:val="bottom"/>
            <w:tcBorders>
              <w:bottom w:val="single" w:sz="8" w:color="auto"/>
            </w:tcBorders>
          </w:tcPr>
          <w:p>
            <w:pPr>
              <w:spacing w:after="0"/>
              <w:rPr>
                <w:sz w:val="10"/>
                <w:szCs w:val="10"/>
                <w:color w:val="auto"/>
              </w:rPr>
            </w:pPr>
          </w:p>
        </w:tc>
        <w:tc>
          <w:tcPr>
            <w:tcW w:w="51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Board of Directors; Director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Ralph J. Roberts</w:t>
            </w:r>
          </w:p>
        </w:tc>
        <w:tc>
          <w:tcPr>
            <w:tcW w:w="51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 Brian L. Roberts</w:t>
            </w:r>
          </w:p>
        </w:tc>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January 3, 2006</w:t>
            </w:r>
          </w:p>
        </w:tc>
        <w:tc>
          <w:tcPr>
            <w:tcW w:w="0" w:type="dxa"/>
            <w:vAlign w:val="bottom"/>
          </w:tcPr>
          <w:p>
            <w:pPr>
              <w:spacing w:after="0"/>
              <w:rPr>
                <w:sz w:val="1"/>
                <w:szCs w:val="1"/>
                <w:color w:val="auto"/>
              </w:rPr>
            </w:pPr>
          </w:p>
        </w:tc>
      </w:tr>
      <w:tr>
        <w:trPr>
          <w:trHeight w:val="122"/>
        </w:trPr>
        <w:tc>
          <w:tcPr>
            <w:tcW w:w="4380" w:type="dxa"/>
            <w:vAlign w:val="bottom"/>
            <w:tcBorders>
              <w:bottom w:val="single" w:sz="8" w:color="auto"/>
            </w:tcBorders>
          </w:tcPr>
          <w:p>
            <w:pPr>
              <w:spacing w:after="0"/>
              <w:rPr>
                <w:sz w:val="10"/>
                <w:szCs w:val="10"/>
                <w:color w:val="auto"/>
              </w:rPr>
            </w:pPr>
          </w:p>
        </w:tc>
        <w:tc>
          <w:tcPr>
            <w:tcW w:w="51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Officer; Director (Principal Executive Officer)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51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 John R. Alchin</w:t>
            </w:r>
          </w:p>
        </w:tc>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Executive Vice President, Co-Chief Financial Officer and</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January 3, 2006</w:t>
            </w:r>
          </w:p>
        </w:tc>
        <w:tc>
          <w:tcPr>
            <w:tcW w:w="0" w:type="dxa"/>
            <w:vAlign w:val="bottom"/>
          </w:tcPr>
          <w:p>
            <w:pPr>
              <w:spacing w:after="0"/>
              <w:rPr>
                <w:sz w:val="1"/>
                <w:szCs w:val="1"/>
                <w:color w:val="auto"/>
              </w:rPr>
            </w:pPr>
          </w:p>
        </w:tc>
      </w:tr>
      <w:tr>
        <w:trPr>
          <w:trHeight w:val="122"/>
        </w:trPr>
        <w:tc>
          <w:tcPr>
            <w:tcW w:w="4380" w:type="dxa"/>
            <w:vAlign w:val="bottom"/>
            <w:tcBorders>
              <w:bottom w:val="single" w:sz="8" w:color="auto"/>
            </w:tcBorders>
          </w:tcPr>
          <w:p>
            <w:pPr>
              <w:spacing w:after="0"/>
              <w:rPr>
                <w:sz w:val="10"/>
                <w:szCs w:val="10"/>
                <w:color w:val="auto"/>
              </w:rPr>
            </w:pPr>
          </w:p>
        </w:tc>
        <w:tc>
          <w:tcPr>
            <w:tcW w:w="51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Treasurer (Co-Principal Financial Officer)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R. Alchin</w:t>
            </w:r>
          </w:p>
        </w:tc>
        <w:tc>
          <w:tcPr>
            <w:tcW w:w="51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380" w:type="dxa"/>
            <w:vAlign w:val="bottom"/>
          </w:tcPr>
          <w:p>
            <w:pPr>
              <w:spacing w:after="0"/>
              <w:rPr>
                <w:sz w:val="24"/>
                <w:szCs w:val="24"/>
                <w:color w:val="auto"/>
              </w:rPr>
            </w:pPr>
          </w:p>
        </w:tc>
        <w:tc>
          <w:tcPr>
            <w:tcW w:w="51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9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0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0" w:type="dxa"/>
            <w:vAlign w:val="bottom"/>
          </w:tcPr>
          <w:p>
            <w:pPr>
              <w:spacing w:after="0"/>
              <w:rPr>
                <w:sz w:val="15"/>
                <w:szCs w:val="15"/>
                <w:color w:val="auto"/>
              </w:rPr>
            </w:pPr>
          </w:p>
        </w:tc>
        <w:tc>
          <w:tcPr>
            <w:tcW w:w="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Lawrence S. Smith</w:t>
            </w:r>
          </w:p>
        </w:tc>
        <w:tc>
          <w:tcPr>
            <w:tcW w:w="1700" w:type="dxa"/>
            <w:vAlign w:val="bottom"/>
          </w:tcPr>
          <w:p>
            <w:pPr>
              <w:spacing w:after="0"/>
              <w:rPr>
                <w:sz w:val="24"/>
                <w:szCs w:val="24"/>
                <w:color w:val="auto"/>
              </w:rPr>
            </w:pPr>
          </w:p>
        </w:tc>
        <w:tc>
          <w:tcPr>
            <w:tcW w:w="5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Executive Vice President and Co-Chief Financial Officer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22"/>
        </w:trPr>
        <w:tc>
          <w:tcPr>
            <w:tcW w:w="19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1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(Co-Principal Financial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Lawrence S. Smith</w:t>
            </w:r>
          </w:p>
        </w:tc>
        <w:tc>
          <w:tcPr>
            <w:tcW w:w="170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6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Lawrence J. Salva</w:t>
            </w:r>
          </w:p>
        </w:tc>
        <w:tc>
          <w:tcPr>
            <w:tcW w:w="1700" w:type="dxa"/>
            <w:vAlign w:val="bottom"/>
          </w:tcPr>
          <w:p>
            <w:pPr>
              <w:spacing w:after="0"/>
              <w:rPr>
                <w:sz w:val="24"/>
                <w:szCs w:val="24"/>
                <w:color w:val="auto"/>
              </w:rPr>
            </w:pPr>
          </w:p>
        </w:tc>
        <w:tc>
          <w:tcPr>
            <w:tcW w:w="5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22"/>
        </w:trPr>
        <w:tc>
          <w:tcPr>
            <w:tcW w:w="19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1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Controller (Principal Accounting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Lawrence J. Salva</w:t>
            </w:r>
          </w:p>
        </w:tc>
        <w:tc>
          <w:tcPr>
            <w:tcW w:w="170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6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 Decker Anstrom</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Decker Anstrom</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J. Bacon</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J. Bacon</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Sheldon M. Bonovitz</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Sheldon M. Bonovitz</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Breen</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Breen</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Julian A. Brodsky</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A. Brodsky</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Collins</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Collins</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 Michael Cook</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Michael Cook</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Judith Rodin</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Judith Rodin</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I. Sovern</w:t>
            </w:r>
          </w:p>
        </w:tc>
        <w:tc>
          <w:tcPr>
            <w:tcW w:w="1700" w:type="dxa"/>
            <w:vAlign w:val="bottom"/>
          </w:tcPr>
          <w:p>
            <w:pPr>
              <w:spacing w:after="0"/>
              <w:rPr>
                <w:sz w:val="24"/>
                <w:szCs w:val="24"/>
                <w:color w:val="auto"/>
              </w:rPr>
            </w:pPr>
          </w:p>
        </w:tc>
        <w:tc>
          <w:tcPr>
            <w:tcW w:w="51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January 3, 2006</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2"/>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 Sovern</w:t>
            </w:r>
          </w:p>
        </w:tc>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100" w:type="dxa"/>
            <w:vAlign w:val="bottom"/>
            <w:gridSpan w:val="3"/>
            <w:vMerge w:val="restart"/>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A. Honickman</w:t>
            </w:r>
          </w:p>
        </w:tc>
        <w:tc>
          <w:tcPr>
            <w:tcW w:w="170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6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gridSpan w:val="2"/>
          </w:tcPr>
          <w:p>
            <w:pPr>
              <w:jc w:val="right"/>
              <w:ind w:right="1072"/>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1" w:right="639" w:bottom="1440" w:gutter="0" w:footer="0" w:header="0"/>
        </w:sectPr>
      </w:pPr>
    </w:p>
    <w:bookmarkStart w:id="8" w:name="page9"/>
    <w:bookmarkEnd w:id="8"/>
    <w:p>
      <w:pPr>
        <w:jc w:val="right"/>
        <w:ind w:right="38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95"/>
        </w:trPr>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r>
      <w:tr>
        <w:trPr>
          <w:trHeight w:val="3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Pepper Hamilton LLP.</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Pepper Hamilton LLP.</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Consent of Pepper Hamilton LLP (contained in Exhibits 5.1 and 5.2).</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(contained in the signature pages hereto).</w:t>
            </w:r>
          </w:p>
        </w:tc>
      </w:tr>
    </w:tbl>
    <w:p>
      <w:pPr>
        <w:sectPr>
          <w:pgSz w:w="11900" w:h="16838" w:orient="portrait"/>
          <w:cols w:equalWidth="0" w:num="1">
            <w:col w:w="10219"/>
          </w:cols>
          <w:pgMar w:left="240" w:top="274"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Pepper Hamilton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Attorneys at Law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215.981.4000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215.981.4750</w:t>
      </w:r>
    </w:p>
    <w:p>
      <w:pPr>
        <w:spacing w:after="0" w:line="14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January 3, 2006</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PA 19102-2148</w:t>
      </w:r>
    </w:p>
    <w:p>
      <w:pPr>
        <w:spacing w:after="0" w:line="145"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7" w:lineRule="exact"/>
        <w:rPr>
          <w:sz w:val="20"/>
          <w:szCs w:val="20"/>
          <w:color w:val="auto"/>
        </w:rPr>
      </w:pPr>
    </w:p>
    <w:p>
      <w:pPr>
        <w:ind w:right="320" w:firstLine="913"/>
        <w:spacing w:after="0" w:line="262" w:lineRule="auto"/>
        <w:rPr>
          <w:sz w:val="20"/>
          <w:szCs w:val="20"/>
          <w:color w:val="auto"/>
        </w:rPr>
      </w:pPr>
      <w:r>
        <w:rPr>
          <w:rFonts w:ascii="Times New Roman" w:cs="Times New Roman" w:eastAsia="Times New Roman" w:hAnsi="Times New Roman"/>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19"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The Registration Statement relates to 50,000 shares of Class A Common Stock, par value $.01, of the Company, as Amended and Restated (the “Shares”), which may be issued by the Company pursuant to the Comcast Corporation 2002 Deferred Compensation Plan (the “2002 Plan”) and 200,000 Shares of the Company which may be issued by the Company pursuant to the Comcast Corporation 2005 Deferred Compensation Plan (the “2005 Plan” and, together with the 2002 Plan, the “Plans”).</w:t>
      </w:r>
    </w:p>
    <w:p>
      <w:pPr>
        <w:spacing w:after="0" w:line="12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25"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23"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23"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Pepper Hamilton LLP</w:t>
      </w:r>
    </w:p>
    <w:p>
      <w:pPr>
        <w:sectPr>
          <w:pgSz w:w="11900" w:h="16838" w:orient="portrait"/>
          <w:cols w:equalWidth="0" w:num="1">
            <w:col w:w="11420"/>
          </w:cols>
          <w:pgMar w:left="240" w:top="123"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5.2</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Pepper Hamilton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Attorneys at Law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215.981.4000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215.981.4750</w:t>
      </w:r>
    </w:p>
    <w:p>
      <w:pPr>
        <w:spacing w:after="0" w:line="14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January 3, 2006</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 19102-2148</w:t>
      </w:r>
    </w:p>
    <w:p>
      <w:pPr>
        <w:sectPr>
          <w:pgSz w:w="11900" w:h="16838" w:orient="portrait"/>
          <w:cols w:equalWidth="0" w:num="1">
            <w:col w:w="11420"/>
          </w:cols>
          <w:pgMar w:left="240" w:top="123" w:right="239" w:bottom="1440" w:gutter="0" w:footer="0" w:header="0"/>
        </w:sectPr>
      </w:pP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Comcast Corporation 2002 Deferred Compensation Plan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Comcast Corporation 2005 Deferred Compensation Plan</w:t>
      </w:r>
    </w:p>
    <w:p>
      <w:pPr>
        <w:spacing w:after="0" w:line="168" w:lineRule="exact"/>
        <w:rPr>
          <w:sz w:val="20"/>
          <w:szCs w:val="20"/>
          <w:color w:val="auto"/>
        </w:rPr>
      </w:pPr>
    </w:p>
    <w:p>
      <w:pPr>
        <w:sectPr>
          <w:pgSz w:w="11900" w:h="16838" w:orient="portrait"/>
          <w:cols w:equalWidth="0" w:num="2">
            <w:col w:w="1160" w:space="320"/>
            <w:col w:w="994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7" w:lineRule="exact"/>
        <w:rPr>
          <w:sz w:val="20"/>
          <w:szCs w:val="20"/>
          <w:color w:val="auto"/>
        </w:rPr>
      </w:pPr>
    </w:p>
    <w:p>
      <w:pPr>
        <w:ind w:right="240" w:firstLine="913"/>
        <w:spacing w:after="0" w:line="255" w:lineRule="auto"/>
        <w:rPr>
          <w:sz w:val="20"/>
          <w:szCs w:val="20"/>
          <w:color w:val="auto"/>
        </w:rPr>
      </w:pPr>
      <w:r>
        <w:rPr>
          <w:rFonts w:ascii="Times New Roman" w:cs="Times New Roman" w:eastAsia="Times New Roman" w:hAnsi="Times New Roman"/>
          <w:sz w:val="18"/>
          <w:szCs w:val="18"/>
          <w:color w:val="auto"/>
        </w:rPr>
        <w:t>We have served as counsel to Comcast Corporation, a Pennsylvania Corporation (the “Company”), in connection with the registration by the Company of 50,000 shares of Class A Common Stock, par value $.01 (the “Shares”) which may be issued pursuant to the Company’s 2002 Deferred Compensation Plan, as Amended and Restated (the “2002 Plan”) and 200,000 Shares which may be issued pursuant to the Company’s 2005 Deferred Compensation Plan (the “2005 Plan” and, together with the 2002 Plan, the “Plans”) and the filing of a registration statement on Form S-8 relating to the Shares (the “Registration Statement”). Unless otherwise defined herein, capitalized terms used herein shall have the meanings assigned to them in the Registration Statement.</w:t>
      </w:r>
    </w:p>
    <w:p>
      <w:pPr>
        <w:spacing w:after="0" w:line="126"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06"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The Plan documents states that the Plans were established to permit eligible employees and non-employee directors to defer the receipt of compensation otherwise payable to such outside directors and eligible employees in accordance with the terms of the Plans. The Plans are unfunded and state that they are maintained primarily for the purpose of providing deferred compensation to outside directors and to a select group of management or highly compensated employees. For the purpose of this opinion, we have assumed that (1) the 2002 Plan was duly adopted by the Company on February 12, 1974 and amended and restated in its current form effective February 16, 2005, (2) the 2005 Plan was duly adopted by the Company effective January 1, 2005 and amended and restated in its current form effective August 3, 2005; and (3) the Plans are maintained primarily for the purpose of providing the opportunity to defer the receipt of compensation to non-employee directors and a select group of management or highly compensated employees.</w:t>
      </w:r>
    </w:p>
    <w:p>
      <w:pPr>
        <w:sectPr>
          <w:pgSz w:w="11900" w:h="16838" w:orient="portrait"/>
          <w:cols w:equalWidth="0" w:num="1">
            <w:col w:w="11420"/>
          </w:cols>
          <w:pgMar w:left="240" w:top="123" w:right="239" w:bottom="1440" w:gutter="0" w:footer="0" w:header="0"/>
          <w:type w:val="continuous"/>
        </w:sectPr>
      </w:pPr>
    </w:p>
    <w:bookmarkStart w:id="11" w:name="page12"/>
    <w:bookmarkEnd w:id="11"/>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their express terms, the Plans potentially result in a deferral of income by employees for periods extending to the termination of covered employment or beyond. Accordingly, the Plans are “employee pension benefit plans” described in section 3(3) of the Employee Retirement Income Security Act of 1974, as amended (“ERISA”). However, as Plans that are unfunded and maintained primarily for the purpose of providing deferred compensation to outside directors and to a select group of management or highly compensated employees, the Plans are subject to parts 1 and 5 of Title I of ERISA, but not to any other provisions of ERISA.</w:t>
      </w:r>
    </w:p>
    <w:p>
      <w:pPr>
        <w:spacing w:after="0" w:line="125"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The Plans are not designed or operated with the purpose of satisfying the requirements for qualification under section 401(a) of the Internal Revenue Code of 1986, as amended.</w:t>
      </w:r>
    </w:p>
    <w:p>
      <w:pPr>
        <w:spacing w:after="0" w:line="106"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Parts 1 and 5 of Title 1 of ERISA do not impose any specific written requirements on non-qualified deferred compensation arrangements such as the Plans as a condition to compliance with the applicable provisions of ERISA. Further, the operation of the Plans pursuant to the written provisions of the Plans will not cause the Plans to fail to comply with parts 1 or 5 of Title 5 of ERISA.</w:t>
      </w:r>
    </w:p>
    <w:p>
      <w:pPr>
        <w:spacing w:after="0" w:line="119" w:lineRule="exact"/>
        <w:rPr>
          <w:sz w:val="20"/>
          <w:szCs w:val="20"/>
          <w:color w:val="auto"/>
        </w:rPr>
      </w:pPr>
    </w:p>
    <w:p>
      <w:pPr>
        <w:jc w:val="both"/>
        <w:ind w:right="40" w:firstLine="913"/>
        <w:spacing w:after="0" w:line="275"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provisions of the written documents constituting the Plans comply with the requirements of ERISA pertaining to such provisions.</w:t>
      </w:r>
    </w:p>
    <w:p>
      <w:pPr>
        <w:spacing w:after="0" w:line="106" w:lineRule="exact"/>
        <w:rPr>
          <w:sz w:val="20"/>
          <w:szCs w:val="20"/>
          <w:color w:val="auto"/>
        </w:rPr>
      </w:pPr>
    </w:p>
    <w:p>
      <w:pPr>
        <w:jc w:val="both"/>
        <w:ind w:right="60" w:firstLine="913"/>
        <w:spacing w:after="0" w:line="262" w:lineRule="auto"/>
        <w:rPr>
          <w:sz w:val="20"/>
          <w:szCs w:val="20"/>
          <w:color w:val="auto"/>
        </w:rPr>
      </w:pPr>
      <w:r>
        <w:rPr>
          <w:rFonts w:ascii="Times New Roman" w:cs="Times New Roman" w:eastAsia="Times New Roman" w:hAnsi="Times New Roman"/>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19"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Pepper Hamilton LLP</w:t>
      </w:r>
    </w:p>
    <w:p>
      <w:pPr>
        <w:sectPr>
          <w:pgSz w:w="11900" w:h="16838" w:orient="portrait"/>
          <w:cols w:equalWidth="0" w:num="1">
            <w:col w:w="11420"/>
          </w:cols>
          <w:pgMar w:left="240" w:top="274"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0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21, 2005, relating to the financial statements and financial statement schedule of Comcast Corporation, and management’s report on the effectiveness of internal control over financial reporting appearing in the Annual Report on Form 10-K of Comcast Corporation for the year ended December 31, 2004.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2006</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2019-12-15T06:09:13Z</dcterms:created>
  <dcterms:modified xsi:type="dcterms:W3CDTF">2019-12-15T06:09:13Z</dcterms:modified>
</cp:coreProperties>
</file>