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720"/>
        <w:spacing w:after="0"/>
        <w:rPr>
          <w:sz w:val="20"/>
          <w:szCs w:val="20"/>
          <w:color w:val="auto"/>
        </w:rPr>
      </w:pPr>
      <w:r>
        <w:rPr>
          <w:rFonts w:ascii="Arial" w:cs="Arial" w:eastAsia="Arial" w:hAnsi="Arial"/>
          <w:sz w:val="18"/>
          <w:szCs w:val="18"/>
          <w:b w:val="1"/>
          <w:bCs w:val="1"/>
          <w:color w:val="auto"/>
        </w:rPr>
        <w:t>As Filed with the Securities and Exchange Commission on August 12, 2004</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333-101295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-758190</wp:posOffset>
            </wp:positionH>
            <wp:positionV relativeFrom="paragraph">
              <wp:posOffset>167640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55"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ind w:left="34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2098675</wp:posOffset>
            </wp:positionH>
            <wp:positionV relativeFrom="paragraph">
              <wp:posOffset>158750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POST-EFFECTIVE AMENDMENT NO. 2</w:t>
      </w:r>
    </w:p>
    <w:p>
      <w:pPr>
        <w:spacing w:after="0" w:line="29"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TO</w:t>
      </w:r>
    </w:p>
    <w:p>
      <w:pPr>
        <w:jc w:val="center"/>
        <w:ind w:right="1200"/>
        <w:spacing w:after="0" w:line="237" w:lineRule="auto"/>
        <w:rPr>
          <w:sz w:val="20"/>
          <w:szCs w:val="20"/>
          <w:color w:val="auto"/>
        </w:rPr>
      </w:pPr>
      <w:r>
        <w:rPr>
          <w:rFonts w:ascii="Arial" w:cs="Arial" w:eastAsia="Arial" w:hAnsi="Arial"/>
          <w:sz w:val="32"/>
          <w:szCs w:val="32"/>
          <w:b w:val="1"/>
          <w:bCs w:val="1"/>
          <w:color w:val="auto"/>
        </w:rPr>
        <w:t>FORM S-8</w:t>
      </w:r>
    </w:p>
    <w:p>
      <w:pPr>
        <w:jc w:val="center"/>
        <w:ind w:right="1200"/>
        <w:spacing w:after="0"/>
        <w:rPr>
          <w:sz w:val="20"/>
          <w:szCs w:val="20"/>
          <w:color w:val="auto"/>
        </w:rPr>
      </w:pPr>
      <w:r>
        <w:rPr>
          <w:rFonts w:ascii="Arial" w:cs="Arial" w:eastAsia="Arial" w:hAnsi="Arial"/>
          <w:sz w:val="32"/>
          <w:szCs w:val="32"/>
          <w:b w:val="1"/>
          <w:bCs w:val="1"/>
          <w:color w:val="auto"/>
        </w:rPr>
        <w:t>REGISTRATION STATEMENT</w:t>
      </w:r>
    </w:p>
    <w:p>
      <w:pPr>
        <w:jc w:val="center"/>
        <w:ind w:right="1200"/>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2098675</wp:posOffset>
            </wp:positionH>
            <wp:positionV relativeFrom="paragraph">
              <wp:posOffset>158750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1200"/>
        <w:spacing w:after="0"/>
        <w:rPr>
          <w:sz w:val="20"/>
          <w:szCs w:val="20"/>
          <w:color w:val="auto"/>
        </w:rPr>
      </w:pPr>
      <w:r>
        <w:rPr>
          <w:rFonts w:ascii="Arial" w:cs="Arial" w:eastAsia="Arial" w:hAnsi="Arial"/>
          <w:sz w:val="43"/>
          <w:szCs w:val="43"/>
          <w:b w:val="1"/>
          <w:bCs w:val="1"/>
          <w:color w:val="auto"/>
        </w:rPr>
        <w:t>COMCAST CORPORATION</w:t>
      </w:r>
    </w:p>
    <w:p>
      <w:pPr>
        <w:spacing w:after="0" w:line="49" w:lineRule="exact"/>
        <w:rPr>
          <w:sz w:val="24"/>
          <w:szCs w:val="24"/>
          <w:color w:val="auto"/>
        </w:rPr>
      </w:pPr>
    </w:p>
    <w:p>
      <w:pPr>
        <w:ind w:left="3100"/>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2098675</wp:posOffset>
            </wp:positionH>
            <wp:positionV relativeFrom="paragraph">
              <wp:posOffset>154940</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0220"/>
          </w:cols>
          <w:pgMar w:left="1440" w:top="233" w:right="239" w:bottom="1440" w:gutter="0" w:footer="0" w:header="0"/>
        </w:sectPr>
      </w:pPr>
    </w:p>
    <w:p>
      <w:pPr>
        <w:spacing w:after="0" w:line="200" w:lineRule="exact"/>
        <w:rPr>
          <w:sz w:val="24"/>
          <w:szCs w:val="24"/>
          <w:color w:val="auto"/>
        </w:rPr>
      </w:pPr>
    </w:p>
    <w:p>
      <w:pPr>
        <w:spacing w:after="0" w:line="299" w:lineRule="exact"/>
        <w:rPr>
          <w:sz w:val="24"/>
          <w:szCs w:val="24"/>
          <w:color w:val="auto"/>
        </w:rPr>
      </w:pPr>
    </w:p>
    <w:p>
      <w:pPr>
        <w:ind w:left="1060"/>
        <w:spacing w:after="0"/>
        <w:rPr>
          <w:sz w:val="20"/>
          <w:szCs w:val="20"/>
          <w:color w:val="auto"/>
        </w:rPr>
      </w:pPr>
      <w:r>
        <w:rPr>
          <w:rFonts w:ascii="Arial" w:cs="Arial" w:eastAsia="Arial" w:hAnsi="Arial"/>
          <w:sz w:val="15"/>
          <w:szCs w:val="15"/>
          <w:b w:val="1"/>
          <w:bCs w:val="1"/>
          <w:color w:val="auto"/>
        </w:rPr>
        <w:t>Pennsylvania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27-0000798</w:t>
      </w:r>
    </w:p>
    <w:p>
      <w:pPr>
        <w:spacing w:after="0" w:line="56" w:lineRule="exact"/>
        <w:rPr>
          <w:sz w:val="24"/>
          <w:szCs w:val="24"/>
          <w:color w:val="auto"/>
        </w:rPr>
      </w:pPr>
    </w:p>
    <w:p>
      <w:pPr>
        <w:sectPr>
          <w:pgSz w:w="11900" w:h="16838" w:orient="portrait"/>
          <w:cols w:equalWidth="0" w:num="2">
            <w:col w:w="6400" w:space="720"/>
            <w:col w:w="3100"/>
          </w:cols>
          <w:pgMar w:left="1440" w:top="233" w:right="239" w:bottom="1440" w:gutter="0" w:footer="0" w:header="0"/>
          <w:type w:val="continuous"/>
        </w:sectPr>
      </w:pPr>
    </w:p>
    <w:p>
      <w:pPr>
        <w:ind w:left="70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66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308" w:lineRule="exact"/>
        <w:rPr>
          <w:sz w:val="24"/>
          <w:szCs w:val="24"/>
          <w:color w:val="auto"/>
        </w:rPr>
      </w:pPr>
    </w:p>
    <w:p>
      <w:pPr>
        <w:sectPr>
          <w:pgSz w:w="11900" w:h="16838" w:orient="portrait"/>
          <w:cols w:equalWidth="0" w:num="2">
            <w:col w:w="5780" w:space="720"/>
            <w:col w:w="3720"/>
          </w:cols>
          <w:pgMar w:left="1440" w:top="233" w:right="239" w:bottom="1440" w:gutter="0" w:footer="0" w:header="0"/>
          <w:type w:val="continuous"/>
        </w:sectPr>
      </w:pPr>
    </w:p>
    <w:p>
      <w:pPr>
        <w:jc w:val="center"/>
        <w:ind w:right="1180"/>
        <w:spacing w:after="0"/>
        <w:rPr>
          <w:sz w:val="20"/>
          <w:szCs w:val="20"/>
          <w:color w:val="auto"/>
        </w:rPr>
      </w:pPr>
      <w:r>
        <w:rPr>
          <w:rFonts w:ascii="Arial" w:cs="Arial" w:eastAsia="Arial" w:hAnsi="Arial"/>
          <w:sz w:val="18"/>
          <w:szCs w:val="18"/>
          <w:b w:val="1"/>
          <w:bCs w:val="1"/>
          <w:color w:val="auto"/>
        </w:rPr>
        <w:t>1500 Market Street</w:t>
      </w:r>
    </w:p>
    <w:p>
      <w:pPr>
        <w:spacing w:after="0" w:line="21" w:lineRule="exact"/>
        <w:rPr>
          <w:sz w:val="24"/>
          <w:szCs w:val="24"/>
          <w:color w:val="auto"/>
        </w:rPr>
      </w:pPr>
    </w:p>
    <w:p>
      <w:pPr>
        <w:jc w:val="center"/>
        <w:ind w:right="1180"/>
        <w:spacing w:after="0"/>
        <w:rPr>
          <w:sz w:val="20"/>
          <w:szCs w:val="20"/>
          <w:color w:val="auto"/>
        </w:rPr>
      </w:pPr>
      <w:r>
        <w:rPr>
          <w:rFonts w:ascii="Arial" w:cs="Arial" w:eastAsia="Arial" w:hAnsi="Arial"/>
          <w:sz w:val="16"/>
          <w:szCs w:val="16"/>
          <w:b w:val="1"/>
          <w:bCs w:val="1"/>
          <w:color w:val="auto"/>
        </w:rPr>
        <w:t>Philadelphia, PA 19102-2148</w:t>
      </w:r>
    </w:p>
    <w:p>
      <w:pPr>
        <w:spacing w:after="0" w:line="32" w:lineRule="exact"/>
        <w:rPr>
          <w:sz w:val="24"/>
          <w:szCs w:val="24"/>
          <w:color w:val="auto"/>
        </w:rPr>
      </w:pPr>
    </w:p>
    <w:p>
      <w:pPr>
        <w:ind w:left="340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2098675</wp:posOffset>
            </wp:positionH>
            <wp:positionV relativeFrom="paragraph">
              <wp:posOffset>178435</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0220"/>
          </w:cols>
          <w:pgMar w:left="1440" w:top="233" w:right="239" w:bottom="1440" w:gutter="0" w:footer="0" w:header="0"/>
          <w:type w:val="continuous"/>
        </w:sectPr>
      </w:pPr>
    </w:p>
    <w:p>
      <w:pPr>
        <w:spacing w:after="0" w:line="200" w:lineRule="exact"/>
        <w:rPr>
          <w:sz w:val="24"/>
          <w:szCs w:val="24"/>
          <w:color w:val="auto"/>
        </w:rPr>
      </w:pPr>
    </w:p>
    <w:p>
      <w:pPr>
        <w:spacing w:after="0" w:line="336" w:lineRule="exact"/>
        <w:rPr>
          <w:sz w:val="24"/>
          <w:szCs w:val="24"/>
          <w:color w:val="auto"/>
        </w:rPr>
      </w:pPr>
    </w:p>
    <w:p>
      <w:pPr>
        <w:jc w:val="center"/>
        <w:ind w:left="1560" w:right="2760"/>
        <w:spacing w:after="0" w:line="251" w:lineRule="auto"/>
        <w:rPr>
          <w:sz w:val="20"/>
          <w:szCs w:val="20"/>
          <w:color w:val="auto"/>
        </w:rPr>
      </w:pPr>
      <w:r>
        <w:rPr>
          <w:rFonts w:ascii="Arial" w:cs="Arial" w:eastAsia="Arial" w:hAnsi="Arial"/>
          <w:sz w:val="18"/>
          <w:szCs w:val="18"/>
          <w:b w:val="1"/>
          <w:bCs w:val="1"/>
          <w:color w:val="auto"/>
        </w:rPr>
        <w:t>AT&amp;T BROADBAND CORP. ADJUSTMENT PLAN AT&amp;T BROADBAND DEFERRED COMPENSATION PLAN AT&amp;T BROADBAND LONG TERM SAVINGS PLAN COMCAST CORPORATION 2002 DEFERRED COMPENSATION PLAN COMCAST CORPORATION 2002 DEFERRED STOCK OPTION PLAN COMCAST CORPORATION 2002 EMPLOYEE STOCK PURCHASE PLAN COMCAST CORPORATION RETIREMENT-INVESTMENT PLAN COMCAST CORPORATION 2002 RESTRICTED STOCK PLAN COMCAST CORPORATION 2002 STOCK OPTION PLAN COMCAST CORPORATION 1987 STOCK OPTION PLAN COMCAST-SPECTACOR 401(k) PLAN</w:t>
      </w:r>
    </w:p>
    <w:p>
      <w:pPr>
        <w:spacing w:after="0" w:line="8" w:lineRule="exact"/>
        <w:rPr>
          <w:sz w:val="24"/>
          <w:szCs w:val="24"/>
          <w:color w:val="auto"/>
        </w:rPr>
      </w:pPr>
    </w:p>
    <w:p>
      <w:pPr>
        <w:ind w:left="3900"/>
        <w:spacing w:after="0"/>
        <w:rPr>
          <w:sz w:val="20"/>
          <w:szCs w:val="20"/>
          <w:color w:val="auto"/>
        </w:rPr>
      </w:pPr>
      <w:r>
        <w:rPr>
          <w:rFonts w:ascii="Arial" w:cs="Arial" w:eastAsia="Arial" w:hAnsi="Arial"/>
          <w:sz w:val="14"/>
          <w:szCs w:val="14"/>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2098675</wp:posOffset>
            </wp:positionH>
            <wp:positionV relativeFrom="paragraph">
              <wp:posOffset>156210</wp:posOffset>
            </wp:positionV>
            <wp:extent cx="1534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Arthur R. Block</w:t>
      </w:r>
    </w:p>
    <w:p>
      <w:pPr>
        <w:spacing w:after="0" w:line="2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Senior Vice President and General Counsel</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Comcast Corporation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1500 Market Street</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Philadelphia, Pennsylvania 19102-2148</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24"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(215) 665-1700</w:t>
      </w:r>
    </w:p>
    <w:p>
      <w:pPr>
        <w:spacing w:after="0" w:line="21" w:lineRule="exact"/>
        <w:rPr>
          <w:sz w:val="24"/>
          <w:szCs w:val="24"/>
          <w:color w:val="auto"/>
        </w:rPr>
      </w:pPr>
    </w:p>
    <w:p>
      <w:pPr>
        <w:ind w:left="2760"/>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-758190</wp:posOffset>
            </wp:positionH>
            <wp:positionV relativeFrom="paragraph">
              <wp:posOffset>102870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220"/>
          </w:cols>
          <w:pgMar w:left="1440" w:top="233"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EXPLANATORY NOTE</w:t>
      </w:r>
    </w:p>
    <w:p>
      <w:pPr>
        <w:spacing w:after="0" w:line="164"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Comcast Corporation (the “Registrant”) filed a Registration Statement on Form S-8 (Registration No. 333-101295) (the “Prior Registration Statement”), which registered shares of the Registrant’s Class A Common Stock, par value $.01 (the “Shares”), reserved for issuance under eleven plans, including the Comcast Corporation Retirement-Investment Plan (the “Comcast Plan”), for which 3,000,000 Shares were registered, and the Comcast-Spectacor 401(k) Plan (the “Spectacor Plan” and, together with the Comcast Plan, the “Plans”), for which 200,000 Shares were registered. In addition, pursuant to Rule 416 of the Securities Act of 1933, the Prior Registration Statement also covered an indeterminate number of additional Shares granted or to be granted under the Plans to prevent dilution that may result from any future stock splits, stock dividends or similar transactions affecting the Shares as well as an indeterminate amount of interests to be offered or sold pursuant to the Plans.</w:t>
      </w:r>
    </w:p>
    <w:p>
      <w:pPr>
        <w:spacing w:after="0" w:line="105" w:lineRule="exact"/>
        <w:rPr>
          <w:sz w:val="20"/>
          <w:szCs w:val="20"/>
          <w:color w:val="auto"/>
        </w:rPr>
      </w:pPr>
    </w:p>
    <w:p>
      <w:pPr>
        <w:ind w:right="120" w:firstLine="913"/>
        <w:spacing w:after="0" w:line="256" w:lineRule="auto"/>
        <w:rPr>
          <w:sz w:val="20"/>
          <w:szCs w:val="20"/>
          <w:color w:val="auto"/>
        </w:rPr>
      </w:pPr>
      <w:r>
        <w:rPr>
          <w:rFonts w:ascii="Arial" w:cs="Arial" w:eastAsia="Arial" w:hAnsi="Arial"/>
          <w:sz w:val="18"/>
          <w:szCs w:val="18"/>
          <w:color w:val="auto"/>
        </w:rPr>
        <w:t>On July 1, 2004, the Registrant transferred 82 participants’ accounts from the Spectacor Plan to the Comcast Plan pursuant to the transfer of certain employee-participants from the employ of Comcast-Spectacor LLP to the employ of the Registrant. Accordingly, securities previously allocated to those transferred participants’ accounts under the Spectacor Plan, including Shares of the Registrant, have been reallocated to the participants’ accounts under the Comcast Plan.</w:t>
      </w:r>
    </w:p>
    <w:p>
      <w:pPr>
        <w:spacing w:after="0" w:line="130"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This Post-Effective Amendment No. 2 incorporates by reference the contents of the Prior Registration Statement, to the extent not modified by this Amendment No. 2. This Amendment No. 2 is being filed to reallocate the 10,224 Shares previously held in certain participants’ accounts under the Spectacor Plan to the participants’ accounts now held under the Comcast Plan.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exhibits are filed as part of this Post-Effective Amendment No. 2.</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560" w:type="dxa"/>
            <w:vAlign w:val="bottom"/>
          </w:tcPr>
          <w:p>
            <w:pPr>
              <w:spacing w:after="0"/>
              <w:rPr>
                <w:sz w:val="14"/>
                <w:szCs w:val="14"/>
                <w:color w:val="auto"/>
              </w:rPr>
            </w:pPr>
          </w:p>
        </w:tc>
        <w:tc>
          <w:tcPr>
            <w:tcW w:w="4180" w:type="dxa"/>
            <w:vAlign w:val="bottom"/>
          </w:tcPr>
          <w:p>
            <w:pPr>
              <w:spacing w:after="0"/>
              <w:rPr>
                <w:sz w:val="14"/>
                <w:szCs w:val="14"/>
                <w:color w:val="auto"/>
              </w:rPr>
            </w:pPr>
          </w:p>
        </w:tc>
      </w:tr>
      <w:tr>
        <w:trPr>
          <w:trHeight w:val="174"/>
        </w:trPr>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47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r>
      <w:tr>
        <w:trPr>
          <w:trHeight w:val="95"/>
        </w:trPr>
        <w:tc>
          <w:tcPr>
            <w:tcW w:w="6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180" w:type="dxa"/>
            <w:vAlign w:val="bottom"/>
          </w:tcPr>
          <w:p>
            <w:pPr>
              <w:spacing w:after="0"/>
              <w:rPr>
                <w:sz w:val="8"/>
                <w:szCs w:val="8"/>
                <w:color w:val="auto"/>
              </w:rPr>
            </w:pPr>
          </w:p>
        </w:tc>
      </w:tr>
      <w:tr>
        <w:trPr>
          <w:trHeight w:val="316"/>
        </w:trPr>
        <w:tc>
          <w:tcPr>
            <w:tcW w:w="600" w:type="dxa"/>
            <w:vAlign w:val="bottom"/>
          </w:tcPr>
          <w:p>
            <w:pPr>
              <w:spacing w:after="0"/>
              <w:rPr>
                <w:sz w:val="20"/>
                <w:szCs w:val="20"/>
                <w:color w:val="auto"/>
              </w:rPr>
            </w:pPr>
            <w:r>
              <w:rPr>
                <w:rFonts w:ascii="Arial" w:cs="Arial" w:eastAsia="Arial" w:hAnsi="Arial"/>
                <w:sz w:val="18"/>
                <w:szCs w:val="18"/>
                <w:color w:val="auto"/>
              </w:rPr>
              <w:t>5.2</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Opinion of Pepper Hamilton LLP.*</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23.1</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Consent of Deloitte &amp; Touche LLP.</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23.2</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Consent of Deloitte &amp; Touche LLP.</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23.3</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Consent of Grant Thornton LLP.</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23.4</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w w:val="90"/>
              </w:rPr>
              <w:t>Consent of Pepper Hamilton LLP (included in Exhibit 5.2 hereto).*</w:t>
            </w:r>
          </w:p>
        </w:tc>
      </w:tr>
      <w:tr>
        <w:trPr>
          <w:trHeight w:val="324"/>
        </w:trPr>
        <w:tc>
          <w:tcPr>
            <w:tcW w:w="600" w:type="dxa"/>
            <w:vAlign w:val="bottom"/>
          </w:tcPr>
          <w:p>
            <w:pPr>
              <w:spacing w:after="0"/>
              <w:rPr>
                <w:sz w:val="20"/>
                <w:szCs w:val="20"/>
                <w:color w:val="auto"/>
              </w:rPr>
            </w:pPr>
            <w:r>
              <w:rPr>
                <w:rFonts w:ascii="Arial" w:cs="Arial" w:eastAsia="Arial" w:hAnsi="Arial"/>
                <w:sz w:val="18"/>
                <w:szCs w:val="18"/>
                <w:color w:val="auto"/>
              </w:rPr>
              <w:t>24.1</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Power of Attorney (included on signature page).*</w:t>
            </w:r>
          </w:p>
        </w:tc>
      </w:tr>
      <w:tr>
        <w:trPr>
          <w:trHeight w:val="110"/>
        </w:trPr>
        <w:tc>
          <w:tcPr>
            <w:tcW w:w="1180" w:type="dxa"/>
            <w:vAlign w:val="bottom"/>
            <w:tcBorders>
              <w:bottom w:val="single" w:sz="8" w:color="auto"/>
            </w:tcBorders>
            <w:gridSpan w:val="2"/>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180" w:type="dxa"/>
            <w:vAlign w:val="bottom"/>
          </w:tcPr>
          <w:p>
            <w:pPr>
              <w:spacing w:after="0"/>
              <w:rPr>
                <w:sz w:val="9"/>
                <w:szCs w:val="9"/>
                <w:color w:val="auto"/>
              </w:rPr>
            </w:pPr>
          </w:p>
        </w:tc>
      </w:tr>
      <w:tr>
        <w:trPr>
          <w:trHeight w:val="316"/>
        </w:trPr>
        <w:tc>
          <w:tcPr>
            <w:tcW w:w="1480" w:type="dxa"/>
            <w:vAlign w:val="bottom"/>
            <w:gridSpan w:val="3"/>
          </w:tcPr>
          <w:p>
            <w:pPr>
              <w:spacing w:after="0"/>
              <w:rPr>
                <w:sz w:val="20"/>
                <w:szCs w:val="20"/>
                <w:color w:val="auto"/>
              </w:rPr>
            </w:pPr>
            <w:r>
              <w:rPr>
                <w:rFonts w:ascii="Arial" w:cs="Arial" w:eastAsia="Arial" w:hAnsi="Arial"/>
                <w:sz w:val="18"/>
                <w:szCs w:val="18"/>
                <w:color w:val="auto"/>
              </w:rPr>
              <w:t>*  Previously filed.</w:t>
            </w:r>
          </w:p>
        </w:tc>
        <w:tc>
          <w:tcPr>
            <w:tcW w:w="560" w:type="dxa"/>
            <w:vAlign w:val="bottom"/>
          </w:tcPr>
          <w:p>
            <w:pPr>
              <w:spacing w:after="0"/>
              <w:rPr>
                <w:sz w:val="24"/>
                <w:szCs w:val="24"/>
                <w:color w:val="auto"/>
              </w:rPr>
            </w:pPr>
          </w:p>
        </w:tc>
        <w:tc>
          <w:tcPr>
            <w:tcW w:w="4180" w:type="dxa"/>
            <w:vAlign w:val="bottom"/>
          </w:tcPr>
          <w:p>
            <w:pPr>
              <w:spacing w:after="0"/>
              <w:rPr>
                <w:sz w:val="24"/>
                <w:szCs w:val="24"/>
                <w:color w:val="auto"/>
              </w:rPr>
            </w:pPr>
          </w:p>
        </w:tc>
      </w:tr>
    </w:tbl>
    <w:p>
      <w:pPr>
        <w:sectPr>
          <w:pgSz w:w="11900" w:h="16838" w:orient="portrait"/>
          <w:cols w:equalWidth="0" w:num="1">
            <w:col w:w="11400"/>
          </w:cols>
          <w:pgMar w:left="240" w:top="274"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83"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this Post-Effective Amendment No. 2 to Form S-8 and has duly caused this Post-Effective Amendment No. 2 to be signed on its behalf by the undersigned, thereunto duly authorized, in Philadelphia, Pennsylvania, on August 12, 2004.</w:t>
      </w:r>
    </w:p>
    <w:p>
      <w:pPr>
        <w:spacing w:after="0" w:line="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80010</wp:posOffset>
            </wp:positionV>
            <wp:extent cx="25558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19" w:lineRule="exact"/>
        <w:rPr>
          <w:sz w:val="20"/>
          <w:szCs w:val="20"/>
          <w:color w:val="auto"/>
        </w:rPr>
      </w:pPr>
    </w:p>
    <w:p>
      <w:pPr>
        <w:ind w:left="6860"/>
        <w:spacing w:after="0"/>
        <w:tabs>
          <w:tab w:leader="none" w:pos="7500" w:val="left"/>
        </w:tabs>
        <w:rPr>
          <w:sz w:val="20"/>
          <w:szCs w:val="20"/>
          <w:color w:val="auto"/>
        </w:rPr>
      </w:pPr>
      <w:r>
        <w:rPr>
          <w:rFonts w:ascii="Arial" w:cs="Arial" w:eastAsia="Arial" w:hAnsi="Arial"/>
          <w:sz w:val="18"/>
          <w:szCs w:val="18"/>
          <w:color w:val="auto"/>
        </w:rPr>
        <w:t>Name:</w:t>
        <w:tab/>
        <w:t>Arthur R. Block, Senior Vice</w:t>
      </w:r>
    </w:p>
    <w:p>
      <w:pPr>
        <w:spacing w:after="0" w:line="15"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President, General Counsel and Secretary</w:t>
      </w:r>
    </w:p>
    <w:p>
      <w:pPr>
        <w:spacing w:after="0" w:line="151" w:lineRule="exact"/>
        <w:rPr>
          <w:sz w:val="20"/>
          <w:szCs w:val="20"/>
          <w:color w:val="auto"/>
        </w:rPr>
      </w:pPr>
    </w:p>
    <w:p>
      <w:pPr>
        <w:ind w:right="360" w:firstLine="913"/>
        <w:spacing w:after="0" w:line="268" w:lineRule="auto"/>
        <w:rPr>
          <w:sz w:val="20"/>
          <w:szCs w:val="20"/>
          <w:color w:val="auto"/>
        </w:rPr>
      </w:pPr>
      <w:r>
        <w:rPr>
          <w:rFonts w:ascii="Arial" w:cs="Arial" w:eastAsia="Arial" w:hAnsi="Arial"/>
          <w:sz w:val="18"/>
          <w:szCs w:val="18"/>
          <w:color w:val="auto"/>
        </w:rPr>
        <w:t>Pursuant to the requirements of the Securities Act of 1933, this Post-Effective Amendment No. 2 to the Registration Statement has been signed below by the following persons in the capacities and on the date indicated.</w:t>
      </w:r>
    </w:p>
    <w:p>
      <w:pPr>
        <w:spacing w:after="0" w:line="114" w:lineRule="exact"/>
        <w:rPr>
          <w:sz w:val="20"/>
          <w:szCs w:val="20"/>
          <w:color w:val="auto"/>
        </w:rPr>
      </w:pPr>
    </w:p>
    <w:p>
      <w:pPr>
        <w:spacing w:after="0"/>
        <w:tabs>
          <w:tab w:leader="none" w:pos="5020" w:val="left"/>
          <w:tab w:leader="none" w:pos="980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4889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88950" cy="8890"/>
                    </a:xfrm>
                    <a:prstGeom prst="rect">
                      <a:avLst/>
                    </a:prstGeom>
                    <a:noFill/>
                  </pic:spPr>
                </pic:pic>
              </a:graphicData>
            </a:graphic>
          </wp:anchor>
        </w:drawing>
        <w:drawing>
          <wp:anchor simplePos="0" relativeHeight="251657728" behindDoc="1" locked="0" layoutInCell="0" allowOverlap="1">
            <wp:simplePos x="0" y="0"/>
            <wp:positionH relativeFrom="column">
              <wp:posOffset>3203575</wp:posOffset>
            </wp:positionH>
            <wp:positionV relativeFrom="paragraph">
              <wp:posOffset>68580</wp:posOffset>
            </wp:positionV>
            <wp:extent cx="231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6239510</wp:posOffset>
            </wp:positionH>
            <wp:positionV relativeFrom="paragraph">
              <wp:posOffset>68580</wp:posOffset>
            </wp:positionV>
            <wp:extent cx="2400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0030" cy="8890"/>
                    </a:xfrm>
                    <a:prstGeom prst="rect">
                      <a:avLst/>
                    </a:prstGeom>
                    <a:noFill/>
                  </pic:spPr>
                </pic:pic>
              </a:graphicData>
            </a:graphic>
          </wp:anchor>
        </w:drawing>
      </w:r>
    </w:p>
    <w:p>
      <w:pPr>
        <w:sectPr>
          <w:pgSz w:w="11900" w:h="16838" w:orient="portrait"/>
          <w:cols w:equalWidth="0" w:num="1">
            <w:col w:w="11340"/>
          </w:cols>
          <w:pgMar w:left="240" w:top="274" w:right="319" w:bottom="1440" w:gutter="0" w:footer="0" w:header="0"/>
        </w:sectPr>
      </w:pPr>
    </w:p>
    <w:p>
      <w:pPr>
        <w:spacing w:after="0" w:line="222" w:lineRule="exact"/>
        <w:rPr>
          <w:sz w:val="20"/>
          <w:szCs w:val="20"/>
          <w:color w:val="auto"/>
        </w:rPr>
      </w:pPr>
    </w:p>
    <w:p>
      <w:pPr>
        <w:jc w:val="center"/>
        <w:ind w:right="31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9756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219" w:lineRule="exact"/>
        <w:rPr>
          <w:sz w:val="20"/>
          <w:szCs w:val="20"/>
          <w:color w:val="auto"/>
        </w:rPr>
      </w:pPr>
    </w:p>
    <w:p>
      <w:pPr>
        <w:jc w:val="center"/>
        <w:ind w:right="3140"/>
        <w:spacing w:after="0"/>
        <w:rPr>
          <w:sz w:val="20"/>
          <w:szCs w:val="20"/>
          <w:color w:val="auto"/>
        </w:rPr>
      </w:pPr>
      <w:r>
        <w:rPr>
          <w:rFonts w:ascii="Arial" w:cs="Arial" w:eastAsia="Arial" w:hAnsi="Arial"/>
          <w:sz w:val="15"/>
          <w:szCs w:val="15"/>
          <w:color w:val="auto"/>
        </w:rPr>
        <w:t>Ralph J. Roberts</w:t>
      </w:r>
    </w:p>
    <w:p>
      <w:pPr>
        <w:spacing w:after="0" w:line="273" w:lineRule="exact"/>
        <w:rPr>
          <w:sz w:val="20"/>
          <w:szCs w:val="20"/>
          <w:color w:val="auto"/>
        </w:rPr>
      </w:pPr>
    </w:p>
    <w:p>
      <w:pPr>
        <w:jc w:val="center"/>
        <w:ind w:right="31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9756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219" w:lineRule="exact"/>
        <w:rPr>
          <w:sz w:val="20"/>
          <w:szCs w:val="20"/>
          <w:color w:val="auto"/>
        </w:rPr>
      </w:pPr>
    </w:p>
    <w:p>
      <w:pPr>
        <w:jc w:val="center"/>
        <w:ind w:right="3140"/>
        <w:spacing w:after="0"/>
        <w:rPr>
          <w:sz w:val="20"/>
          <w:szCs w:val="20"/>
          <w:color w:val="auto"/>
        </w:rPr>
      </w:pPr>
      <w:r>
        <w:rPr>
          <w:rFonts w:ascii="Arial" w:cs="Arial" w:eastAsia="Arial" w:hAnsi="Arial"/>
          <w:sz w:val="16"/>
          <w:szCs w:val="16"/>
          <w:color w:val="auto"/>
        </w:rPr>
        <w:t>Brian L. Roberts</w:t>
      </w:r>
    </w:p>
    <w:p>
      <w:pPr>
        <w:spacing w:after="0" w:line="26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9756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John R. Alchin</w:t>
      </w:r>
    </w:p>
    <w:p>
      <w:pPr>
        <w:spacing w:after="0" w:line="23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9756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auto"/>
        </w:rPr>
        <w:t>Lawrence S. Smith</w:t>
      </w:r>
    </w:p>
    <w:p>
      <w:pPr>
        <w:spacing w:after="0" w:line="27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9756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Lawrence J. Salva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Chairman of the Executive and Finance Committee of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Director</w:t>
      </w:r>
    </w:p>
    <w:p>
      <w:pPr>
        <w:spacing w:after="0" w:line="200" w:lineRule="exact"/>
        <w:rPr>
          <w:sz w:val="20"/>
          <w:szCs w:val="20"/>
          <w:color w:val="auto"/>
        </w:rPr>
      </w:pPr>
    </w:p>
    <w:p>
      <w:pPr>
        <w:spacing w:after="0" w:line="26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Chairman of the Board, President and Chief Executive Officer; Director (Principal Executive Officer)</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 Co-Chief Financial Officer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Treasurer (Co-Principal Financial Officer)</w:t>
      </w:r>
    </w:p>
    <w:p>
      <w:pPr>
        <w:spacing w:after="0" w:line="200" w:lineRule="exact"/>
        <w:rPr>
          <w:sz w:val="20"/>
          <w:szCs w:val="20"/>
          <w:color w:val="auto"/>
        </w:rPr>
      </w:pPr>
    </w:p>
    <w:p>
      <w:pPr>
        <w:spacing w:after="0" w:line="26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Executive Vice President and Co-Chief Financial Officer (Co-Principal Financial Officer)</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Chief Accounting Officer 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Controller (Principal Accounting Officer)</w:t>
      </w:r>
    </w:p>
    <w:p>
      <w:pPr>
        <w:spacing w:after="0" w:line="151" w:lineRule="exact"/>
        <w:rPr>
          <w:sz w:val="20"/>
          <w:szCs w:val="20"/>
          <w:color w:val="auto"/>
        </w:rPr>
      </w:pPr>
    </w:p>
    <w:p>
      <w:pPr>
        <w:jc w:val="center"/>
        <w:ind w:right="31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August 12, 2004</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August 12, 2004</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August 12, 2004</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August 12, 2004</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August 12, 2004</w:t>
      </w:r>
    </w:p>
    <w:p>
      <w:pPr>
        <w:sectPr>
          <w:pgSz w:w="11900" w:h="16838" w:orient="portrait"/>
          <w:cols w:equalWidth="0" w:num="3">
            <w:col w:w="4320" w:space="720"/>
            <w:col w:w="4440" w:space="340"/>
            <w:col w:w="1520"/>
          </w:cols>
          <w:pgMar w:left="240" w:top="274" w:right="319" w:bottom="1440" w:gutter="0" w:footer="0" w:header="0"/>
          <w:type w:val="continuous"/>
        </w:sectPr>
      </w:pPr>
    </w:p>
    <w:bookmarkStart w:id="3" w:name="page4"/>
    <w:bookmarkEnd w:id="3"/>
    <w:p>
      <w:pPr>
        <w:spacing w:after="0"/>
        <w:tabs>
          <w:tab w:leader="none" w:pos="4800" w:val="left"/>
          <w:tab w:leader="none" w:pos="900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5314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1495" cy="8890"/>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68580</wp:posOffset>
            </wp:positionV>
            <wp:extent cx="2489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68580</wp:posOffset>
            </wp:positionV>
            <wp:extent cx="2571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460" w:type="dxa"/>
            <w:vAlign w:val="bottom"/>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20" w:type="dxa"/>
            <w:vAlign w:val="bottom"/>
          </w:tcPr>
          <w:p>
            <w:pPr>
              <w:ind w:left="240"/>
              <w:spacing w:after="0"/>
              <w:rPr>
                <w:sz w:val="20"/>
                <w:szCs w:val="20"/>
                <w:color w:val="auto"/>
              </w:rPr>
            </w:pPr>
            <w:r>
              <w:rPr>
                <w:rFonts w:ascii="Arial" w:cs="Arial" w:eastAsia="Arial" w:hAnsi="Arial"/>
                <w:sz w:val="18"/>
                <w:szCs w:val="18"/>
                <w:color w:val="auto"/>
              </w:rPr>
              <w:t>Director</w:t>
            </w:r>
          </w:p>
        </w:tc>
        <w:tc>
          <w:tcPr>
            <w:tcW w:w="4700" w:type="dxa"/>
            <w:vAlign w:val="bottom"/>
          </w:tcPr>
          <w:p>
            <w:pPr>
              <w:ind w:left="3520"/>
              <w:spacing w:after="0"/>
              <w:rPr>
                <w:sz w:val="20"/>
                <w:szCs w:val="20"/>
                <w:color w:val="auto"/>
              </w:rPr>
            </w:pPr>
            <w:r>
              <w:rPr>
                <w:rFonts w:ascii="Arial" w:cs="Arial" w:eastAsia="Arial" w:hAnsi="Arial"/>
                <w:sz w:val="18"/>
                <w:szCs w:val="18"/>
                <w:color w:val="auto"/>
                <w:w w:val="88"/>
              </w:rPr>
              <w:t>August 12, 2004</w:t>
            </w:r>
          </w:p>
        </w:tc>
      </w:tr>
      <w:tr>
        <w:trPr>
          <w:trHeight w:val="110"/>
        </w:trPr>
        <w:tc>
          <w:tcPr>
            <w:tcW w:w="44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700" w:type="dxa"/>
            <w:vAlign w:val="bottom"/>
          </w:tcPr>
          <w:p>
            <w:pPr>
              <w:spacing w:after="0"/>
              <w:rPr>
                <w:sz w:val="9"/>
                <w:szCs w:val="9"/>
                <w:color w:val="auto"/>
              </w:rPr>
            </w:pPr>
          </w:p>
        </w:tc>
      </w:tr>
      <w:tr>
        <w:trPr>
          <w:trHeight w:val="316"/>
        </w:trPr>
        <w:tc>
          <w:tcPr>
            <w:tcW w:w="4460" w:type="dxa"/>
            <w:vAlign w:val="bottom"/>
          </w:tcPr>
          <w:p>
            <w:pPr>
              <w:spacing w:after="0"/>
              <w:rPr>
                <w:sz w:val="20"/>
                <w:szCs w:val="20"/>
                <w:color w:val="auto"/>
              </w:rPr>
            </w:pPr>
            <w:r>
              <w:rPr>
                <w:rFonts w:ascii="Arial" w:cs="Arial" w:eastAsia="Arial" w:hAnsi="Arial"/>
                <w:sz w:val="18"/>
                <w:szCs w:val="18"/>
                <w:color w:val="auto"/>
              </w:rPr>
              <w:t>S. Decker Anstrom</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446"/>
        </w:trPr>
        <w:tc>
          <w:tcPr>
            <w:tcW w:w="4460" w:type="dxa"/>
            <w:vAlign w:val="bottom"/>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Arial" w:cs="Arial" w:eastAsia="Arial" w:hAnsi="Arial"/>
                <w:sz w:val="18"/>
                <w:szCs w:val="18"/>
                <w:color w:val="auto"/>
              </w:rPr>
              <w:t>Director</w:t>
            </w:r>
          </w:p>
        </w:tc>
        <w:tc>
          <w:tcPr>
            <w:tcW w:w="4700" w:type="dxa"/>
            <w:vAlign w:val="bottom"/>
          </w:tcPr>
          <w:p>
            <w:pPr>
              <w:ind w:left="3520"/>
              <w:spacing w:after="0"/>
              <w:rPr>
                <w:sz w:val="20"/>
                <w:szCs w:val="20"/>
                <w:color w:val="auto"/>
              </w:rPr>
            </w:pPr>
            <w:r>
              <w:rPr>
                <w:rFonts w:ascii="Arial" w:cs="Arial" w:eastAsia="Arial" w:hAnsi="Arial"/>
                <w:sz w:val="18"/>
                <w:szCs w:val="18"/>
                <w:color w:val="auto"/>
                <w:w w:val="88"/>
              </w:rPr>
              <w:t>August 12, 2004</w:t>
            </w:r>
          </w:p>
        </w:tc>
      </w:tr>
      <w:tr>
        <w:trPr>
          <w:trHeight w:val="110"/>
        </w:trPr>
        <w:tc>
          <w:tcPr>
            <w:tcW w:w="44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700" w:type="dxa"/>
            <w:vAlign w:val="bottom"/>
          </w:tcPr>
          <w:p>
            <w:pPr>
              <w:spacing w:after="0"/>
              <w:rPr>
                <w:sz w:val="9"/>
                <w:szCs w:val="9"/>
                <w:color w:val="auto"/>
              </w:rPr>
            </w:pPr>
          </w:p>
        </w:tc>
      </w:tr>
      <w:tr>
        <w:trPr>
          <w:trHeight w:val="316"/>
        </w:trPr>
        <w:tc>
          <w:tcPr>
            <w:tcW w:w="4460" w:type="dxa"/>
            <w:vAlign w:val="bottom"/>
          </w:tcPr>
          <w:p>
            <w:pPr>
              <w:spacing w:after="0"/>
              <w:rPr>
                <w:sz w:val="20"/>
                <w:szCs w:val="20"/>
                <w:color w:val="auto"/>
              </w:rPr>
            </w:pPr>
            <w:r>
              <w:rPr>
                <w:rFonts w:ascii="Arial" w:cs="Arial" w:eastAsia="Arial" w:hAnsi="Arial"/>
                <w:sz w:val="18"/>
                <w:szCs w:val="18"/>
                <w:color w:val="auto"/>
              </w:rPr>
              <w:t>C. Michael Armstrong</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446"/>
        </w:trPr>
        <w:tc>
          <w:tcPr>
            <w:tcW w:w="4460" w:type="dxa"/>
            <w:vAlign w:val="bottom"/>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Arial" w:cs="Arial" w:eastAsia="Arial" w:hAnsi="Arial"/>
                <w:sz w:val="18"/>
                <w:szCs w:val="18"/>
                <w:color w:val="auto"/>
              </w:rPr>
              <w:t>Director</w:t>
            </w:r>
          </w:p>
        </w:tc>
        <w:tc>
          <w:tcPr>
            <w:tcW w:w="4700" w:type="dxa"/>
            <w:vAlign w:val="bottom"/>
          </w:tcPr>
          <w:p>
            <w:pPr>
              <w:ind w:left="3520"/>
              <w:spacing w:after="0"/>
              <w:rPr>
                <w:sz w:val="20"/>
                <w:szCs w:val="20"/>
                <w:color w:val="auto"/>
              </w:rPr>
            </w:pPr>
            <w:r>
              <w:rPr>
                <w:rFonts w:ascii="Arial" w:cs="Arial" w:eastAsia="Arial" w:hAnsi="Arial"/>
                <w:sz w:val="18"/>
                <w:szCs w:val="18"/>
                <w:color w:val="auto"/>
                <w:w w:val="88"/>
              </w:rPr>
              <w:t>August 12, 2004</w:t>
            </w:r>
          </w:p>
        </w:tc>
      </w:tr>
      <w:tr>
        <w:trPr>
          <w:trHeight w:val="110"/>
        </w:trPr>
        <w:tc>
          <w:tcPr>
            <w:tcW w:w="44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700" w:type="dxa"/>
            <w:vAlign w:val="bottom"/>
          </w:tcPr>
          <w:p>
            <w:pPr>
              <w:spacing w:after="0"/>
              <w:rPr>
                <w:sz w:val="9"/>
                <w:szCs w:val="9"/>
                <w:color w:val="auto"/>
              </w:rPr>
            </w:pPr>
          </w:p>
        </w:tc>
      </w:tr>
      <w:tr>
        <w:trPr>
          <w:trHeight w:val="316"/>
        </w:trPr>
        <w:tc>
          <w:tcPr>
            <w:tcW w:w="4460" w:type="dxa"/>
            <w:vAlign w:val="bottom"/>
          </w:tcPr>
          <w:p>
            <w:pPr>
              <w:spacing w:after="0"/>
              <w:rPr>
                <w:sz w:val="20"/>
                <w:szCs w:val="20"/>
                <w:color w:val="auto"/>
              </w:rPr>
            </w:pPr>
            <w:r>
              <w:rPr>
                <w:rFonts w:ascii="Arial" w:cs="Arial" w:eastAsia="Arial" w:hAnsi="Arial"/>
                <w:sz w:val="18"/>
                <w:szCs w:val="18"/>
                <w:color w:val="auto"/>
              </w:rPr>
              <w:t>Kenneth J. Bacon</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446"/>
        </w:trPr>
        <w:tc>
          <w:tcPr>
            <w:tcW w:w="4460" w:type="dxa"/>
            <w:vAlign w:val="bottom"/>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Arial" w:cs="Arial" w:eastAsia="Arial" w:hAnsi="Arial"/>
                <w:sz w:val="18"/>
                <w:szCs w:val="18"/>
                <w:color w:val="auto"/>
              </w:rPr>
              <w:t>Director</w:t>
            </w:r>
          </w:p>
        </w:tc>
        <w:tc>
          <w:tcPr>
            <w:tcW w:w="4700" w:type="dxa"/>
            <w:vAlign w:val="bottom"/>
          </w:tcPr>
          <w:p>
            <w:pPr>
              <w:ind w:left="3520"/>
              <w:spacing w:after="0"/>
              <w:rPr>
                <w:sz w:val="20"/>
                <w:szCs w:val="20"/>
                <w:color w:val="auto"/>
              </w:rPr>
            </w:pPr>
            <w:r>
              <w:rPr>
                <w:rFonts w:ascii="Arial" w:cs="Arial" w:eastAsia="Arial" w:hAnsi="Arial"/>
                <w:sz w:val="18"/>
                <w:szCs w:val="18"/>
                <w:color w:val="auto"/>
                <w:w w:val="88"/>
              </w:rPr>
              <w:t>August 12, 2004</w:t>
            </w:r>
          </w:p>
        </w:tc>
      </w:tr>
      <w:tr>
        <w:trPr>
          <w:trHeight w:val="110"/>
        </w:trPr>
        <w:tc>
          <w:tcPr>
            <w:tcW w:w="44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700" w:type="dxa"/>
            <w:vAlign w:val="bottom"/>
          </w:tcPr>
          <w:p>
            <w:pPr>
              <w:spacing w:after="0"/>
              <w:rPr>
                <w:sz w:val="9"/>
                <w:szCs w:val="9"/>
                <w:color w:val="auto"/>
              </w:rPr>
            </w:pPr>
          </w:p>
        </w:tc>
      </w:tr>
      <w:tr>
        <w:trPr>
          <w:trHeight w:val="316"/>
        </w:trPr>
        <w:tc>
          <w:tcPr>
            <w:tcW w:w="4460" w:type="dxa"/>
            <w:vAlign w:val="bottom"/>
          </w:tcPr>
          <w:p>
            <w:pPr>
              <w:spacing w:after="0"/>
              <w:rPr>
                <w:sz w:val="20"/>
                <w:szCs w:val="20"/>
                <w:color w:val="auto"/>
              </w:rPr>
            </w:pPr>
            <w:r>
              <w:rPr>
                <w:rFonts w:ascii="Arial" w:cs="Arial" w:eastAsia="Arial" w:hAnsi="Arial"/>
                <w:sz w:val="18"/>
                <w:szCs w:val="18"/>
                <w:color w:val="auto"/>
              </w:rPr>
              <w:t>Sheldon M. Bonovitz</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446"/>
        </w:trPr>
        <w:tc>
          <w:tcPr>
            <w:tcW w:w="4460" w:type="dxa"/>
            <w:vAlign w:val="bottom"/>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Arial" w:cs="Arial" w:eastAsia="Arial" w:hAnsi="Arial"/>
                <w:sz w:val="18"/>
                <w:szCs w:val="18"/>
                <w:color w:val="auto"/>
              </w:rPr>
              <w:t>Director</w:t>
            </w:r>
          </w:p>
        </w:tc>
        <w:tc>
          <w:tcPr>
            <w:tcW w:w="4700" w:type="dxa"/>
            <w:vAlign w:val="bottom"/>
          </w:tcPr>
          <w:p>
            <w:pPr>
              <w:ind w:left="3520"/>
              <w:spacing w:after="0"/>
              <w:rPr>
                <w:sz w:val="20"/>
                <w:szCs w:val="20"/>
                <w:color w:val="auto"/>
              </w:rPr>
            </w:pPr>
            <w:r>
              <w:rPr>
                <w:rFonts w:ascii="Arial" w:cs="Arial" w:eastAsia="Arial" w:hAnsi="Arial"/>
                <w:sz w:val="18"/>
                <w:szCs w:val="18"/>
                <w:color w:val="auto"/>
                <w:w w:val="88"/>
              </w:rPr>
              <w:t>August 12, 2004</w:t>
            </w:r>
          </w:p>
        </w:tc>
      </w:tr>
      <w:tr>
        <w:trPr>
          <w:trHeight w:val="110"/>
        </w:trPr>
        <w:tc>
          <w:tcPr>
            <w:tcW w:w="44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700" w:type="dxa"/>
            <w:vAlign w:val="bottom"/>
          </w:tcPr>
          <w:p>
            <w:pPr>
              <w:spacing w:after="0"/>
              <w:rPr>
                <w:sz w:val="9"/>
                <w:szCs w:val="9"/>
                <w:color w:val="auto"/>
              </w:rPr>
            </w:pPr>
          </w:p>
        </w:tc>
      </w:tr>
      <w:tr>
        <w:trPr>
          <w:trHeight w:val="316"/>
        </w:trPr>
        <w:tc>
          <w:tcPr>
            <w:tcW w:w="4460" w:type="dxa"/>
            <w:vAlign w:val="bottom"/>
          </w:tcPr>
          <w:p>
            <w:pPr>
              <w:spacing w:after="0"/>
              <w:rPr>
                <w:sz w:val="20"/>
                <w:szCs w:val="20"/>
                <w:color w:val="auto"/>
              </w:rPr>
            </w:pPr>
            <w:r>
              <w:rPr>
                <w:rFonts w:ascii="Arial" w:cs="Arial" w:eastAsia="Arial" w:hAnsi="Arial"/>
                <w:sz w:val="18"/>
                <w:szCs w:val="18"/>
                <w:color w:val="auto"/>
              </w:rPr>
              <w:t>Julian A. Brodsky</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446"/>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Arial" w:cs="Arial" w:eastAsia="Arial" w:hAnsi="Arial"/>
                <w:sz w:val="18"/>
                <w:szCs w:val="18"/>
                <w:color w:val="auto"/>
              </w:rPr>
              <w:t>Director</w:t>
            </w:r>
          </w:p>
        </w:tc>
        <w:tc>
          <w:tcPr>
            <w:tcW w:w="4700" w:type="dxa"/>
            <w:vAlign w:val="bottom"/>
          </w:tcPr>
          <w:p>
            <w:pPr>
              <w:spacing w:after="0"/>
              <w:rPr>
                <w:sz w:val="24"/>
                <w:szCs w:val="24"/>
                <w:color w:val="auto"/>
              </w:rPr>
            </w:pPr>
          </w:p>
        </w:tc>
      </w:tr>
      <w:tr>
        <w:trPr>
          <w:trHeight w:val="43"/>
        </w:trPr>
        <w:tc>
          <w:tcPr>
            <w:tcW w:w="44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4700" w:type="dxa"/>
            <w:vAlign w:val="bottom"/>
          </w:tcPr>
          <w:p>
            <w:pPr>
              <w:spacing w:after="0"/>
              <w:rPr>
                <w:sz w:val="3"/>
                <w:szCs w:val="3"/>
                <w:color w:val="auto"/>
              </w:rPr>
            </w:pPr>
          </w:p>
        </w:tc>
      </w:tr>
      <w:tr>
        <w:trPr>
          <w:trHeight w:val="316"/>
        </w:trPr>
        <w:tc>
          <w:tcPr>
            <w:tcW w:w="4460" w:type="dxa"/>
            <w:vAlign w:val="bottom"/>
          </w:tcPr>
          <w:p>
            <w:pPr>
              <w:spacing w:after="0"/>
              <w:rPr>
                <w:sz w:val="20"/>
                <w:szCs w:val="20"/>
                <w:color w:val="auto"/>
              </w:rPr>
            </w:pPr>
            <w:r>
              <w:rPr>
                <w:rFonts w:ascii="Arial" w:cs="Arial" w:eastAsia="Arial" w:hAnsi="Arial"/>
                <w:sz w:val="18"/>
                <w:szCs w:val="18"/>
                <w:color w:val="auto"/>
              </w:rPr>
              <w:t>Joseph L. Castle, II</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446"/>
        </w:trPr>
        <w:tc>
          <w:tcPr>
            <w:tcW w:w="4460" w:type="dxa"/>
            <w:vAlign w:val="bottom"/>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Arial" w:cs="Arial" w:eastAsia="Arial" w:hAnsi="Arial"/>
                <w:sz w:val="18"/>
                <w:szCs w:val="18"/>
                <w:color w:val="auto"/>
              </w:rPr>
              <w:t>Director</w:t>
            </w:r>
          </w:p>
        </w:tc>
        <w:tc>
          <w:tcPr>
            <w:tcW w:w="4700" w:type="dxa"/>
            <w:vAlign w:val="bottom"/>
          </w:tcPr>
          <w:p>
            <w:pPr>
              <w:ind w:left="3520"/>
              <w:spacing w:after="0"/>
              <w:rPr>
                <w:sz w:val="20"/>
                <w:szCs w:val="20"/>
                <w:color w:val="auto"/>
              </w:rPr>
            </w:pPr>
            <w:r>
              <w:rPr>
                <w:rFonts w:ascii="Arial" w:cs="Arial" w:eastAsia="Arial" w:hAnsi="Arial"/>
                <w:sz w:val="18"/>
                <w:szCs w:val="18"/>
                <w:color w:val="auto"/>
                <w:w w:val="88"/>
              </w:rPr>
              <w:t>August 12, 2004</w:t>
            </w:r>
          </w:p>
        </w:tc>
      </w:tr>
      <w:tr>
        <w:trPr>
          <w:trHeight w:val="110"/>
        </w:trPr>
        <w:tc>
          <w:tcPr>
            <w:tcW w:w="44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700" w:type="dxa"/>
            <w:vAlign w:val="bottom"/>
          </w:tcPr>
          <w:p>
            <w:pPr>
              <w:spacing w:after="0"/>
              <w:rPr>
                <w:sz w:val="9"/>
                <w:szCs w:val="9"/>
                <w:color w:val="auto"/>
              </w:rPr>
            </w:pPr>
          </w:p>
        </w:tc>
      </w:tr>
      <w:tr>
        <w:trPr>
          <w:trHeight w:val="316"/>
        </w:trPr>
        <w:tc>
          <w:tcPr>
            <w:tcW w:w="4460" w:type="dxa"/>
            <w:vAlign w:val="bottom"/>
          </w:tcPr>
          <w:p>
            <w:pPr>
              <w:spacing w:after="0"/>
              <w:rPr>
                <w:sz w:val="20"/>
                <w:szCs w:val="20"/>
                <w:color w:val="auto"/>
              </w:rPr>
            </w:pPr>
            <w:r>
              <w:rPr>
                <w:rFonts w:ascii="Arial" w:cs="Arial" w:eastAsia="Arial" w:hAnsi="Arial"/>
                <w:sz w:val="18"/>
                <w:szCs w:val="18"/>
                <w:color w:val="auto"/>
              </w:rPr>
              <w:t>J. Michael Cook</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446"/>
        </w:trPr>
        <w:tc>
          <w:tcPr>
            <w:tcW w:w="4460" w:type="dxa"/>
            <w:vAlign w:val="bottom"/>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Arial" w:cs="Arial" w:eastAsia="Arial" w:hAnsi="Arial"/>
                <w:sz w:val="18"/>
                <w:szCs w:val="18"/>
                <w:color w:val="auto"/>
              </w:rPr>
              <w:t>Director</w:t>
            </w:r>
          </w:p>
        </w:tc>
        <w:tc>
          <w:tcPr>
            <w:tcW w:w="4700" w:type="dxa"/>
            <w:vAlign w:val="bottom"/>
          </w:tcPr>
          <w:p>
            <w:pPr>
              <w:ind w:left="3520"/>
              <w:spacing w:after="0"/>
              <w:rPr>
                <w:sz w:val="20"/>
                <w:szCs w:val="20"/>
                <w:color w:val="auto"/>
              </w:rPr>
            </w:pPr>
            <w:r>
              <w:rPr>
                <w:rFonts w:ascii="Arial" w:cs="Arial" w:eastAsia="Arial" w:hAnsi="Arial"/>
                <w:sz w:val="18"/>
                <w:szCs w:val="18"/>
                <w:color w:val="auto"/>
                <w:w w:val="88"/>
              </w:rPr>
              <w:t>August 12, 2004</w:t>
            </w:r>
          </w:p>
        </w:tc>
      </w:tr>
      <w:tr>
        <w:trPr>
          <w:trHeight w:val="110"/>
        </w:trPr>
        <w:tc>
          <w:tcPr>
            <w:tcW w:w="44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700" w:type="dxa"/>
            <w:vAlign w:val="bottom"/>
          </w:tcPr>
          <w:p>
            <w:pPr>
              <w:spacing w:after="0"/>
              <w:rPr>
                <w:sz w:val="9"/>
                <w:szCs w:val="9"/>
                <w:color w:val="auto"/>
              </w:rPr>
            </w:pPr>
          </w:p>
        </w:tc>
      </w:tr>
      <w:tr>
        <w:trPr>
          <w:trHeight w:val="316"/>
        </w:trPr>
        <w:tc>
          <w:tcPr>
            <w:tcW w:w="4460" w:type="dxa"/>
            <w:vAlign w:val="bottom"/>
          </w:tcPr>
          <w:p>
            <w:pPr>
              <w:spacing w:after="0"/>
              <w:rPr>
                <w:sz w:val="20"/>
                <w:szCs w:val="20"/>
                <w:color w:val="auto"/>
              </w:rPr>
            </w:pPr>
            <w:r>
              <w:rPr>
                <w:rFonts w:ascii="Arial" w:cs="Arial" w:eastAsia="Arial" w:hAnsi="Arial"/>
                <w:sz w:val="18"/>
                <w:szCs w:val="18"/>
                <w:color w:val="auto"/>
              </w:rPr>
              <w:t>Dr. Judith Rodin</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446"/>
        </w:trPr>
        <w:tc>
          <w:tcPr>
            <w:tcW w:w="4460" w:type="dxa"/>
            <w:vAlign w:val="bottom"/>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20" w:type="dxa"/>
            <w:vAlign w:val="bottom"/>
          </w:tcPr>
          <w:p>
            <w:pPr>
              <w:ind w:left="240"/>
              <w:spacing w:after="0"/>
              <w:rPr>
                <w:sz w:val="20"/>
                <w:szCs w:val="20"/>
                <w:color w:val="auto"/>
              </w:rPr>
            </w:pPr>
            <w:r>
              <w:rPr>
                <w:rFonts w:ascii="Arial" w:cs="Arial" w:eastAsia="Arial" w:hAnsi="Arial"/>
                <w:sz w:val="18"/>
                <w:szCs w:val="18"/>
                <w:color w:val="auto"/>
              </w:rPr>
              <w:t>Director</w:t>
            </w:r>
          </w:p>
        </w:tc>
        <w:tc>
          <w:tcPr>
            <w:tcW w:w="4700" w:type="dxa"/>
            <w:vAlign w:val="bottom"/>
          </w:tcPr>
          <w:p>
            <w:pPr>
              <w:ind w:left="3520"/>
              <w:spacing w:after="0"/>
              <w:rPr>
                <w:sz w:val="20"/>
                <w:szCs w:val="20"/>
                <w:color w:val="auto"/>
              </w:rPr>
            </w:pPr>
            <w:r>
              <w:rPr>
                <w:rFonts w:ascii="Arial" w:cs="Arial" w:eastAsia="Arial" w:hAnsi="Arial"/>
                <w:sz w:val="18"/>
                <w:szCs w:val="18"/>
                <w:color w:val="auto"/>
                <w:w w:val="88"/>
              </w:rPr>
              <w:t>August 12, 2004</w:t>
            </w:r>
          </w:p>
        </w:tc>
      </w:tr>
      <w:tr>
        <w:trPr>
          <w:trHeight w:val="110"/>
        </w:trPr>
        <w:tc>
          <w:tcPr>
            <w:tcW w:w="44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700" w:type="dxa"/>
            <w:vAlign w:val="bottom"/>
          </w:tcPr>
          <w:p>
            <w:pPr>
              <w:spacing w:after="0"/>
              <w:rPr>
                <w:sz w:val="9"/>
                <w:szCs w:val="9"/>
                <w:color w:val="auto"/>
              </w:rPr>
            </w:pPr>
          </w:p>
        </w:tc>
      </w:tr>
      <w:tr>
        <w:trPr>
          <w:trHeight w:val="316"/>
        </w:trPr>
        <w:tc>
          <w:tcPr>
            <w:tcW w:w="4460" w:type="dxa"/>
            <w:vAlign w:val="bottom"/>
          </w:tcPr>
          <w:p>
            <w:pPr>
              <w:spacing w:after="0"/>
              <w:rPr>
                <w:sz w:val="20"/>
                <w:szCs w:val="20"/>
                <w:color w:val="auto"/>
              </w:rPr>
            </w:pPr>
            <w:r>
              <w:rPr>
                <w:rFonts w:ascii="Arial" w:cs="Arial" w:eastAsia="Arial" w:hAnsi="Arial"/>
                <w:sz w:val="18"/>
                <w:szCs w:val="18"/>
                <w:color w:val="auto"/>
              </w:rPr>
              <w:t>Michael I. Sovern</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78"/>
        </w:trPr>
        <w:tc>
          <w:tcPr>
            <w:tcW w:w="4460" w:type="dxa"/>
            <w:vAlign w:val="bottom"/>
          </w:tcPr>
          <w:p>
            <w:pPr>
              <w:spacing w:after="0"/>
              <w:rPr>
                <w:sz w:val="20"/>
                <w:szCs w:val="20"/>
                <w:color w:val="auto"/>
              </w:rPr>
            </w:pPr>
            <w:r>
              <w:rPr>
                <w:rFonts w:ascii="Arial" w:cs="Arial" w:eastAsia="Arial" w:hAnsi="Arial"/>
                <w:sz w:val="18"/>
                <w:szCs w:val="18"/>
                <w:color w:val="auto"/>
              </w:rPr>
              <w:t>* By:</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432"/>
        </w:trPr>
        <w:tc>
          <w:tcPr>
            <w:tcW w:w="4460" w:type="dxa"/>
            <w:vAlign w:val="bottom"/>
          </w:tcPr>
          <w:p>
            <w:pPr>
              <w:ind w:left="580"/>
              <w:spacing w:after="0"/>
              <w:rPr>
                <w:sz w:val="20"/>
                <w:szCs w:val="20"/>
                <w:color w:val="auto"/>
              </w:rPr>
            </w:pPr>
            <w:r>
              <w:rPr>
                <w:rFonts w:ascii="Arial" w:cs="Arial" w:eastAsia="Arial" w:hAnsi="Arial"/>
                <w:sz w:val="18"/>
                <w:szCs w:val="18"/>
                <w:color w:val="auto"/>
              </w:rPr>
              <w:t>/s/ Arthur R. Block</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110"/>
        </w:trPr>
        <w:tc>
          <w:tcPr>
            <w:tcW w:w="44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4700" w:type="dxa"/>
            <w:vAlign w:val="bottom"/>
          </w:tcPr>
          <w:p>
            <w:pPr>
              <w:spacing w:after="0"/>
              <w:rPr>
                <w:sz w:val="9"/>
                <w:szCs w:val="9"/>
                <w:color w:val="auto"/>
              </w:rPr>
            </w:pPr>
          </w:p>
        </w:tc>
      </w:tr>
      <w:tr>
        <w:trPr>
          <w:trHeight w:val="316"/>
        </w:trPr>
        <w:tc>
          <w:tcPr>
            <w:tcW w:w="4460" w:type="dxa"/>
            <w:vAlign w:val="bottom"/>
          </w:tcPr>
          <w:p>
            <w:pPr>
              <w:spacing w:after="0"/>
              <w:rPr>
                <w:sz w:val="20"/>
                <w:szCs w:val="20"/>
                <w:color w:val="auto"/>
              </w:rPr>
            </w:pPr>
            <w:r>
              <w:rPr>
                <w:rFonts w:ascii="Arial" w:cs="Arial" w:eastAsia="Arial" w:hAnsi="Arial"/>
                <w:sz w:val="18"/>
                <w:szCs w:val="18"/>
                <w:color w:val="auto"/>
              </w:rPr>
              <w:t>Arthur R. Block (as Attorney-in-Fact)</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365"/>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700" w:type="dxa"/>
            <w:vAlign w:val="bottom"/>
          </w:tcPr>
          <w:p>
            <w:pPr>
              <w:ind w:left="12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0219"/>
          </w:cols>
          <w:pgMar w:left="240" w:top="275" w:right="1440" w:bottom="1440" w:gutter="0" w:footer="0" w:header="0"/>
        </w:sectPr>
      </w:pPr>
    </w:p>
    <w:bookmarkStart w:id="4" w:name="page5"/>
    <w:bookmarkEnd w:id="4"/>
    <w:p>
      <w:pPr>
        <w:ind w:firstLine="456"/>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401(k) Plans</w:t>
      </w:r>
      <w:r>
        <w:rPr>
          <w:rFonts w:ascii="Arial" w:cs="Arial" w:eastAsia="Arial" w:hAnsi="Arial"/>
          <w:sz w:val="18"/>
          <w:szCs w:val="18"/>
          <w:color w:val="auto"/>
        </w:rPr>
        <w:t>. Pursuant to the requirements of the Securities Act, the Administrators of the Comcast Corporation Retirement-Investment Plan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Comcast-Spectacor 401(k) Plan have duly caused this Post-Effective Amendment No. 2 to be signed on its behalf by the undersigned, thereunto duly authorized, in the City of Philadelphia, Pennsylvania, on August 12, 2004.</w:t>
      </w:r>
    </w:p>
    <w:p>
      <w:pPr>
        <w:spacing w:after="0" w:line="1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COMCAST CORPORATION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RETIREMENT-INVESTMENT PLAN</w:t>
      </w:r>
    </w:p>
    <w:p>
      <w:pPr>
        <w:spacing w:after="0" w:line="124"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Comcast Corporation Plan Administrator</w:t>
      </w:r>
    </w:p>
    <w:p>
      <w:pPr>
        <w:spacing w:after="0" w:line="225"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80010</wp:posOffset>
            </wp:positionV>
            <wp:extent cx="26327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Lawrence J. Salva</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COMCAST-SPECTACOR 401(K) PLAN</w:t>
      </w:r>
    </w:p>
    <w:p>
      <w:pPr>
        <w:spacing w:after="0" w:line="117"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Comcast-Spectacor, L.P.</w:t>
      </w:r>
    </w:p>
    <w:p>
      <w:pPr>
        <w:spacing w:after="0" w:line="117"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Bryn Mawr Realty, General Partner of</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Comcast-Spectacor, L.P.</w:t>
      </w:r>
    </w:p>
    <w:p>
      <w:pPr>
        <w:spacing w:after="0" w:line="232"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Sanford Lipstein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80010</wp:posOffset>
            </wp:positionV>
            <wp:extent cx="26327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1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Sanford Lipstein</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00"/>
          </w:cols>
          <w:pgMar w:left="240" w:top="274" w:right="3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8"/>
        </w:trPr>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0" w:type="dxa"/>
            <w:vAlign w:val="bottom"/>
          </w:tcPr>
          <w:p>
            <w:pPr>
              <w:jc w:val="center"/>
              <w:ind w:left="2252"/>
              <w:spacing w:after="0"/>
              <w:rPr>
                <w:sz w:val="20"/>
                <w:szCs w:val="20"/>
                <w:color w:val="auto"/>
              </w:rPr>
            </w:pPr>
            <w:r>
              <w:rPr>
                <w:rFonts w:ascii="Arial" w:cs="Arial" w:eastAsia="Arial" w:hAnsi="Arial"/>
                <w:sz w:val="18"/>
                <w:szCs w:val="18"/>
                <w:b w:val="1"/>
                <w:bCs w:val="1"/>
                <w:color w:val="auto"/>
                <w:w w:val="97"/>
              </w:rPr>
              <w:t>COMCAST CORPORATION</w:t>
            </w:r>
          </w:p>
        </w:tc>
      </w:tr>
      <w:tr>
        <w:trPr>
          <w:trHeight w:val="365"/>
        </w:trPr>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0" w:type="dxa"/>
            <w:vAlign w:val="bottom"/>
          </w:tcPr>
          <w:p>
            <w:pPr>
              <w:jc w:val="center"/>
              <w:ind w:left="2272"/>
              <w:spacing w:after="0"/>
              <w:rPr>
                <w:sz w:val="20"/>
                <w:szCs w:val="20"/>
                <w:color w:val="auto"/>
              </w:rPr>
            </w:pPr>
            <w:r>
              <w:rPr>
                <w:rFonts w:ascii="Arial" w:cs="Arial" w:eastAsia="Arial" w:hAnsi="Arial"/>
                <w:sz w:val="18"/>
                <w:szCs w:val="18"/>
                <w:b w:val="1"/>
                <w:bCs w:val="1"/>
                <w:color w:val="auto"/>
              </w:rPr>
              <w:t>INDEX TO EXHIBITS</w:t>
            </w:r>
          </w:p>
        </w:tc>
      </w:tr>
      <w:tr>
        <w:trPr>
          <w:trHeight w:val="286"/>
        </w:trPr>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76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174"/>
        </w:trPr>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5360" w:type="dxa"/>
            <w:vAlign w:val="bottom"/>
            <w:gridSpan w:val="2"/>
          </w:tcPr>
          <w:p>
            <w:pPr>
              <w:spacing w:after="0"/>
              <w:rPr>
                <w:sz w:val="20"/>
                <w:szCs w:val="20"/>
                <w:color w:val="auto"/>
              </w:rPr>
            </w:pPr>
            <w:r>
              <w:rPr>
                <w:rFonts w:ascii="Arial" w:cs="Arial" w:eastAsia="Arial" w:hAnsi="Arial"/>
                <w:sz w:val="14"/>
                <w:szCs w:val="14"/>
                <w:b w:val="1"/>
                <w:bCs w:val="1"/>
                <w:color w:val="auto"/>
              </w:rPr>
              <w:t>Document</w:t>
            </w:r>
          </w:p>
        </w:tc>
      </w:tr>
      <w:tr>
        <w:trPr>
          <w:trHeight w:val="95"/>
        </w:trPr>
        <w:tc>
          <w:tcPr>
            <w:tcW w:w="6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600" w:type="dxa"/>
            <w:vAlign w:val="bottom"/>
          </w:tcPr>
          <w:p>
            <w:pPr>
              <w:spacing w:after="0"/>
              <w:rPr>
                <w:sz w:val="8"/>
                <w:szCs w:val="8"/>
                <w:color w:val="auto"/>
              </w:rPr>
            </w:pPr>
          </w:p>
        </w:tc>
      </w:tr>
      <w:tr>
        <w:trPr>
          <w:trHeight w:val="316"/>
        </w:trPr>
        <w:tc>
          <w:tcPr>
            <w:tcW w:w="600" w:type="dxa"/>
            <w:vAlign w:val="bottom"/>
          </w:tcPr>
          <w:p>
            <w:pPr>
              <w:jc w:val="right"/>
              <w:spacing w:after="0"/>
              <w:rPr>
                <w:sz w:val="20"/>
                <w:szCs w:val="20"/>
                <w:color w:val="auto"/>
              </w:rPr>
            </w:pPr>
            <w:r>
              <w:rPr>
                <w:rFonts w:ascii="Arial" w:cs="Arial" w:eastAsia="Arial" w:hAnsi="Arial"/>
                <w:sz w:val="18"/>
                <w:szCs w:val="18"/>
                <w:color w:val="auto"/>
              </w:rPr>
              <w:t>5.2</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Opinion of Pepper Hamilton LLP.*</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23.1</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Consent of Deloitte &amp; Touche LLP.</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23.2</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Consent of Deloitte &amp; Touche LLP.</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23.3</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Consent of Grant Thornton LLP.</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23.4</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Consent of Pepper Hamilton LLP (included in Exhibit 5.2 hereto).*</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24.1</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Power of Attorney (included on signature page).*</w:t>
            </w:r>
          </w:p>
        </w:tc>
      </w:tr>
      <w:tr>
        <w:trPr>
          <w:trHeight w:val="110"/>
        </w:trPr>
        <w:tc>
          <w:tcPr>
            <w:tcW w:w="1180" w:type="dxa"/>
            <w:vAlign w:val="bottom"/>
            <w:tcBorders>
              <w:bottom w:val="single" w:sz="8" w:color="auto"/>
            </w:tcBorders>
            <w:gridSpan w:val="2"/>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600" w:type="dxa"/>
            <w:vAlign w:val="bottom"/>
          </w:tcPr>
          <w:p>
            <w:pPr>
              <w:spacing w:after="0"/>
              <w:rPr>
                <w:sz w:val="9"/>
                <w:szCs w:val="9"/>
                <w:color w:val="auto"/>
              </w:rPr>
            </w:pPr>
          </w:p>
        </w:tc>
      </w:tr>
      <w:tr>
        <w:trPr>
          <w:trHeight w:val="316"/>
        </w:trPr>
        <w:tc>
          <w:tcPr>
            <w:tcW w:w="1480" w:type="dxa"/>
            <w:vAlign w:val="bottom"/>
            <w:gridSpan w:val="3"/>
          </w:tcPr>
          <w:p>
            <w:pPr>
              <w:spacing w:after="0"/>
              <w:rPr>
                <w:sz w:val="20"/>
                <w:szCs w:val="20"/>
                <w:color w:val="auto"/>
              </w:rPr>
            </w:pPr>
            <w:r>
              <w:rPr>
                <w:rFonts w:ascii="Arial" w:cs="Arial" w:eastAsia="Arial" w:hAnsi="Arial"/>
                <w:sz w:val="18"/>
                <w:szCs w:val="18"/>
                <w:color w:val="auto"/>
              </w:rPr>
              <w:t>*  Previously filed.</w:t>
            </w:r>
          </w:p>
        </w:tc>
        <w:tc>
          <w:tcPr>
            <w:tcW w:w="760" w:type="dxa"/>
            <w:vAlign w:val="bottom"/>
          </w:tcPr>
          <w:p>
            <w:pPr>
              <w:spacing w:after="0"/>
              <w:rPr>
                <w:sz w:val="24"/>
                <w:szCs w:val="24"/>
                <w:color w:val="auto"/>
              </w:rPr>
            </w:pPr>
          </w:p>
        </w:tc>
        <w:tc>
          <w:tcPr>
            <w:tcW w:w="46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219"/>
          </w:cols>
          <w:pgMar w:left="2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23.1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4" w:lineRule="exact"/>
        <w:rPr>
          <w:sz w:val="20"/>
          <w:szCs w:val="20"/>
          <w:color w:val="auto"/>
        </w:rPr>
      </w:pPr>
    </w:p>
    <w:p>
      <w:pPr>
        <w:ind w:right="60" w:firstLine="913"/>
        <w:spacing w:after="0" w:line="294" w:lineRule="auto"/>
        <w:rPr>
          <w:sz w:val="20"/>
          <w:szCs w:val="20"/>
          <w:color w:val="auto"/>
        </w:rPr>
      </w:pPr>
      <w:r>
        <w:rPr>
          <w:rFonts w:ascii="Arial" w:cs="Arial" w:eastAsia="Arial" w:hAnsi="Arial"/>
          <w:sz w:val="16"/>
          <w:szCs w:val="16"/>
          <w:color w:val="auto"/>
        </w:rPr>
        <w:t>We consent to the incorporation by reference in this Post-Effective Amendment No. 2 to Registration Statement No. 333-101295 on Form S-8 of Comcast Corporation of our reports dated March 11, 2004 (which report on the financial statements expresses an unqualified opinion and includes an explanatory paragraph related to the adoption of Statement of Financial Accounting Standards No. 133, “Accounting for Derivative Instruments and Hedging Activities,” as amended, effective January 1, 2001 and Statement of Financial Accounting Standards No. 142, “Goodwill and Other Intangible Assets,” effective January 1, 2002) appearing in the Annual Report on Form 10-K of Comcast Corporation for the year ended December 31, 2003.</w:t>
      </w:r>
    </w:p>
    <w:p>
      <w:pPr>
        <w:spacing w:after="0" w:line="10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Deloitte &amp; Touche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9, 2004</w:t>
      </w:r>
    </w:p>
    <w:p>
      <w:pPr>
        <w:sectPr>
          <w:pgSz w:w="11900" w:h="16838" w:orient="portrait"/>
          <w:cols w:equalWidth="0" w:num="1">
            <w:col w:w="11420"/>
          </w:cols>
          <w:pgMar w:left="240" w:top="125"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23.2</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4"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We consent to the incorporation by reference in this Post-Effective Amendment No. 2 to Registration Statement No. 333-101295 on Form S-8 of Comcast Corporation of our report dated June 23, 2004 appearing in the Annual Report on Form 11-K of the Comcast Corporation Retirement-Investment Plan for the year ended December 31, 2003.</w:t>
      </w:r>
    </w:p>
    <w:p>
      <w:pPr>
        <w:spacing w:after="0" w:line="12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Deloitte &amp; Touche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9, 2004</w:t>
      </w:r>
    </w:p>
    <w:p>
      <w:pPr>
        <w:sectPr>
          <w:pgSz w:w="11900" w:h="16838" w:orient="portrait"/>
          <w:cols w:equalWidth="0" w:num="1">
            <w:col w:w="11420"/>
          </w:cols>
          <w:pgMar w:left="240" w:top="125"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23.3</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AUDITORS’ CONSENT</w:t>
      </w:r>
    </w:p>
    <w:p>
      <w:pPr>
        <w:spacing w:after="0" w:line="164" w:lineRule="exact"/>
        <w:rPr>
          <w:sz w:val="20"/>
          <w:szCs w:val="20"/>
          <w:color w:val="auto"/>
        </w:rPr>
      </w:pPr>
    </w:p>
    <w:p>
      <w:pPr>
        <w:ind w:right="180" w:firstLine="913"/>
        <w:spacing w:after="0" w:line="332" w:lineRule="auto"/>
        <w:rPr>
          <w:sz w:val="20"/>
          <w:szCs w:val="20"/>
          <w:color w:val="auto"/>
        </w:rPr>
      </w:pPr>
      <w:r>
        <w:rPr>
          <w:rFonts w:ascii="Arial" w:cs="Arial" w:eastAsia="Arial" w:hAnsi="Arial"/>
          <w:sz w:val="16"/>
          <w:szCs w:val="16"/>
          <w:color w:val="auto"/>
        </w:rPr>
        <w:t>We consent to the incorporation by reference in this Registration Statement of Comcast Corporation on Form S-8 of our report dated June 11, 2004 appearing in the Annual Report on Form 11-K of the Comcast-Spectacor 401(k) Plan for the year ended December 31, 2003.</w:t>
      </w:r>
    </w:p>
    <w:p>
      <w:pPr>
        <w:spacing w:after="0" w:line="7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Grant Thornton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12, 2004</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2019-12-15T06:55:25Z</dcterms:created>
  <dcterms:modified xsi:type="dcterms:W3CDTF">2019-12-15T06:55:25Z</dcterms:modified>
</cp:coreProperties>
</file>