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333-191239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July 12, 2016</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$700,000,000 1.625% NOTES DUE 2022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$1,400,000,000 2.350% NOTES DUE 2027</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3.200% NOTES DUE 2036</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$1,400,000,000 3.400% NOTES DUE 2046</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4200"/>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1.625% Notes due 2022</w:t>
      </w:r>
    </w:p>
    <w:p>
      <w:pPr>
        <w:spacing w:after="0" w:line="167"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2.350% Notes due 2027</w:t>
      </w:r>
    </w:p>
    <w:p>
      <w:pPr>
        <w:spacing w:after="0" w:line="154"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3.200% Notes due 2036</w:t>
      </w:r>
    </w:p>
    <w:p>
      <w:pPr>
        <w:spacing w:after="0" w:line="154"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3.400% Notes due 2046</w:t>
      </w:r>
    </w:p>
    <w:p>
      <w:pPr>
        <w:sectPr>
          <w:pgSz w:w="11900" w:h="16838" w:orient="portrait"/>
          <w:cols w:equalWidth="0" w:num="1">
            <w:col w:w="11420"/>
          </w:cols>
          <w:pgMar w:left="240" w:top="229" w:right="239" w:bottom="1440" w:gutter="0" w:footer="0" w:header="0"/>
          <w:type w:val="continuous"/>
        </w:sect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The Company intends to use the net proceeds from this offering, after deducting the underwriters’ discount and expenses, to fund its acquisition of DreamWorks Animation SKG, Inc., and for working capital and general corporate purposes. The DreamWorks purchase price is approximately $3.8 billion.</w:t>
      </w:r>
    </w:p>
    <w:p>
      <w:pPr>
        <w:spacing w:after="0" w:line="200" w:lineRule="exact"/>
        <w:rPr>
          <w:sz w:val="24"/>
          <w:szCs w:val="24"/>
          <w:color w:val="auto"/>
        </w:rPr>
      </w:pPr>
    </w:p>
    <w:p>
      <w:pPr>
        <w:sectPr>
          <w:pgSz w:w="11900" w:h="16838" w:orient="portrait"/>
          <w:cols w:equalWidth="0" w:num="2">
            <w:col w:w="3620" w:space="720"/>
            <w:col w:w="7080"/>
          </w:cols>
          <w:pgMar w:left="240" w:top="229" w:right="239" w:bottom="1440" w:gutter="0" w:footer="0" w:header="0"/>
          <w:type w:val="continuous"/>
        </w:sectPr>
      </w:pP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260"/>
        <w:spacing w:after="0" w:line="279" w:lineRule="auto"/>
        <w:rPr>
          <w:sz w:val="20"/>
          <w:szCs w:val="20"/>
          <w:color w:val="auto"/>
        </w:rPr>
      </w:pPr>
      <w:r>
        <w:rPr>
          <w:rFonts w:ascii="Arial" w:cs="Arial" w:eastAsia="Arial" w:hAnsi="Arial"/>
          <w:sz w:val="17"/>
          <w:szCs w:val="17"/>
          <w:color w:val="auto"/>
        </w:rPr>
        <w:t>Indenture dated as of September 18, 2013 by and among the Company,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by the First Supplemental Indenture dated as of November 17, 2015 by and among the Company, the guarantors named therein and the Trustee.</w:t>
      </w:r>
    </w:p>
    <w:p>
      <w:pPr>
        <w:sectPr>
          <w:pgSz w:w="11900" w:h="16838" w:orient="portrait"/>
          <w:cols w:equalWidth="0" w:num="2">
            <w:col w:w="3620" w:space="720"/>
            <w:col w:w="708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jc w:val="center"/>
        <w:ind w:right="3639"/>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Expected Ratings:</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Moody’s: A3; S&amp;P: A-; Fitch: A-</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3079"/>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jc w:val="center"/>
        <w:ind w:right="3059"/>
        <w:spacing w:after="0"/>
        <w:rPr>
          <w:sz w:val="20"/>
          <w:szCs w:val="20"/>
          <w:color w:val="auto"/>
        </w:rPr>
      </w:pPr>
      <w:r>
        <w:rPr>
          <w:rFonts w:ascii="Arial" w:cs="Arial" w:eastAsia="Arial" w:hAnsi="Arial"/>
          <w:sz w:val="18"/>
          <w:szCs w:val="18"/>
          <w:color w:val="auto"/>
        </w:rPr>
        <w:t>Incorporated</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BNP Paribas Securities Corp.</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Credit Suisse Securities (USA) LLC</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Allen &amp; Company LLC</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Evercore Group L.L.C.</w:t>
      </w:r>
    </w:p>
    <w:p>
      <w:pPr>
        <w:sectPr>
          <w:pgSz w:w="11900" w:h="16838" w:orient="portrait"/>
          <w:cols w:equalWidth="0" w:num="1">
            <w:col w:w="10219"/>
          </w:cols>
          <w:pgMar w:left="240" w:top="270" w:right="1440"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 King &amp; Associates,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Lebenthal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Williams Capital Group, L.P.</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July 12, 2016</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July 19, 2016 (T+5)</w:t>
      </w:r>
    </w:p>
    <w:p>
      <w:pPr>
        <w:spacing w:after="0" w:line="200" w:lineRule="exact"/>
        <w:rPr>
          <w:sz w:val="20"/>
          <w:szCs w:val="20"/>
          <w:color w:val="auto"/>
        </w:rPr>
      </w:pPr>
    </w:p>
    <w:p>
      <w:pPr>
        <w:sectPr>
          <w:pgSz w:w="11900" w:h="16838" w:orient="portrait"/>
          <w:cols w:equalWidth="0" w:num="2">
            <w:col w:w="3620" w:space="720"/>
            <w:col w:w="5879"/>
          </w:cols>
          <w:pgMar w:left="240" w:top="270" w:right="1440" w:bottom="1440" w:gutter="0" w:footer="0" w:header="0"/>
          <w:type w:val="continuous"/>
        </w:sectPr>
      </w:pPr>
    </w:p>
    <w:p>
      <w:pPr>
        <w:spacing w:after="0" w:line="3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0219"/>
          </w:cols>
          <w:pgMar w:left="240" w:top="27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1.625% Notes Due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$700,000,000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-507365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January 15, 2022</w:t>
      </w:r>
    </w:p>
    <w:p>
      <w:pPr>
        <w:spacing w:after="0" w:line="2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1.625% per annum, accruing from July 19, 2016 (calculated on the basis of a 360-day year consisting of twelve 30-day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January 15,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UST 1.125% due June 30,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100-04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4</w:t>
      </w:r>
      <w:r>
        <w:rPr>
          <w:rFonts w:ascii="Arial" w:cs="Arial" w:eastAsia="Arial" w:hAnsi="Arial"/>
          <w:sz w:val="18"/>
          <w:szCs w:val="18"/>
          <w:color w:val="auto"/>
        </w:rPr>
        <w:t xml:space="preserve"> / 1.094%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+55 bps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1.644%</w:t>
      </w:r>
    </w:p>
    <w:p>
      <w:pPr>
        <w:spacing w:after="0" w:line="2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1.625% Notes due 2022 are redeemable at the option of the Company at any time, in whole or in part, at the “Redemption Price.” Prior to December 15, 2021 (one month prior to the maturity of the 1.625% Notes due 2022) (the “Par Call Date”),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10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unlimited amount of additional 1.625% Notes due 2022 may be issued. The 1.625% Notes due 2022 and any additional 1.625% Notes due 2022 that may be issued may be treated as a single series for all purposes under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20030N BV2 / US20030NBV29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99.901% plus accrued interest, if any, from July 19,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0.250%</w:t>
      </w:r>
    </w:p>
    <w:p>
      <w:pPr>
        <w:spacing w:after="0" w:line="266"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99.651% per $1,000 principal amount of 1.625% Notes due 2022; $697,557,000 total</w:t>
      </w:r>
    </w:p>
    <w:p>
      <w:pPr>
        <w:sectPr>
          <w:pgSz w:w="11900" w:h="16838" w:orient="portrait"/>
          <w:cols w:equalWidth="0" w:num="2">
            <w:col w:w="3620" w:space="720"/>
            <w:col w:w="708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2.350% Notes Due 2027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-507365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January 15, 2027</w:t>
      </w:r>
    </w:p>
    <w:p>
      <w:pPr>
        <w:spacing w:after="0" w:line="2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2.350% per annum, accruing from July 19, 2016 (calculated on the basis of a 360-day year consisting of twelve 30-day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January 15,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UST 1.625% due May 15, 2026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101-00+ / 1.513%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+85 bps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2.363%</w:t>
      </w:r>
    </w:p>
    <w:p>
      <w:pPr>
        <w:spacing w:after="0" w:line="2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2.350% Notes due 2027 are redeemable at the option of the Company at any time, in whole or in part, at the “Redemption Price.” Prior to October 15, 2026 (three months prior to the maturity of the 2.350% Notes due 2027) (the “Par Call Date”),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15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unlimited amount of additional 2.350% Notes due 2027 may be issued. The 2.350% Notes due 2027 and any additional 2.350% Notes due 2027 that may be issued may be treated as a single series for all purposes under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20030N BW0 / US20030NBW02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99.880% plus accrued interest, if any, from July 19,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0.450%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99.430% per $1,000 principal amount of 2.350% Notes due 2027; $1,392,020,000 total</w:t>
      </w:r>
    </w:p>
    <w:p>
      <w:pPr>
        <w:sectPr>
          <w:pgSz w:w="11900" w:h="16838" w:orient="portrait"/>
          <w:cols w:equalWidth="0" w:num="2">
            <w:col w:w="3620" w:space="720"/>
            <w:col w:w="708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3.200% Notes Due 2036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-507365</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July 15, 2036</w:t>
      </w:r>
    </w:p>
    <w:p>
      <w:pPr>
        <w:spacing w:after="0" w:line="2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3.200% per annum, accruing from July 19, 2016 (calculated on the basis of a 360-day year consisting of twelve 30-day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January 15,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UST 2.500% due February 15, 2046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105-14 / 2.247%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+100 bps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3.247%</w:t>
      </w:r>
    </w:p>
    <w:p>
      <w:pPr>
        <w:spacing w:after="0" w:line="266"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3.200% Notes due 2036 are redeemable at the option of the Company at any time, in whole or in part, at the “Redemption Price.” Prior to January 15, 2036 (six months prior to the maturity of the 3.200% Notes due 2036) (the “Par Call Date”), the Redemption Price is the greater of</w:t>
      </w:r>
    </w:p>
    <w:p>
      <w:pPr>
        <w:ind w:right="40" w:firstLine="3"/>
        <w:spacing w:after="0" w:line="269"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15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unlimited amount of additional 3.200% Notes due 2036 may be issued. The 3.200% Notes due 2036 and any additional 3.200% Notes due 2036 that may be issued may be treated as a single series for all purposes under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20030N BT7 / US20030NBT72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99.313% plus accrued interest, if any, from July 19,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0.650%</w:t>
      </w:r>
    </w:p>
    <w:p>
      <w:pPr>
        <w:spacing w:after="0" w:line="266"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98.663% per $1,000 principal amount of 3.200% Notes due 2036; $986,630,000 total</w:t>
      </w:r>
    </w:p>
    <w:p>
      <w:pPr>
        <w:sectPr>
          <w:pgSz w:w="11900" w:h="16838" w:orient="portrait"/>
          <w:cols w:equalWidth="0" w:num="2">
            <w:col w:w="3620" w:space="720"/>
            <w:col w:w="708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3.400% Notes Due 2046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 Price/Yield: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-507365</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July 15, 2046</w:t>
      </w:r>
    </w:p>
    <w:p>
      <w:pPr>
        <w:spacing w:after="0" w:line="2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3.400% per annum, accruing from July 19, 2016 (calculated on the basis of a 360-day year consisting of twelve 30-day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January 15,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UST 2.500% due February 15, 2046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105-14 / 2.247%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+120 bps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3.447%</w:t>
      </w:r>
    </w:p>
    <w:p>
      <w:pPr>
        <w:spacing w:after="0" w:line="266"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The 3.400% Notes due 2046 are redeemable at the option of the Company at any time, in whole or in part, at the “Redemption Price.” Prior to January 15, 2046 (six months prior to the maturity of the 3.400% Notes due 2046) (the “Par Call Date”), the Redemption Price is the greater of</w:t>
      </w:r>
    </w:p>
    <w:p>
      <w:pPr>
        <w:ind w:right="40" w:firstLine="3"/>
        <w:spacing w:after="0" w:line="269"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100% of the principal amount of such notes, and (ii) the sum of the present values of the principal amount of such notes and the scheduled payments of interest thereon (exclusive of interest accrued to the date of redemption) from the redemption date to the Par Call Date, in each case discounted to the redemption date on a semiannual basis at the Treasury Rate plus 20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unlimited amount of additional 3.400% Notes due 2046 may be issued. The 3.400% Notes due 2046 and any additional 3.400% Notes due 2046 that may be issued may be treated as a single series for all purposes under the indenture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20030N BU4 / US20030NBU46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99.126% plus accrued interest, if any, from July 19,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0.750%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98.376% per $1,000 principal amount of 3.400% Notes due 2046; $1,377,264,000 total</w:t>
      </w:r>
    </w:p>
    <w:p>
      <w:pPr>
        <w:sectPr>
          <w:pgSz w:w="11900" w:h="16838" w:orient="portrait"/>
          <w:cols w:equalWidth="0" w:num="2">
            <w:col w:w="3620" w:space="720"/>
            <w:col w:w="7080"/>
          </w:cols>
          <w:pgMar w:left="240" w:top="270" w:right="239" w:bottom="1440" w:gutter="0" w:footer="0" w:header="0"/>
        </w:sectPr>
      </w:pPr>
    </w:p>
    <w:bookmarkStart w:id="6" w:name="page7"/>
    <w:bookmarkEnd w:id="6"/>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July 19, 2016,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Edurardo Mestre, one of the Company’s directors, is a non-employee senior advisor to Evercore Partners, which is an affiliate of Evercore Group L.L.C., one of the underwriters.</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Alternatively, the issuer, any underwriter or any dealer participating in the offering will arrange to send you the prospectus if you request it by calling Citigroup Global Markets Inc. at (800) 831-9146, J.P. Morgan Securities LLC at (212) 834-4533 or Mizuho Securities USA Inc. at (866) 271-7403.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2019-12-07T15:10:49Z</dcterms:created>
  <dcterms:modified xsi:type="dcterms:W3CDTF">2019-12-07T15:10:49Z</dcterms:modified>
</cp:coreProperties>
</file>