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Washington, D.C. 20549</w:t>
      </w:r>
    </w:p>
    <w:p>
      <w:pPr>
        <w:spacing w:after="0" w:line="196"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SCHEDULE 13D/A</w:t>
      </w:r>
    </w:p>
    <w:p>
      <w:pPr>
        <w:spacing w:after="0" w:line="4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(Amendment No. 5)*</w:t>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ION MEDIA NETWORKS, INC.</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897255</wp:posOffset>
            </wp:positionH>
            <wp:positionV relativeFrom="paragraph">
              <wp:posOffset>-130175</wp:posOffset>
            </wp:positionV>
            <wp:extent cx="5471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897255</wp:posOffset>
            </wp:positionH>
            <wp:positionV relativeFrom="paragraph">
              <wp:posOffset>-130175</wp:posOffset>
            </wp:positionV>
            <wp:extent cx="5471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704231109</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897255</wp:posOffset>
            </wp:positionH>
            <wp:positionV relativeFrom="paragraph">
              <wp:posOffset>-130175</wp:posOffset>
            </wp:positionV>
            <wp:extent cx="5471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Elizabeth A. Newell, Assistant Secretary</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NBC Universal, Inc.</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30 Rockefeller Plaza, New York, NY 10112</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(212) 664-3307</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Address and Telephone Number of Person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897255</wp:posOffset>
            </wp:positionH>
            <wp:positionV relativeFrom="paragraph">
              <wp:posOffset>-130175</wp:posOffset>
            </wp:positionV>
            <wp:extent cx="5471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to Receive Notices and Communications)</w:t>
      </w:r>
    </w:p>
    <w:p>
      <w:pPr>
        <w:spacing w:after="0" w:line="3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March 14, 2007</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897255</wp:posOffset>
            </wp:positionH>
            <wp:positionV relativeFrom="paragraph">
              <wp:posOffset>-130175</wp:posOffset>
            </wp:positionV>
            <wp:extent cx="5471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Arial" w:cs="Arial" w:eastAsia="Arial" w:hAnsi="Arial"/>
          <w:sz w:val="21"/>
          <w:szCs w:val="21"/>
          <w:color w:val="auto"/>
        </w:rPr>
        <w:t>o</w:t>
      </w:r>
    </w:p>
    <w:p>
      <w:pPr>
        <w:spacing w:after="0" w:line="93"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 240.13d-7 for other parties to whom copies are to be sent.</w:t>
      </w:r>
    </w:p>
    <w:p>
      <w:pPr>
        <w:spacing w:after="0" w:line="105" w:lineRule="exact"/>
        <w:rPr>
          <w:sz w:val="24"/>
          <w:szCs w:val="24"/>
          <w:color w:val="auto"/>
        </w:rPr>
      </w:pPr>
    </w:p>
    <w:p>
      <w:pPr>
        <w:ind w:left="340" w:right="80"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18" w:lineRule="exact"/>
        <w:rPr>
          <w:sz w:val="24"/>
          <w:szCs w:val="24"/>
          <w:color w:val="auto"/>
        </w:rPr>
      </w:pPr>
    </w:p>
    <w:p>
      <w:pPr>
        <w:ind w:right="60"/>
        <w:spacing w:after="0" w:line="332" w:lineRule="auto"/>
        <w:rPr>
          <w:sz w:val="20"/>
          <w:szCs w:val="20"/>
          <w:color w:val="auto"/>
        </w:rPr>
      </w:pPr>
      <w:r>
        <w:rPr>
          <w:rFonts w:ascii="Arial" w:cs="Arial" w:eastAsia="Arial" w:hAnsi="Arial"/>
          <w:sz w:val="16"/>
          <w:szCs w:val="16"/>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20"/>
          </w:cols>
          <w:pgMar w:left="240" w:top="462" w:right="439" w:bottom="1440" w:gutter="0" w:footer="0" w:header="0"/>
        </w:sectPr>
      </w:pPr>
    </w:p>
    <w:bookmarkStart w:id="1" w:name="page2"/>
    <w:bookmarkEnd w:id="1"/>
    <w:p>
      <w:pPr>
        <w:ind w:right="120" w:firstLine="972"/>
        <w:spacing w:after="0" w:line="254" w:lineRule="auto"/>
        <w:rPr>
          <w:sz w:val="20"/>
          <w:szCs w:val="20"/>
          <w:color w:val="auto"/>
        </w:rPr>
      </w:pPr>
      <w:r>
        <w:rPr>
          <w:rFonts w:ascii="Arial" w:cs="Arial" w:eastAsia="Arial" w:hAnsi="Arial"/>
          <w:sz w:val="18"/>
          <w:szCs w:val="18"/>
          <w:color w:val="auto"/>
        </w:rPr>
        <w:t>This Amendment No. 5 to Schedule 13D (“</w:t>
      </w:r>
      <w:r>
        <w:rPr>
          <w:rFonts w:ascii="Arial" w:cs="Arial" w:eastAsia="Arial" w:hAnsi="Arial"/>
          <w:sz w:val="18"/>
          <w:szCs w:val="18"/>
          <w:u w:val="single" w:color="auto"/>
          <w:color w:val="auto"/>
        </w:rPr>
        <w:t>Amendment No. 5</w:t>
      </w:r>
      <w:r>
        <w:rPr>
          <w:rFonts w:ascii="Arial" w:cs="Arial" w:eastAsia="Arial" w:hAnsi="Arial"/>
          <w:sz w:val="18"/>
          <w:szCs w:val="18"/>
          <w:color w:val="auto"/>
        </w:rPr>
        <w:t>”) amends the Schedule 13D filed on September 27, 1999 (the “</w:t>
      </w:r>
      <w:r>
        <w:rPr>
          <w:rFonts w:ascii="Arial" w:cs="Arial" w:eastAsia="Arial" w:hAnsi="Arial"/>
          <w:sz w:val="18"/>
          <w:szCs w:val="18"/>
          <w:u w:val="single" w:color="auto"/>
          <w:color w:val="auto"/>
        </w:rPr>
        <w:t>Initial 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13D</w:t>
      </w:r>
      <w:r>
        <w:rPr>
          <w:rFonts w:ascii="Arial" w:cs="Arial" w:eastAsia="Arial" w:hAnsi="Arial"/>
          <w:sz w:val="18"/>
          <w:szCs w:val="18"/>
          <w:color w:val="auto"/>
        </w:rPr>
        <w:t>”), as amended by Amendment No. 1 filed on February 14, 2003, Amendment No. 2 filed on November 9, 2005, Amendment No. 3 filed on January 18, 2007, and Amendment No. 4 filed on February 23, 2007 (together with the Initial Schedule 13D, the “</w:t>
      </w:r>
      <w:r>
        <w:rPr>
          <w:rFonts w:ascii="Arial" w:cs="Arial" w:eastAsia="Arial" w:hAnsi="Arial"/>
          <w:sz w:val="18"/>
          <w:szCs w:val="18"/>
          <w:u w:val="single" w:color="auto"/>
          <w:color w:val="auto"/>
        </w:rPr>
        <w:t>Schedule 13D</w:t>
      </w:r>
      <w:r>
        <w:rPr>
          <w:rFonts w:ascii="Arial" w:cs="Arial" w:eastAsia="Arial" w:hAnsi="Arial"/>
          <w:sz w:val="18"/>
          <w:szCs w:val="18"/>
          <w:color w:val="auto"/>
        </w:rPr>
        <w:t>”), which relates to shares of Class A Common Stock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par value $0.001 per share, of ION Media Networks, Inc.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but not defined herein shall have the meanings attributed to them in the Schedule 13D. All items or responses not described herein remain as previously reported in the Schedule 13D.</w:t>
      </w:r>
    </w:p>
    <w:p>
      <w:pPr>
        <w:spacing w:after="0" w:line="2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5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Item 4 of the Schedule 13D is hereby amended and supplemented by adding the following immediately after the last paragraph thereof:</w:t>
      </w:r>
    </w:p>
    <w:p>
      <w:pPr>
        <w:spacing w:after="0" w:line="248" w:lineRule="exact"/>
        <w:rPr>
          <w:sz w:val="20"/>
          <w:szCs w:val="20"/>
          <w:color w:val="auto"/>
        </w:rPr>
      </w:pPr>
    </w:p>
    <w:p>
      <w:pPr>
        <w:ind w:right="160" w:firstLine="972"/>
        <w:spacing w:after="0" w:line="256" w:lineRule="auto"/>
        <w:rPr>
          <w:sz w:val="20"/>
          <w:szCs w:val="20"/>
          <w:color w:val="auto"/>
        </w:rPr>
      </w:pPr>
      <w:r>
        <w:rPr>
          <w:rFonts w:ascii="Arial" w:cs="Arial" w:eastAsia="Arial" w:hAnsi="Arial"/>
          <w:sz w:val="18"/>
          <w:szCs w:val="18"/>
          <w:color w:val="auto"/>
        </w:rPr>
        <w:t>“On March 14, 2007, NBCU and CIG amended (the “</w:t>
      </w:r>
      <w:r>
        <w:rPr>
          <w:rFonts w:ascii="Arial" w:cs="Arial" w:eastAsia="Arial" w:hAnsi="Arial"/>
          <w:sz w:val="18"/>
          <w:szCs w:val="18"/>
          <w:u w:val="single" w:color="auto"/>
          <w:color w:val="auto"/>
        </w:rPr>
        <w:t>Amendment</w:t>
      </w:r>
      <w:r>
        <w:rPr>
          <w:rFonts w:ascii="Arial" w:cs="Arial" w:eastAsia="Arial" w:hAnsi="Arial"/>
          <w:sz w:val="18"/>
          <w:szCs w:val="18"/>
          <w:color w:val="auto"/>
        </w:rPr>
        <w:t>”) the Letter of Intent to eliminate NBCU’s right to terminate the Exclusivity Period with respect to NBCU and its representatives in the event the Board does not approve the Proposed Transaction by March 31, 2007. As a result of the Amendment, the exclusivity provisions of the Letter of Intent apply to both NBCU and CIG until May 7, 2007. The Amendment is attached hereto as Exhibit 24 and incorporated herein by reference.</w:t>
      </w:r>
    </w:p>
    <w:p>
      <w:pPr>
        <w:spacing w:after="0" w:line="197" w:lineRule="exact"/>
        <w:rPr>
          <w:sz w:val="20"/>
          <w:szCs w:val="20"/>
          <w:color w:val="auto"/>
        </w:rPr>
      </w:pPr>
    </w:p>
    <w:p>
      <w:pPr>
        <w:ind w:right="60" w:firstLine="972"/>
        <w:spacing w:after="0" w:line="332" w:lineRule="auto"/>
        <w:rPr>
          <w:sz w:val="20"/>
          <w:szCs w:val="20"/>
          <w:color w:val="auto"/>
        </w:rPr>
      </w:pPr>
      <w:r>
        <w:rPr>
          <w:rFonts w:ascii="Arial" w:cs="Arial" w:eastAsia="Arial" w:hAnsi="Arial"/>
          <w:sz w:val="16"/>
          <w:szCs w:val="16"/>
          <w:color w:val="auto"/>
        </w:rPr>
        <w:t>Except as set forth herein, in the Schedule 13D, and in the exhibits hereto and thereto, the Reporting Persons have no present plans or proposals that would result in or relate to any of the transactions or changes listed in Items 4(a) through 4(j) of the form of Schedule 13D.”</w:t>
      </w:r>
    </w:p>
    <w:p>
      <w:pPr>
        <w:spacing w:after="0" w:line="16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Materials to be Filed as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Exhibit No.</w:t>
            </w:r>
          </w:p>
        </w:tc>
        <w:tc>
          <w:tcPr>
            <w:tcW w:w="9840" w:type="dxa"/>
            <w:vAlign w:val="bottom"/>
          </w:tcPr>
          <w:p>
            <w:pPr>
              <w:ind w:left="360"/>
              <w:spacing w:after="0"/>
              <w:rPr>
                <w:sz w:val="20"/>
                <w:szCs w:val="20"/>
                <w:color w:val="auto"/>
              </w:rPr>
            </w:pPr>
            <w:r>
              <w:rPr>
                <w:rFonts w:ascii="Arial" w:cs="Arial" w:eastAsia="Arial" w:hAnsi="Arial"/>
                <w:sz w:val="18"/>
                <w:szCs w:val="18"/>
                <w:b w:val="1"/>
                <w:bCs w:val="1"/>
                <w:color w:val="auto"/>
              </w:rPr>
              <w:t>Description</w:t>
            </w:r>
          </w:p>
        </w:tc>
      </w:tr>
      <w:tr>
        <w:trPr>
          <w:trHeight w:val="318"/>
        </w:trPr>
        <w:tc>
          <w:tcPr>
            <w:tcW w:w="1600" w:type="dxa"/>
            <w:vAlign w:val="bottom"/>
          </w:tcPr>
          <w:p>
            <w:pPr>
              <w:ind w:left="360"/>
              <w:spacing w:after="0"/>
              <w:rPr>
                <w:sz w:val="20"/>
                <w:szCs w:val="20"/>
                <w:color w:val="auto"/>
              </w:rPr>
            </w:pPr>
            <w:r>
              <w:rPr>
                <w:rFonts w:ascii="Arial" w:cs="Arial" w:eastAsia="Arial" w:hAnsi="Arial"/>
                <w:sz w:val="18"/>
                <w:szCs w:val="18"/>
                <w:color w:val="auto"/>
              </w:rPr>
              <w:t>Exhibit 24</w:t>
            </w:r>
          </w:p>
        </w:tc>
        <w:tc>
          <w:tcPr>
            <w:tcW w:w="9840" w:type="dxa"/>
            <w:vAlign w:val="bottom"/>
          </w:tcPr>
          <w:p>
            <w:pPr>
              <w:ind w:left="360"/>
              <w:spacing w:after="0"/>
              <w:rPr>
                <w:sz w:val="20"/>
                <w:szCs w:val="20"/>
                <w:color w:val="auto"/>
              </w:rPr>
            </w:pPr>
            <w:r>
              <w:rPr>
                <w:rFonts w:ascii="Arial" w:cs="Arial" w:eastAsia="Arial" w:hAnsi="Arial"/>
                <w:sz w:val="18"/>
                <w:szCs w:val="18"/>
                <w:color w:val="auto"/>
              </w:rPr>
              <w:t>Letter Amendment, dated March 14, 2007, between NBC Universal, Inc. and Citadel Limited</w:t>
            </w:r>
          </w:p>
        </w:tc>
      </w:tr>
      <w:tr>
        <w:trPr>
          <w:trHeight w:val="222"/>
        </w:trPr>
        <w:tc>
          <w:tcPr>
            <w:tcW w:w="1600" w:type="dxa"/>
            <w:vAlign w:val="bottom"/>
          </w:tcPr>
          <w:p>
            <w:pPr>
              <w:spacing w:after="0"/>
              <w:rPr>
                <w:sz w:val="19"/>
                <w:szCs w:val="19"/>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Partnership.</w:t>
            </w:r>
          </w:p>
        </w:tc>
      </w:tr>
      <w:tr>
        <w:trPr>
          <w:trHeight w:val="715"/>
        </w:trPr>
        <w:tc>
          <w:tcPr>
            <w:tcW w:w="1600" w:type="dxa"/>
            <w:vAlign w:val="bottom"/>
            <w:tcBorders>
              <w:bottom w:val="single" w:sz="8" w:color="808080"/>
            </w:tcBorders>
          </w:tcPr>
          <w:p>
            <w:pPr>
              <w:spacing w:after="0"/>
              <w:rPr>
                <w:sz w:val="24"/>
                <w:szCs w:val="24"/>
                <w:color w:val="auto"/>
              </w:rPr>
            </w:pPr>
          </w:p>
        </w:tc>
        <w:tc>
          <w:tcPr>
            <w:tcW w:w="9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correct.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GENERAL ELECTRIC COMPANY</w:t>
      </w:r>
    </w:p>
    <w:p>
      <w:pPr>
        <w:spacing w:after="0" w:line="200" w:lineRule="exact"/>
        <w:rPr>
          <w:sz w:val="20"/>
          <w:szCs w:val="20"/>
          <w:color w:val="auto"/>
        </w:rPr>
      </w:pPr>
    </w:p>
    <w:p>
      <w:pPr>
        <w:spacing w:after="0" w:line="336" w:lineRule="exact"/>
        <w:rPr>
          <w:sz w:val="20"/>
          <w:szCs w:val="20"/>
          <w:color w:val="auto"/>
        </w:rPr>
      </w:pPr>
    </w:p>
    <w:tbl>
      <w:tblPr>
        <w:tblLayout w:type="fixed"/>
        <w:tblInd w:w="5440" w:type="dxa"/>
        <w:tblCellMar>
          <w:top w:w="0" w:type="dxa"/>
          <w:left w:w="0" w:type="dxa"/>
          <w:bottom w:w="0" w:type="dxa"/>
          <w:right w:w="0" w:type="dxa"/>
        </w:tblCellMar>
      </w:tblPr>
      <w:tr>
        <w:trPr>
          <w:trHeight w:val="223"/>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Lynn A. Calpeter</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320" w:type="dxa"/>
            <w:vAlign w:val="bottom"/>
          </w:tcPr>
          <w:p>
            <w:pPr>
              <w:ind w:left="40"/>
              <w:spacing w:after="0"/>
              <w:rPr>
                <w:sz w:val="20"/>
                <w:szCs w:val="20"/>
                <w:color w:val="auto"/>
              </w:rPr>
            </w:pPr>
            <w:r>
              <w:rPr>
                <w:rFonts w:ascii="Arial" w:cs="Arial" w:eastAsia="Arial" w:hAnsi="Arial"/>
                <w:sz w:val="18"/>
                <w:szCs w:val="18"/>
                <w:color w:val="auto"/>
              </w:rPr>
              <w:t>Lynn A. Calpeter</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4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33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NATIONAL BROADCASTING COMPANY HOLDING, INC.</w:t>
      </w:r>
    </w:p>
    <w:p>
      <w:pPr>
        <w:spacing w:after="0" w:line="200" w:lineRule="exact"/>
        <w:rPr>
          <w:sz w:val="20"/>
          <w:szCs w:val="20"/>
          <w:color w:val="auto"/>
        </w:rPr>
      </w:pPr>
    </w:p>
    <w:p>
      <w:pPr>
        <w:spacing w:after="0" w:line="336" w:lineRule="exact"/>
        <w:rPr>
          <w:sz w:val="20"/>
          <w:szCs w:val="20"/>
          <w:color w:val="auto"/>
        </w:rPr>
      </w:pPr>
    </w:p>
    <w:tbl>
      <w:tblPr>
        <w:tblLayout w:type="fixed"/>
        <w:tblInd w:w="5440" w:type="dxa"/>
        <w:tblCellMar>
          <w:top w:w="0" w:type="dxa"/>
          <w:left w:w="0" w:type="dxa"/>
          <w:bottom w:w="0" w:type="dxa"/>
          <w:right w:w="0" w:type="dxa"/>
        </w:tblCellMar>
      </w:tblPr>
      <w:tr>
        <w:trPr>
          <w:trHeight w:val="223"/>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Elizabeth A. Newell</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320" w:type="dxa"/>
            <w:vAlign w:val="bottom"/>
          </w:tcPr>
          <w:p>
            <w:pPr>
              <w:ind w:left="40"/>
              <w:spacing w:after="0"/>
              <w:rPr>
                <w:sz w:val="20"/>
                <w:szCs w:val="20"/>
                <w:color w:val="auto"/>
              </w:rPr>
            </w:pPr>
            <w:r>
              <w:rPr>
                <w:rFonts w:ascii="Arial" w:cs="Arial" w:eastAsia="Arial" w:hAnsi="Arial"/>
                <w:sz w:val="18"/>
                <w:szCs w:val="18"/>
                <w:color w:val="auto"/>
              </w:rPr>
              <w:t>Elizabeth A. Newell</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40"/>
              <w:spacing w:after="0"/>
              <w:rPr>
                <w:sz w:val="20"/>
                <w:szCs w:val="20"/>
                <w:color w:val="auto"/>
              </w:rPr>
            </w:pPr>
            <w:r>
              <w:rPr>
                <w:rFonts w:ascii="Arial" w:cs="Arial" w:eastAsia="Arial" w:hAnsi="Arial"/>
                <w:sz w:val="18"/>
                <w:szCs w:val="18"/>
                <w:color w:val="auto"/>
              </w:rPr>
              <w:t>Assistant Secretary</w:t>
            </w:r>
          </w:p>
        </w:tc>
      </w:tr>
    </w:tbl>
    <w:p>
      <w:pPr>
        <w:spacing w:after="0" w:line="200" w:lineRule="exact"/>
        <w:rPr>
          <w:sz w:val="20"/>
          <w:szCs w:val="20"/>
          <w:color w:val="auto"/>
        </w:rPr>
      </w:pPr>
    </w:p>
    <w:p>
      <w:pPr>
        <w:spacing w:after="0" w:line="33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NBC UNIVERSAL, INC.</w:t>
      </w:r>
    </w:p>
    <w:p>
      <w:pPr>
        <w:spacing w:after="0" w:line="200" w:lineRule="exact"/>
        <w:rPr>
          <w:sz w:val="20"/>
          <w:szCs w:val="20"/>
          <w:color w:val="auto"/>
        </w:rPr>
      </w:pPr>
    </w:p>
    <w:p>
      <w:pPr>
        <w:spacing w:after="0" w:line="336" w:lineRule="exact"/>
        <w:rPr>
          <w:sz w:val="20"/>
          <w:szCs w:val="20"/>
          <w:color w:val="auto"/>
        </w:rPr>
      </w:pPr>
    </w:p>
    <w:tbl>
      <w:tblPr>
        <w:tblLayout w:type="fixed"/>
        <w:tblInd w:w="5440" w:type="dxa"/>
        <w:tblCellMar>
          <w:top w:w="0" w:type="dxa"/>
          <w:left w:w="0" w:type="dxa"/>
          <w:bottom w:w="0" w:type="dxa"/>
          <w:right w:w="0" w:type="dxa"/>
        </w:tblCellMar>
      </w:tblPr>
      <w:tr>
        <w:trPr>
          <w:trHeight w:val="223"/>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Elizabeth A. Newell</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320" w:type="dxa"/>
            <w:vAlign w:val="bottom"/>
          </w:tcPr>
          <w:p>
            <w:pPr>
              <w:ind w:left="40"/>
              <w:spacing w:after="0"/>
              <w:rPr>
                <w:sz w:val="20"/>
                <w:szCs w:val="20"/>
                <w:color w:val="auto"/>
              </w:rPr>
            </w:pPr>
            <w:r>
              <w:rPr>
                <w:rFonts w:ascii="Arial" w:cs="Arial" w:eastAsia="Arial" w:hAnsi="Arial"/>
                <w:sz w:val="18"/>
                <w:szCs w:val="18"/>
                <w:color w:val="auto"/>
              </w:rPr>
              <w:t>Elizabeth A. Newell</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40"/>
              <w:spacing w:after="0"/>
              <w:rPr>
                <w:sz w:val="20"/>
                <w:szCs w:val="20"/>
                <w:color w:val="auto"/>
              </w:rPr>
            </w:pPr>
            <w:r>
              <w:rPr>
                <w:rFonts w:ascii="Arial" w:cs="Arial" w:eastAsia="Arial" w:hAnsi="Arial"/>
                <w:sz w:val="18"/>
                <w:szCs w:val="18"/>
                <w:color w:val="auto"/>
              </w:rPr>
              <w:t>Assistant Secretary</w:t>
            </w:r>
          </w:p>
        </w:tc>
      </w:tr>
    </w:tbl>
    <w:p>
      <w:pPr>
        <w:spacing w:after="0" w:line="200" w:lineRule="exact"/>
        <w:rPr>
          <w:sz w:val="20"/>
          <w:szCs w:val="20"/>
          <w:color w:val="auto"/>
        </w:rPr>
      </w:pPr>
    </w:p>
    <w:p>
      <w:pPr>
        <w:spacing w:after="0" w:line="33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NBC PALM BEACH INVESTMENT I, INC.</w:t>
      </w:r>
    </w:p>
    <w:p>
      <w:pPr>
        <w:spacing w:after="0" w:line="200" w:lineRule="exact"/>
        <w:rPr>
          <w:sz w:val="20"/>
          <w:szCs w:val="20"/>
          <w:color w:val="auto"/>
        </w:rPr>
      </w:pPr>
    </w:p>
    <w:p>
      <w:pPr>
        <w:spacing w:after="0" w:line="336" w:lineRule="exact"/>
        <w:rPr>
          <w:sz w:val="20"/>
          <w:szCs w:val="20"/>
          <w:color w:val="auto"/>
        </w:rPr>
      </w:pPr>
    </w:p>
    <w:tbl>
      <w:tblPr>
        <w:tblLayout w:type="fixed"/>
        <w:tblInd w:w="5440" w:type="dxa"/>
        <w:tblCellMar>
          <w:top w:w="0" w:type="dxa"/>
          <w:left w:w="0" w:type="dxa"/>
          <w:bottom w:w="0" w:type="dxa"/>
          <w:right w:w="0" w:type="dxa"/>
        </w:tblCellMar>
      </w:tblPr>
      <w:tr>
        <w:trPr>
          <w:trHeight w:val="223"/>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Elizabeth A. Newell</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320" w:type="dxa"/>
            <w:vAlign w:val="bottom"/>
          </w:tcPr>
          <w:p>
            <w:pPr>
              <w:ind w:left="40"/>
              <w:spacing w:after="0"/>
              <w:rPr>
                <w:sz w:val="20"/>
                <w:szCs w:val="20"/>
                <w:color w:val="auto"/>
              </w:rPr>
            </w:pPr>
            <w:r>
              <w:rPr>
                <w:rFonts w:ascii="Arial" w:cs="Arial" w:eastAsia="Arial" w:hAnsi="Arial"/>
                <w:sz w:val="18"/>
                <w:szCs w:val="18"/>
                <w:color w:val="auto"/>
              </w:rPr>
              <w:t>Elizabeth A. Newell</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40"/>
              <w:spacing w:after="0"/>
              <w:rPr>
                <w:sz w:val="20"/>
                <w:szCs w:val="20"/>
                <w:color w:val="auto"/>
              </w:rPr>
            </w:pPr>
            <w:r>
              <w:rPr>
                <w:rFonts w:ascii="Arial" w:cs="Arial" w:eastAsia="Arial" w:hAnsi="Arial"/>
                <w:sz w:val="18"/>
                <w:szCs w:val="18"/>
                <w:color w:val="auto"/>
              </w:rPr>
              <w:t>Assistant Secretary</w:t>
            </w:r>
          </w:p>
        </w:tc>
      </w:tr>
    </w:tbl>
    <w:p>
      <w:pPr>
        <w:spacing w:after="0" w:line="200" w:lineRule="exact"/>
        <w:rPr>
          <w:sz w:val="20"/>
          <w:szCs w:val="20"/>
          <w:color w:val="auto"/>
        </w:rPr>
      </w:pPr>
    </w:p>
    <w:p>
      <w:pPr>
        <w:spacing w:after="0" w:line="33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NBC PALM BEACH INVESTMENT II, INC.</w:t>
      </w:r>
    </w:p>
    <w:p>
      <w:pPr>
        <w:spacing w:after="0" w:line="200" w:lineRule="exact"/>
        <w:rPr>
          <w:sz w:val="20"/>
          <w:szCs w:val="20"/>
          <w:color w:val="auto"/>
        </w:rPr>
      </w:pPr>
    </w:p>
    <w:p>
      <w:pPr>
        <w:spacing w:after="0" w:line="336" w:lineRule="exact"/>
        <w:rPr>
          <w:sz w:val="20"/>
          <w:szCs w:val="20"/>
          <w:color w:val="auto"/>
        </w:rPr>
      </w:pPr>
    </w:p>
    <w:tbl>
      <w:tblPr>
        <w:tblLayout w:type="fixed"/>
        <w:tblInd w:w="5440" w:type="dxa"/>
        <w:tblCellMar>
          <w:top w:w="0" w:type="dxa"/>
          <w:left w:w="0" w:type="dxa"/>
          <w:bottom w:w="0" w:type="dxa"/>
          <w:right w:w="0" w:type="dxa"/>
        </w:tblCellMar>
      </w:tblPr>
      <w:tr>
        <w:trPr>
          <w:trHeight w:val="223"/>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Elizabeth A. Newell</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320" w:type="dxa"/>
            <w:vAlign w:val="bottom"/>
          </w:tcPr>
          <w:p>
            <w:pPr>
              <w:ind w:left="40"/>
              <w:spacing w:after="0"/>
              <w:rPr>
                <w:sz w:val="20"/>
                <w:szCs w:val="20"/>
                <w:color w:val="auto"/>
              </w:rPr>
            </w:pPr>
            <w:r>
              <w:rPr>
                <w:rFonts w:ascii="Arial" w:cs="Arial" w:eastAsia="Arial" w:hAnsi="Arial"/>
                <w:sz w:val="18"/>
                <w:szCs w:val="18"/>
                <w:color w:val="auto"/>
              </w:rPr>
              <w:t>Elizabeth A. Newell</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40"/>
              <w:spacing w:after="0"/>
              <w:rPr>
                <w:sz w:val="20"/>
                <w:szCs w:val="20"/>
                <w:color w:val="auto"/>
              </w:rPr>
            </w:pPr>
            <w:r>
              <w:rPr>
                <w:rFonts w:ascii="Arial" w:cs="Arial" w:eastAsia="Arial" w:hAnsi="Arial"/>
                <w:sz w:val="18"/>
                <w:szCs w:val="18"/>
                <w:color w:val="auto"/>
              </w:rPr>
              <w:t>Assistant Secretary</w:t>
            </w: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Dated: March 14,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920" w:type="dxa"/>
            <w:vAlign w:val="bottom"/>
            <w:gridSpan w:val="3"/>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721"/>
        </w:trPr>
        <w:tc>
          <w:tcPr>
            <w:tcW w:w="12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3440" w:type="dxa"/>
            <w:vAlign w:val="bottom"/>
          </w:tcPr>
          <w:p>
            <w:pPr>
              <w:ind w:left="360"/>
              <w:spacing w:after="0"/>
              <w:rPr>
                <w:sz w:val="20"/>
                <w:szCs w:val="20"/>
                <w:color w:val="auto"/>
              </w:rPr>
            </w:pPr>
            <w:r>
              <w:rPr>
                <w:rFonts w:ascii="Arial" w:cs="Arial" w:eastAsia="Arial" w:hAnsi="Arial"/>
                <w:sz w:val="18"/>
                <w:szCs w:val="18"/>
                <w:b w:val="1"/>
                <w:bCs w:val="1"/>
                <w:color w:val="auto"/>
              </w:rPr>
              <w:t>Description</w:t>
            </w:r>
          </w:p>
        </w:tc>
        <w:tc>
          <w:tcPr>
            <w:tcW w:w="1360" w:type="dxa"/>
            <w:vAlign w:val="bottom"/>
            <w:tcBorders>
              <w:top w:val="single" w:sz="8" w:color="auto"/>
            </w:tcBorders>
          </w:tcPr>
          <w:p>
            <w:pPr>
              <w:spacing w:after="0"/>
              <w:rPr>
                <w:sz w:val="24"/>
                <w:szCs w:val="24"/>
                <w:color w:val="auto"/>
              </w:rPr>
            </w:pPr>
          </w:p>
        </w:tc>
        <w:tc>
          <w:tcPr>
            <w:tcW w:w="2120" w:type="dxa"/>
            <w:vAlign w:val="bottom"/>
          </w:tcPr>
          <w:p>
            <w:pPr>
              <w:spacing w:after="0"/>
              <w:rPr>
                <w:sz w:val="24"/>
                <w:szCs w:val="24"/>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Exhibit 24</w:t>
            </w:r>
          </w:p>
        </w:tc>
        <w:tc>
          <w:tcPr>
            <w:tcW w:w="6920" w:type="dxa"/>
            <w:vAlign w:val="bottom"/>
            <w:gridSpan w:val="3"/>
          </w:tcPr>
          <w:p>
            <w:pPr>
              <w:ind w:left="360"/>
              <w:spacing w:after="0"/>
              <w:rPr>
                <w:sz w:val="20"/>
                <w:szCs w:val="20"/>
                <w:color w:val="auto"/>
              </w:rPr>
            </w:pPr>
            <w:r>
              <w:rPr>
                <w:rFonts w:ascii="Arial" w:cs="Arial" w:eastAsia="Arial" w:hAnsi="Arial"/>
                <w:sz w:val="18"/>
                <w:szCs w:val="18"/>
                <w:color w:val="auto"/>
                <w:w w:val="89"/>
              </w:rPr>
              <w:t>Letter Amendment, dated March 14, 2007, between NBC Universal, Inc. and Citadel Limited</w:t>
            </w:r>
          </w:p>
        </w:tc>
      </w:tr>
      <w:tr>
        <w:trPr>
          <w:trHeight w:val="222"/>
        </w:trPr>
        <w:tc>
          <w:tcPr>
            <w:tcW w:w="1240" w:type="dxa"/>
            <w:vAlign w:val="bottom"/>
          </w:tcPr>
          <w:p>
            <w:pPr>
              <w:spacing w:after="0"/>
              <w:rPr>
                <w:sz w:val="19"/>
                <w:szCs w:val="19"/>
                <w:color w:val="auto"/>
              </w:rPr>
            </w:pPr>
          </w:p>
        </w:tc>
        <w:tc>
          <w:tcPr>
            <w:tcW w:w="6920" w:type="dxa"/>
            <w:vAlign w:val="bottom"/>
            <w:gridSpan w:val="3"/>
          </w:tcPr>
          <w:p>
            <w:pPr>
              <w:ind w:left="360"/>
              <w:spacing w:after="0"/>
              <w:rPr>
                <w:sz w:val="20"/>
                <w:szCs w:val="20"/>
                <w:color w:val="auto"/>
              </w:rPr>
            </w:pPr>
            <w:r>
              <w:rPr>
                <w:rFonts w:ascii="Arial" w:cs="Arial" w:eastAsia="Arial" w:hAnsi="Arial"/>
                <w:sz w:val="18"/>
                <w:szCs w:val="18"/>
                <w:color w:val="auto"/>
              </w:rPr>
              <w:t>Partnership.</w:t>
            </w:r>
          </w:p>
        </w:tc>
      </w:tr>
    </w:tbl>
    <w:p>
      <w:pPr>
        <w:sectPr>
          <w:pgSz w:w="11900" w:h="16838" w:orient="portrait"/>
          <w:cols w:equalWidth="0" w:num="1">
            <w:col w:w="9859"/>
          </w:cols>
          <w:pgMar w:left="600" w:top="108"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March 14,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NBC Universal,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10112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4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Reference is made to the letter of intent, dated January 17, 2007 (the “</w:t>
      </w:r>
      <w:r>
        <w:rPr>
          <w:rFonts w:ascii="Arial" w:cs="Arial" w:eastAsia="Arial" w:hAnsi="Arial"/>
          <w:sz w:val="18"/>
          <w:szCs w:val="18"/>
          <w:u w:val="single" w:color="auto"/>
          <w:color w:val="auto"/>
        </w:rPr>
        <w:t>Letter of Intent</w:t>
      </w:r>
      <w:r>
        <w:rPr>
          <w:rFonts w:ascii="Arial" w:cs="Arial" w:eastAsia="Arial" w:hAnsi="Arial"/>
          <w:sz w:val="18"/>
          <w:szCs w:val="18"/>
          <w:color w:val="auto"/>
        </w:rPr>
        <w:t>”), by and between NBC Universal, Inc. (together with its Affiliates, “</w:t>
      </w:r>
      <w:r>
        <w:rPr>
          <w:rFonts w:ascii="Arial" w:cs="Arial" w:eastAsia="Arial" w:hAnsi="Arial"/>
          <w:sz w:val="18"/>
          <w:szCs w:val="18"/>
          <w:u w:val="single" w:color="auto"/>
          <w:color w:val="auto"/>
        </w:rPr>
        <w:t>NBCU</w:t>
      </w:r>
      <w:r>
        <w:rPr>
          <w:rFonts w:ascii="Arial" w:cs="Arial" w:eastAsia="Arial" w:hAnsi="Arial"/>
          <w:sz w:val="18"/>
          <w:szCs w:val="18"/>
          <w:color w:val="auto"/>
        </w:rPr>
        <w:t>”) and Citadel Limited Partnership (together with its Affiliates, “</w:t>
      </w:r>
      <w:r>
        <w:rPr>
          <w:rFonts w:ascii="Arial" w:cs="Arial" w:eastAsia="Arial" w:hAnsi="Arial"/>
          <w:sz w:val="18"/>
          <w:szCs w:val="18"/>
          <w:u w:val="single" w:color="auto"/>
          <w:color w:val="auto"/>
        </w:rPr>
        <w:t>CLP</w:t>
      </w:r>
      <w:r>
        <w:rPr>
          <w:rFonts w:ascii="Arial" w:cs="Arial" w:eastAsia="Arial" w:hAnsi="Arial"/>
          <w:sz w:val="18"/>
          <w:szCs w:val="18"/>
          <w:color w:val="auto"/>
        </w:rPr>
        <w:t>”). All capitalized terms used by not otherwise defined herein shall have the meanings given to them in the Letter of Intent.</w:t>
      </w:r>
    </w:p>
    <w:p>
      <w:pPr>
        <w:spacing w:after="0" w:line="127"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NBCU and CLP agree that Section 2 of the Letter of Intent is hereby amended by deleting subsection (b) thereof. Except as and to the extent expressly modified by this letter agreement, the Letter of Intent shall remain in full force and effect in all respects.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acknowledge your agreement to and acceptance of the terms of this letter agreement by signing in the space provided below.</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CITADEL LIMITED PARTNERSHIP</w:t>
      </w:r>
    </w:p>
    <w:p>
      <w:pPr>
        <w:spacing w:after="0" w:line="15" w:lineRule="exact"/>
        <w:rPr>
          <w:sz w:val="20"/>
          <w:szCs w:val="20"/>
          <w:color w:val="auto"/>
        </w:rPr>
      </w:pPr>
    </w:p>
    <w:p>
      <w:pPr>
        <w:ind w:left="580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Citadel Investment Group,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General Partner</w:t>
      </w:r>
    </w:p>
    <w:p>
      <w:pPr>
        <w:spacing w:after="0" w:line="313" w:lineRule="exact"/>
        <w:rPr>
          <w:sz w:val="20"/>
          <w:szCs w:val="20"/>
          <w:color w:val="auto"/>
        </w:rPr>
      </w:pPr>
    </w:p>
    <w:p>
      <w:pPr>
        <w:ind w:left="580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Hinerfeld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10795</wp:posOffset>
            </wp:positionV>
            <wp:extent cx="23583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 w:lineRule="exact"/>
        <w:rPr>
          <w:sz w:val="20"/>
          <w:szCs w:val="20"/>
          <w:color w:val="auto"/>
        </w:rPr>
      </w:pPr>
    </w:p>
    <w:p>
      <w:pPr>
        <w:ind w:left="6220"/>
        <w:spacing w:after="0"/>
        <w:tabs>
          <w:tab w:leader="none" w:pos="6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Hinerfeld</w:t>
      </w:r>
    </w:p>
    <w:p>
      <w:pPr>
        <w:spacing w:after="0" w:line="15" w:lineRule="exact"/>
        <w:rPr>
          <w:sz w:val="20"/>
          <w:szCs w:val="20"/>
          <w:color w:val="auto"/>
        </w:rPr>
      </w:pPr>
    </w:p>
    <w:p>
      <w:pPr>
        <w:ind w:left="6220"/>
        <w:spacing w:after="0"/>
        <w:tabs>
          <w:tab w:leader="none" w:pos="6800" w:val="left"/>
        </w:tabs>
        <w:rPr>
          <w:sz w:val="20"/>
          <w:szCs w:val="20"/>
          <w:color w:val="auto"/>
        </w:rPr>
      </w:pPr>
      <w:r>
        <w:rPr>
          <w:rFonts w:ascii="Arial" w:cs="Arial" w:eastAsia="Arial" w:hAnsi="Arial"/>
          <w:sz w:val="18"/>
          <w:szCs w:val="18"/>
          <w:color w:val="auto"/>
        </w:rPr>
        <w:t>Title:</w:t>
        <w:tab/>
        <w:t>Managing Director and Deputy General</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Counsel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of March 14,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NBC UNIVERSAL, INC.</w:t>
      </w:r>
    </w:p>
    <w:p>
      <w:pPr>
        <w:spacing w:after="0" w:line="32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23583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Bruce Campbell</w:t>
      </w:r>
    </w:p>
    <w:p>
      <w:pPr>
        <w:spacing w:after="0" w:line="15" w:lineRule="exact"/>
        <w:rPr>
          <w:sz w:val="20"/>
          <w:szCs w:val="20"/>
          <w:color w:val="auto"/>
        </w:rPr>
      </w:pPr>
    </w:p>
    <w:p>
      <w:pPr>
        <w:ind w:left="420"/>
        <w:spacing w:after="0"/>
        <w:tabs>
          <w:tab w:leader="none" w:pos="98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Business Development</w:t>
      </w:r>
    </w:p>
    <w:sectPr>
      <w:pgSz w:w="11900" w:h="16838" w:orient="portrait"/>
      <w:cols w:equalWidth="0" w:num="1">
        <w:col w:w="11260"/>
      </w:cols>
      <w:pgMar w:left="240" w:top="13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2019-12-16T11:24:55Z</dcterms:created>
  <dcterms:modified xsi:type="dcterms:W3CDTF">2019-12-16T11:24:55Z</dcterms:modified>
</cp:coreProperties>
</file>