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SCHEDULE SC 13G/A</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Under the Securities Exchange Act of 1934</w:t>
      </w:r>
    </w:p>
    <w:p>
      <w:pPr>
        <w:ind w:left="2440"/>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COMCAST CORP</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20030N200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/_/.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previsions of the Act (however, see the Notes)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rPr>
              <w:t>1(a)</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r>
      <w:tr>
        <w:trPr>
          <w:trHeight w:val="203"/>
        </w:trPr>
        <w:tc>
          <w:tcPr>
            <w:tcW w:w="480" w:type="dxa"/>
            <w:vAlign w:val="bottom"/>
          </w:tcPr>
          <w:p>
            <w:pPr>
              <w:spacing w:after="0"/>
              <w:rPr>
                <w:sz w:val="17"/>
                <w:szCs w:val="17"/>
                <w:color w:val="auto"/>
              </w:rPr>
            </w:pPr>
          </w:p>
        </w:tc>
        <w:tc>
          <w:tcPr>
            <w:tcW w:w="116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COMCAST</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CORP</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1(b)</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ADDRESS OF ISSUERS PRINCIPAL EXECUTIVE OFFICES</w:t>
            </w:r>
          </w:p>
        </w:tc>
      </w:tr>
    </w:tbl>
    <w:p>
      <w:pPr>
        <w:ind w:left="860"/>
        <w:spacing w:after="0" w:line="238" w:lineRule="auto"/>
        <w:rPr>
          <w:sz w:val="20"/>
          <w:szCs w:val="20"/>
          <w:color w:val="auto"/>
        </w:rPr>
      </w:pPr>
      <w:r>
        <w:rPr>
          <w:rFonts w:ascii="Courier New" w:cs="Courier New" w:eastAsia="Courier New" w:hAnsi="Courier New"/>
          <w:sz w:val="18"/>
          <w:szCs w:val="18"/>
          <w:color w:val="auto"/>
        </w:rPr>
        <w:t>1105 NORTH MARKET ST</w:t>
      </w:r>
    </w:p>
    <w:p>
      <w:pPr>
        <w:ind w:left="860"/>
        <w:spacing w:after="0"/>
        <w:rPr>
          <w:sz w:val="20"/>
          <w:szCs w:val="20"/>
          <w:color w:val="auto"/>
        </w:rPr>
      </w:pPr>
      <w:r>
        <w:rPr>
          <w:rFonts w:ascii="Courier New" w:cs="Courier New" w:eastAsia="Courier New" w:hAnsi="Courier New"/>
          <w:sz w:val="18"/>
          <w:szCs w:val="18"/>
          <w:color w:val="auto"/>
        </w:rPr>
        <w:t>WILMINGTON, DELAWARE 19899</w:t>
      </w:r>
    </w:p>
    <w:p>
      <w:pPr>
        <w:spacing w:after="0" w:line="200"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ind w:left="860"/>
        <w:spacing w:after="0" w:line="238" w:lineRule="auto"/>
        <w:rPr>
          <w:sz w:val="20"/>
          <w:szCs w:val="20"/>
          <w:color w:val="auto"/>
        </w:rPr>
      </w:pPr>
      <w:r>
        <w:rPr>
          <w:rFonts w:ascii="Courier New" w:cs="Courier New" w:eastAsia="Courier New" w:hAnsi="Courier New"/>
          <w:sz w:val="18"/>
          <w:szCs w:val="18"/>
          <w:color w:val="auto"/>
        </w:rPr>
        <w:t>Davis Selected Advisers, L.P.</w:t>
      </w:r>
    </w:p>
    <w:p>
      <w:pPr>
        <w:spacing w:after="0" w:line="207" w:lineRule="exact"/>
        <w:rPr>
          <w:sz w:val="24"/>
          <w:szCs w:val="24"/>
          <w:color w:val="auto"/>
        </w:rPr>
      </w:pPr>
    </w:p>
    <w:p>
      <w:pPr>
        <w:ind w:left="860" w:right="4739" w:hanging="842"/>
        <w:spacing w:after="0" w:line="235" w:lineRule="auto"/>
        <w:rPr>
          <w:sz w:val="20"/>
          <w:szCs w:val="20"/>
          <w:color w:val="auto"/>
        </w:rPr>
      </w:pPr>
      <w:r>
        <w:rPr>
          <w:rFonts w:ascii="Courier New" w:cs="Courier New" w:eastAsia="Courier New" w:hAnsi="Courier New"/>
          <w:sz w:val="18"/>
          <w:szCs w:val="18"/>
          <w:color w:val="auto"/>
        </w:rPr>
        <w:t>Item 2(b)</w:t>
      </w:r>
      <w:r>
        <w:rPr>
          <w:sz w:val="20"/>
          <w:szCs w:val="20"/>
          <w:color w:val="auto"/>
        </w:rPr>
        <w:t xml:space="preserve"> </w:t>
      </w:r>
      <w:r>
        <w:rPr>
          <w:rFonts w:ascii="Courier New" w:cs="Courier New" w:eastAsia="Courier New" w:hAnsi="Courier New"/>
          <w:sz w:val="18"/>
          <w:szCs w:val="18"/>
          <w:color w:val="auto"/>
        </w:rPr>
        <w:t>ADDRESS OF PRINCIPAL BUSINESS OFFICE 2949 East Elvira Road, Suite 101</w:t>
      </w:r>
    </w:p>
    <w:p>
      <w:pPr>
        <w:ind w:left="860"/>
        <w:spacing w:after="0"/>
        <w:rPr>
          <w:sz w:val="20"/>
          <w:szCs w:val="20"/>
          <w:color w:val="auto"/>
        </w:rPr>
      </w:pPr>
      <w:r>
        <w:rPr>
          <w:rFonts w:ascii="Courier New" w:cs="Courier New" w:eastAsia="Courier New" w:hAnsi="Courier New"/>
          <w:sz w:val="18"/>
          <w:szCs w:val="18"/>
          <w:color w:val="auto"/>
        </w:rPr>
        <w:t>Tucson, Arizona 85706</w:t>
      </w: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860"/>
        <w:spacing w:after="0"/>
        <w:rPr>
          <w:sz w:val="20"/>
          <w:szCs w:val="20"/>
          <w:color w:val="auto"/>
        </w:rPr>
      </w:pPr>
      <w:r>
        <w:rPr>
          <w:rFonts w:ascii="Courier New" w:cs="Courier New" w:eastAsia="Courier New" w:hAnsi="Courier New"/>
          <w:sz w:val="18"/>
          <w:szCs w:val="18"/>
          <w:color w:val="auto"/>
        </w:rPr>
        <w:t>Colorado Limited Partnership</w:t>
      </w: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860"/>
        <w:spacing w:after="0" w:line="238" w:lineRule="auto"/>
        <w:rPr>
          <w:sz w:val="20"/>
          <w:szCs w:val="20"/>
          <w:color w:val="auto"/>
        </w:rPr>
      </w:pPr>
      <w:r>
        <w:rPr>
          <w:rFonts w:ascii="Courier New" w:cs="Courier New" w:eastAsia="Courier New" w:hAnsi="Courier New"/>
          <w:sz w:val="18"/>
          <w:szCs w:val="18"/>
          <w:color w:val="auto"/>
        </w:rPr>
        <w:t>Common</w:t>
      </w: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860"/>
        <w:spacing w:after="0" w:line="237" w:lineRule="auto"/>
        <w:rPr>
          <w:sz w:val="20"/>
          <w:szCs w:val="20"/>
          <w:color w:val="auto"/>
        </w:rPr>
      </w:pPr>
      <w:r>
        <w:rPr>
          <w:rFonts w:ascii="Courier New" w:cs="Courier New" w:eastAsia="Courier New" w:hAnsi="Courier New"/>
          <w:sz w:val="18"/>
          <w:szCs w:val="18"/>
          <w:color w:val="auto"/>
        </w:rPr>
        <w:t>20030N200</w:t>
      </w:r>
    </w:p>
    <w:p>
      <w:pPr>
        <w:spacing w:after="0"/>
        <w:tabs>
          <w:tab w:leader="none" w:pos="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FIELD PURSUANT TO RULE 13d-1(b)</w:t>
      </w:r>
    </w:p>
    <w:p>
      <w:pPr>
        <w:spacing w:after="0" w:line="206" w:lineRule="exact"/>
        <w:rPr>
          <w:sz w:val="24"/>
          <w:szCs w:val="24"/>
          <w:color w:val="auto"/>
        </w:rPr>
      </w:pPr>
    </w:p>
    <w:p>
      <w:pPr>
        <w:ind w:left="1280" w:hanging="429"/>
        <w:spacing w:after="0"/>
        <w:tabs>
          <w:tab w:leader="none" w:pos="12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Adviser registered under Section 203 of the</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w:t>
      </w:r>
    </w:p>
    <w:p>
      <w:pPr>
        <w:spacing w:after="0" w:line="4" w:lineRule="exact"/>
        <w:rPr>
          <w:rFonts w:ascii="Courier New" w:cs="Courier New" w:eastAsia="Courier New" w:hAnsi="Courier New"/>
          <w:sz w:val="16"/>
          <w:szCs w:val="16"/>
          <w:color w:val="auto"/>
        </w:rPr>
      </w:pPr>
    </w:p>
    <w:p>
      <w:pPr>
        <w:ind w:right="7159" w:firstLine="948"/>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Advisers Act of 1940 Item 4 OWNERSHIP</w:t>
      </w:r>
    </w:p>
    <w:p>
      <w:pPr>
        <w:spacing w:after="0" w:line="1"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44,049,592 shares</w:t>
      </w:r>
    </w:p>
    <w:p>
      <w:pPr>
        <w:ind w:left="1280" w:hanging="429"/>
        <w:spacing w:after="0" w:line="238"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5.17%</w:t>
      </w:r>
    </w:p>
    <w:p>
      <w:pPr>
        <w:ind w:left="1480" w:hanging="629"/>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6" w:lineRule="exact"/>
        <w:rPr>
          <w:sz w:val="24"/>
          <w:szCs w:val="24"/>
          <w:color w:val="auto"/>
        </w:rPr>
      </w:pPr>
    </w:p>
    <w:p>
      <w:pPr>
        <w:ind w:left="2540" w:right="4619" w:hanging="1689"/>
        <w:spacing w:after="0" w:line="235" w:lineRule="auto"/>
        <w:tabs>
          <w:tab w:leader="none" w:pos="148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to direct the vote N/A</w:t>
      </w:r>
    </w:p>
    <w:p>
      <w:pPr>
        <w:spacing w:after="0" w:line="5" w:lineRule="exact"/>
        <w:rPr>
          <w:rFonts w:ascii="Courier New" w:cs="Courier New" w:eastAsia="Courier New" w:hAnsi="Courier New"/>
          <w:sz w:val="18"/>
          <w:szCs w:val="18"/>
          <w:color w:val="auto"/>
        </w:rPr>
      </w:pPr>
    </w:p>
    <w:p>
      <w:pPr>
        <w:ind w:left="1700" w:right="3039" w:hanging="849"/>
        <w:spacing w:after="0" w:line="235" w:lineRule="auto"/>
        <w:tabs>
          <w:tab w:leader="none" w:pos="148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Davis Selected Advisers, L.P. 44,049,592 shares</w:t>
      </w:r>
    </w:p>
    <w:p>
      <w:pPr>
        <w:spacing w:after="0" w:line="1" w:lineRule="exact"/>
        <w:rPr>
          <w:rFonts w:ascii="Courier New" w:cs="Courier New" w:eastAsia="Courier New" w:hAnsi="Courier New"/>
          <w:sz w:val="18"/>
          <w:szCs w:val="18"/>
          <w:color w:val="auto"/>
        </w:rPr>
      </w:pPr>
    </w:p>
    <w:p>
      <w:pPr>
        <w:ind w:left="1480" w:hanging="629"/>
        <w:spacing w:after="0" w:line="238" w:lineRule="auto"/>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540"/>
        <w:spacing w:after="0"/>
        <w:rPr>
          <w:sz w:val="20"/>
          <w:szCs w:val="20"/>
          <w:color w:val="auto"/>
        </w:rPr>
      </w:pPr>
      <w:r>
        <w:rPr>
          <w:rFonts w:ascii="Courier New" w:cs="Courier New" w:eastAsia="Courier New" w:hAnsi="Courier New"/>
          <w:sz w:val="18"/>
          <w:szCs w:val="18"/>
          <w:color w:val="auto"/>
        </w:rPr>
        <w:t>N/A</w:t>
      </w: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Not applicable</w:t>
      </w:r>
    </w:p>
    <w:p>
      <w:pPr>
        <w:spacing w:after="0" w:line="20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 applicable</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or such securities and were not acquired in connection with or as a participant in any transaction having such purposes or effect.</w:t>
      </w:r>
    </w:p>
    <w:p>
      <w:pPr>
        <w:spacing w:after="0" w:line="18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0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1580" w:type="dxa"/>
            <w:vAlign w:val="bottom"/>
          </w:tcPr>
          <w:p>
            <w:pPr>
              <w:ind w:left="380"/>
              <w:spacing w:after="0"/>
              <w:rPr>
                <w:sz w:val="20"/>
                <w:szCs w:val="20"/>
                <w:color w:val="auto"/>
              </w:rPr>
            </w:pPr>
            <w:r>
              <w:rPr>
                <w:rFonts w:ascii="Courier New" w:cs="Courier New" w:eastAsia="Courier New" w:hAnsi="Courier New"/>
                <w:sz w:val="18"/>
                <w:szCs w:val="18"/>
                <w:color w:val="auto"/>
                <w:w w:val="99"/>
              </w:rPr>
              <w:t>/s/ Anthony</w:t>
            </w:r>
          </w:p>
        </w:tc>
        <w:tc>
          <w:tcPr>
            <w:tcW w:w="3440" w:type="dxa"/>
            <w:vAlign w:val="bottom"/>
          </w:tcPr>
          <w:p>
            <w:pPr>
              <w:ind w:left="60"/>
              <w:spacing w:after="0"/>
              <w:rPr>
                <w:sz w:val="20"/>
                <w:szCs w:val="20"/>
                <w:color w:val="auto"/>
              </w:rPr>
            </w:pPr>
            <w:r>
              <w:rPr>
                <w:rFonts w:ascii="Courier New" w:cs="Courier New" w:eastAsia="Courier New" w:hAnsi="Courier New"/>
                <w:sz w:val="18"/>
                <w:szCs w:val="18"/>
                <w:color w:val="auto"/>
              </w:rPr>
              <w:t>Frazia</w:t>
            </w:r>
          </w:p>
        </w:tc>
      </w:tr>
      <w:tr>
        <w:trPr>
          <w:trHeight w:val="405"/>
        </w:trPr>
        <w:tc>
          <w:tcPr>
            <w:tcW w:w="1300" w:type="dxa"/>
            <w:vAlign w:val="bottom"/>
          </w:tcPr>
          <w:p>
            <w:pPr>
              <w:spacing w:after="0"/>
              <w:rPr>
                <w:sz w:val="20"/>
                <w:szCs w:val="20"/>
                <w:color w:val="auto"/>
              </w:rPr>
            </w:pPr>
            <w:r>
              <w:rPr>
                <w:rFonts w:ascii="Courier New" w:cs="Courier New" w:eastAsia="Courier New" w:hAnsi="Courier New"/>
                <w:sz w:val="18"/>
                <w:szCs w:val="18"/>
                <w:color w:val="auto"/>
              </w:rPr>
              <w:t>PRINT</w:t>
            </w:r>
          </w:p>
        </w:tc>
        <w:tc>
          <w:tcPr>
            <w:tcW w:w="502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7"/>
              </w:rPr>
              <w:t>Anthony Frazia, JD,CRCP, Compliance Officer/</w:t>
            </w:r>
          </w:p>
        </w:tc>
      </w:tr>
      <w:tr>
        <w:trPr>
          <w:trHeight w:val="203"/>
        </w:trPr>
        <w:tc>
          <w:tcPr>
            <w:tcW w:w="1300" w:type="dxa"/>
            <w:vAlign w:val="bottom"/>
          </w:tcPr>
          <w:p>
            <w:pPr>
              <w:spacing w:after="0"/>
              <w:rPr>
                <w:sz w:val="17"/>
                <w:szCs w:val="17"/>
                <w:color w:val="auto"/>
              </w:rPr>
            </w:pPr>
          </w:p>
        </w:tc>
        <w:tc>
          <w:tcPr>
            <w:tcW w:w="158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9"/>
              </w:rPr>
              <w:t>Director of</w:t>
            </w:r>
          </w:p>
        </w:tc>
        <w:tc>
          <w:tcPr>
            <w:tcW w:w="3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Institutional Operations,</w:t>
            </w:r>
          </w:p>
        </w:tc>
      </w:tr>
      <w:tr>
        <w:trPr>
          <w:trHeight w:val="203"/>
        </w:trPr>
        <w:tc>
          <w:tcPr>
            <w:tcW w:w="1300" w:type="dxa"/>
            <w:vAlign w:val="bottom"/>
          </w:tcPr>
          <w:p>
            <w:pPr>
              <w:spacing w:after="0"/>
              <w:rPr>
                <w:sz w:val="17"/>
                <w:szCs w:val="17"/>
                <w:color w:val="auto"/>
              </w:rPr>
            </w:pPr>
          </w:p>
        </w:tc>
        <w:tc>
          <w:tcPr>
            <w:tcW w:w="502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rPr>
              <w:t>Compliance and Risk Management</w:t>
            </w:r>
          </w:p>
        </w:tc>
      </w:tr>
      <w:tr>
        <w:trPr>
          <w:trHeight w:val="405"/>
        </w:trPr>
        <w:tc>
          <w:tcPr>
            <w:tcW w:w="13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5020" w:type="dxa"/>
            <w:vAlign w:val="bottom"/>
            <w:gridSpan w:val="2"/>
          </w:tcPr>
          <w:p>
            <w:pPr>
              <w:ind w:left="380"/>
              <w:spacing w:after="0"/>
              <w:rPr>
                <w:sz w:val="20"/>
                <w:szCs w:val="20"/>
                <w:color w:val="auto"/>
              </w:rPr>
            </w:pPr>
            <w:r>
              <w:rPr>
                <w:rFonts w:ascii="Courier New" w:cs="Courier New" w:eastAsia="Courier New" w:hAnsi="Courier New"/>
                <w:sz w:val="18"/>
                <w:szCs w:val="18"/>
                <w:color w:val="auto"/>
              </w:rPr>
              <w:t>December 31, 2004</w:t>
            </w:r>
          </w:p>
        </w:tc>
      </w:tr>
    </w:tbl>
    <w:p>
      <w:pPr>
        <w:spacing w:after="0" w:line="1" w:lineRule="exact"/>
        <w:rPr>
          <w:sz w:val="20"/>
          <w:szCs w:val="20"/>
          <w:color w:val="auto"/>
        </w:rPr>
      </w:pP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5"/>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2019-12-15T06:10:12Z</dcterms:created>
  <dcterms:modified xsi:type="dcterms:W3CDTF">2019-12-15T06:10:12Z</dcterms:modified>
</cp:coreProperties>
</file>