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5875655</wp:posOffset>
            </wp:positionH>
            <wp:positionV relativeFrom="page">
              <wp:posOffset>155575</wp:posOffset>
            </wp:positionV>
            <wp:extent cx="153035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0350" cy="115570"/>
                    </a:xfrm>
                    <a:prstGeom prst="rect">
                      <a:avLst/>
                    </a:prstGeom>
                    <a:noFill/>
                  </pic:spPr>
                </pic:pic>
              </a:graphicData>
            </a:graphic>
          </wp:anchor>
        </w:drawing>
        <w:t>OMB APPROVAL</w:t>
      </w:r>
    </w:p>
    <w:tbl>
      <w:tblPr>
        <w:tblLayout w:type="fixed"/>
        <w:tblInd w:w="9030" w:type="dxa"/>
        <w:tblCellMar>
          <w:top w:w="0" w:type="dxa"/>
          <w:left w:w="0" w:type="dxa"/>
          <w:bottom w:w="0" w:type="dxa"/>
          <w:right w:w="0" w:type="dxa"/>
        </w:tblCellMar>
      </w:tblPr>
      <w:tr>
        <w:trPr>
          <w:trHeight w:val="145"/>
        </w:trPr>
        <w:tc>
          <w:tcPr>
            <w:tcW w:w="1260" w:type="dxa"/>
            <w:vAlign w:val="bottom"/>
            <w:tcBorders>
              <w:top w:val="single" w:sz="8" w:color="auto"/>
              <w:left w:val="single" w:sz="8" w:color="auto"/>
              <w:bottom w:val="single" w:sz="8" w:color="auto"/>
            </w:tcBorders>
          </w:tcPr>
          <w:p>
            <w:pPr>
              <w:ind w:left="220"/>
              <w:spacing w:after="0" w:line="145" w:lineRule="exact"/>
              <w:rPr>
                <w:sz w:val="20"/>
                <w:szCs w:val="20"/>
                <w:color w:val="auto"/>
              </w:rPr>
            </w:pPr>
            <w:r>
              <w:rPr>
                <w:rFonts w:ascii="Arial" w:cs="Arial" w:eastAsia="Arial" w:hAnsi="Arial"/>
                <w:sz w:val="14"/>
                <w:szCs w:val="14"/>
                <w:color w:val="auto"/>
              </w:rPr>
              <w:t>OMB Number:</w:t>
            </w:r>
          </w:p>
        </w:tc>
        <w:tc>
          <w:tcPr>
            <w:tcW w:w="1140" w:type="dxa"/>
            <w:vAlign w:val="bottom"/>
            <w:tcBorders>
              <w:top w:val="single" w:sz="8" w:color="auto"/>
              <w:bottom w:val="single" w:sz="8" w:color="auto"/>
              <w:right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3235-0415</w:t>
            </w:r>
          </w:p>
        </w:tc>
      </w:tr>
      <w:tr>
        <w:trPr>
          <w:trHeight w:val="142"/>
        </w:trPr>
        <w:tc>
          <w:tcPr>
            <w:tcW w:w="1260" w:type="dxa"/>
            <w:vAlign w:val="bottom"/>
            <w:tcBorders>
              <w:left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Expires:</w:t>
            </w:r>
          </w:p>
        </w:tc>
        <w:tc>
          <w:tcPr>
            <w:tcW w:w="11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87"/>
              </w:rPr>
              <w:t>February 28, 2009</w:t>
            </w:r>
          </w:p>
        </w:tc>
      </w:tr>
      <w:tr>
        <w:trPr>
          <w:trHeight w:val="131"/>
        </w:trPr>
        <w:tc>
          <w:tcPr>
            <w:tcW w:w="2400" w:type="dxa"/>
            <w:vAlign w:val="bottom"/>
            <w:tcBorders>
              <w:left w:val="single" w:sz="8" w:color="auto"/>
              <w:right w:val="single" w:sz="8" w:color="auto"/>
            </w:tcBorders>
            <w:gridSpan w:val="2"/>
          </w:tcPr>
          <w:p>
            <w:pPr>
              <w:ind w:left="220"/>
              <w:spacing w:after="0" w:line="131" w:lineRule="exact"/>
              <w:rPr>
                <w:sz w:val="20"/>
                <w:szCs w:val="20"/>
                <w:color w:val="auto"/>
              </w:rPr>
            </w:pPr>
            <w:r>
              <w:rPr>
                <w:rFonts w:ascii="Arial" w:cs="Arial" w:eastAsia="Arial" w:hAnsi="Arial"/>
                <w:sz w:val="14"/>
                <w:szCs w:val="14"/>
                <w:color w:val="auto"/>
              </w:rPr>
              <w:t>Estimated average burdon</w:t>
            </w:r>
          </w:p>
        </w:tc>
      </w:tr>
      <w:tr>
        <w:trPr>
          <w:trHeight w:val="159"/>
        </w:trPr>
        <w:tc>
          <w:tcPr>
            <w:tcW w:w="1260" w:type="dxa"/>
            <w:vAlign w:val="bottom"/>
            <w:tcBorders>
              <w:left w:val="single" w:sz="8" w:color="auto"/>
              <w:bottom w:val="single" w:sz="8" w:color="auto"/>
            </w:tcBorders>
          </w:tcPr>
          <w:p>
            <w:pPr>
              <w:ind w:left="220"/>
              <w:spacing w:after="0" w:line="159" w:lineRule="exact"/>
              <w:rPr>
                <w:sz w:val="20"/>
                <w:szCs w:val="20"/>
                <w:color w:val="auto"/>
              </w:rPr>
            </w:pPr>
            <w:r>
              <w:rPr>
                <w:rFonts w:ascii="Arial" w:cs="Arial" w:eastAsia="Arial" w:hAnsi="Arial"/>
                <w:sz w:val="14"/>
                <w:szCs w:val="14"/>
                <w:color w:val="auto"/>
                <w:w w:val="84"/>
              </w:rPr>
              <w:t>hours per response</w:t>
            </w:r>
          </w:p>
        </w:tc>
        <w:tc>
          <w:tcPr>
            <w:tcW w:w="1140" w:type="dxa"/>
            <w:vAlign w:val="bottom"/>
            <w:tcBorders>
              <w:bottom w:val="single" w:sz="8" w:color="auto"/>
              <w:right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10.4</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20030N 10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right="8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30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both"/>
        <w:ind w:left="2560" w:right="2540" w:firstLine="56"/>
        <w:spacing w:after="0" w:line="378"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OBM control number.</w:t>
      </w:r>
    </w:p>
    <w:p>
      <w:pPr>
        <w:sectPr>
          <w:pgSz w:w="11900" w:h="16838" w:orient="portrait"/>
          <w:cols w:equalWidth="0" w:num="1">
            <w:col w:w="11420"/>
          </w:cols>
          <w:pgMar w:left="240" w:top="2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b w:val="1"/>
          <w:bCs w:val="1"/>
          <w:color w:val="auto"/>
        </w:rPr>
        <w:t>20030N 10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Amendment No. 1 is filed solely to update the number of shares owned after a three-for-two stock split in the form of a 50% stock dividend which was paid on February 21, 2007 to Comcast shareholders. In connection with the stock split, Microsoft received an additional 0.5 share of Class A common stock for every share held on February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65" w:lineRule="exact"/>
        <w:rPr>
          <w:sz w:val="20"/>
          <w:szCs w:val="20"/>
          <w:color w:val="auto"/>
        </w:rPr>
      </w:pPr>
    </w:p>
    <w:tbl>
      <w:tblPr>
        <w:tblLayout w:type="fixed"/>
        <w:tblInd w:w="380" w:type="dxa"/>
        <w:tblCellMar>
          <w:top w:w="0" w:type="dxa"/>
          <w:left w:w="0" w:type="dxa"/>
          <w:bottom w:w="0" w:type="dxa"/>
          <w:right w:w="0" w:type="dxa"/>
        </w:tblCellMar>
      </w:tblPr>
      <w:tr>
        <w:trPr>
          <w:trHeight w:val="281"/>
        </w:trPr>
        <w:tc>
          <w:tcPr>
            <w:tcW w:w="2440" w:type="dxa"/>
            <w:vAlign w:val="bottom"/>
          </w:tcPr>
          <w:p>
            <w:pPr>
              <w:spacing w:after="0"/>
              <w:rPr>
                <w:sz w:val="20"/>
                <w:szCs w:val="20"/>
                <w:color w:val="auto"/>
              </w:rPr>
            </w:pPr>
            <w:r>
              <w:rPr>
                <w:rFonts w:ascii="Arial" w:cs="Arial" w:eastAsia="Arial" w:hAnsi="Arial"/>
                <w:sz w:val="22"/>
                <w:szCs w:val="22"/>
                <w:b w:val="1"/>
                <w:bCs w:val="1"/>
                <w:color w:val="auto"/>
              </w:rPr>
              <w:t>Microsoft Corporation</w:t>
            </w:r>
          </w:p>
        </w:tc>
        <w:tc>
          <w:tcPr>
            <w:tcW w:w="1380" w:type="dxa"/>
            <w:vAlign w:val="bottom"/>
          </w:tcPr>
          <w:p>
            <w:pPr>
              <w:jc w:val="right"/>
              <w:spacing w:after="0"/>
              <w:rPr>
                <w:sz w:val="20"/>
                <w:szCs w:val="20"/>
                <w:color w:val="auto"/>
              </w:rPr>
            </w:pPr>
            <w:r>
              <w:rPr>
                <w:rFonts w:ascii="Arial" w:cs="Arial" w:eastAsia="Arial" w:hAnsi="Arial"/>
                <w:sz w:val="22"/>
                <w:szCs w:val="22"/>
                <w:b w:val="1"/>
                <w:bCs w:val="1"/>
                <w:color w:val="auto"/>
              </w:rPr>
              <w:t>91-1144442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19"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WA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1"/>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420" w:type="dxa"/>
            <w:vAlign w:val="bottom"/>
          </w:tcPr>
          <w:p>
            <w:pPr>
              <w:spacing w:after="0"/>
              <w:rPr>
                <w:sz w:val="22"/>
                <w:szCs w:val="22"/>
                <w:color w:val="auto"/>
              </w:rPr>
            </w:pPr>
          </w:p>
        </w:tc>
        <w:tc>
          <w:tcPr>
            <w:tcW w:w="9840" w:type="dxa"/>
            <w:vAlign w:val="bottom"/>
          </w:tcPr>
          <w:p>
            <w:pPr>
              <w:ind w:left="120"/>
              <w:spacing w:after="0"/>
              <w:rPr>
                <w:sz w:val="20"/>
                <w:szCs w:val="20"/>
                <w:color w:val="auto"/>
              </w:rPr>
            </w:pPr>
            <w:r>
              <w:rPr>
                <w:rFonts w:ascii="Arial" w:cs="Arial" w:eastAsia="Arial" w:hAnsi="Arial"/>
                <w:sz w:val="22"/>
                <w:szCs w:val="22"/>
                <w:b w:val="1"/>
                <w:bCs w:val="1"/>
                <w:color w:val="auto"/>
              </w:rPr>
              <w:t>150,935,575</w:t>
            </w:r>
          </w:p>
        </w:tc>
        <w:tc>
          <w:tcPr>
            <w:tcW w:w="0" w:type="dxa"/>
            <w:vAlign w:val="bottom"/>
          </w:tcPr>
          <w:p>
            <w:pPr>
              <w:spacing w:after="0"/>
              <w:rPr>
                <w:sz w:val="1"/>
                <w:szCs w:val="1"/>
                <w:color w:val="auto"/>
              </w:rPr>
            </w:pPr>
          </w:p>
        </w:tc>
      </w:tr>
      <w:tr>
        <w:trPr>
          <w:trHeight w:val="68"/>
        </w:trPr>
        <w:tc>
          <w:tcPr>
            <w:tcW w:w="11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5"/>
                <w:szCs w:val="5"/>
                <w:color w:val="auto"/>
              </w:rPr>
            </w:pPr>
          </w:p>
        </w:tc>
        <w:tc>
          <w:tcPr>
            <w:tcW w:w="9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160" w:type="dxa"/>
            <w:vAlign w:val="bottom"/>
            <w:vMerge w:val="continue"/>
          </w:tcPr>
          <w:p>
            <w:pPr>
              <w:spacing w:after="0"/>
              <w:rPr>
                <w:sz w:val="9"/>
                <w:szCs w:val="9"/>
                <w:color w:val="auto"/>
              </w:rPr>
            </w:pPr>
          </w:p>
        </w:tc>
        <w:tc>
          <w:tcPr>
            <w:tcW w:w="42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98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12"/>
              <w:spacing w:after="0"/>
              <w:rPr>
                <w:sz w:val="20"/>
                <w:szCs w:val="20"/>
                <w:color w:val="auto"/>
              </w:rPr>
            </w:pPr>
            <w:r>
              <w:rPr>
                <w:rFonts w:ascii="Arial" w:cs="Arial" w:eastAsia="Arial" w:hAnsi="Arial"/>
                <w:sz w:val="18"/>
                <w:szCs w:val="18"/>
                <w:color w:val="auto"/>
                <w:w w:val="94"/>
              </w:rPr>
              <w:t>Beneficially</w:t>
            </w:r>
          </w:p>
        </w:tc>
        <w:tc>
          <w:tcPr>
            <w:tcW w:w="420" w:type="dxa"/>
            <w:vAlign w:val="bottom"/>
            <w:vMerge w:val="continue"/>
          </w:tcPr>
          <w:p>
            <w:pPr>
              <w:spacing w:after="0"/>
              <w:rPr>
                <w:sz w:val="9"/>
                <w:szCs w:val="9"/>
                <w:color w:val="auto"/>
              </w:rPr>
            </w:pPr>
          </w:p>
        </w:tc>
        <w:tc>
          <w:tcPr>
            <w:tcW w:w="9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150,935,575</w:t>
            </w:r>
          </w:p>
        </w:tc>
        <w:tc>
          <w:tcPr>
            <w:tcW w:w="0" w:type="dxa"/>
            <w:vAlign w:val="bottom"/>
          </w:tcPr>
          <w:p>
            <w:pPr>
              <w:spacing w:after="0"/>
              <w:rPr>
                <w:sz w:val="1"/>
                <w:szCs w:val="1"/>
                <w:color w:val="auto"/>
              </w:rPr>
            </w:pPr>
          </w:p>
        </w:tc>
      </w:tr>
      <w:tr>
        <w:trPr>
          <w:trHeight w:val="142"/>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Borders>
              <w:bottom w:val="single" w:sz="8" w:color="auto"/>
            </w:tcBorders>
          </w:tcPr>
          <w:p>
            <w:pPr>
              <w:spacing w:after="0"/>
              <w:rPr>
                <w:sz w:val="12"/>
                <w:szCs w:val="12"/>
                <w:color w:val="auto"/>
              </w:rPr>
            </w:pPr>
          </w:p>
        </w:tc>
        <w:tc>
          <w:tcPr>
            <w:tcW w:w="9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420" w:type="dxa"/>
            <w:vAlign w:val="bottom"/>
            <w:vMerge w:val="restart"/>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vMerge w:val="continue"/>
          </w:tcPr>
          <w:p>
            <w:pPr>
              <w:spacing w:after="0"/>
              <w:rPr>
                <w:sz w:val="14"/>
                <w:szCs w:val="14"/>
                <w:color w:val="auto"/>
              </w:rPr>
            </w:pPr>
          </w:p>
        </w:tc>
        <w:tc>
          <w:tcPr>
            <w:tcW w:w="9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1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69"/>
        </w:trPr>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150,935,575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306"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p>
    <w:p>
      <w:pPr>
        <w:spacing w:after="0" w:line="9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Comcast Corporation</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1500 Market Street, Philadelphia, PA 19102-2148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Microsoft Corporation</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One Microsoft Way, Redmond, WA 98052-6399</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WA</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Common Stock, par value $.01</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20030N 10 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Provide the following information regarding the aggregate number and percentage of the class of securities of the issuer identified in Item 1.</w:t>
      </w:r>
    </w:p>
    <w:p>
      <w:pPr>
        <w:spacing w:after="0" w:line="125"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150,935,575</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7.26%</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234315</wp:posOffset>
            </wp:positionV>
            <wp:extent cx="6603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71"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150,935,575</w:t>
      </w:r>
    </w:p>
    <w:p>
      <w:pPr>
        <w:spacing w:after="0" w:line="90"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71"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0</w:t>
      </w:r>
    </w:p>
    <w:p>
      <w:pPr>
        <w:spacing w:after="0" w:line="90" w:lineRule="exact"/>
        <w:rPr>
          <w:sz w:val="20"/>
          <w:szCs w:val="20"/>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71"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150,935,575</w:t>
      </w:r>
    </w:p>
    <w:p>
      <w:pPr>
        <w:spacing w:after="0" w:line="90"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71"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0</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ind w:left="1040" w:right="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90" w:lineRule="exact"/>
        <w:rPr>
          <w:sz w:val="20"/>
          <w:szCs w:val="20"/>
          <w:color w:val="auto"/>
        </w:rPr>
      </w:pPr>
    </w:p>
    <w:p>
      <w:pPr>
        <w:ind w:left="460"/>
        <w:spacing w:after="0" w:line="339" w:lineRule="auto"/>
        <w:rPr>
          <w:sz w:val="20"/>
          <w:szCs w:val="20"/>
          <w:color w:val="auto"/>
        </w:rPr>
      </w:pPr>
      <w:r>
        <w:rPr>
          <w:rFonts w:ascii="Arial" w:cs="Arial" w:eastAsia="Arial" w:hAnsi="Arial"/>
          <w:sz w:val="15"/>
          <w:szCs w:val="15"/>
          <w:b w:val="1"/>
          <w:bCs w:val="1"/>
          <w:color w:val="auto"/>
        </w:rPr>
        <w:t>By signing below I certify that, to the best of my knowledge and belief, the securities referred to above were acquired and held in the ordinary course of business and were not acquired and held for the purpose of or with the effect of changing or influencing the control of the issuer of the securities and were not acquired and held in connection with or as a participant in any transaction having that purpose or effect.</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1200"/>
          </w:cols>
          <w:pgMar w:left="240" w:top="274" w:right="459" w:bottom="1440" w:gutter="0" w:footer="0" w:header="0"/>
        </w:sectPr>
      </w:pPr>
    </w:p>
    <w:bookmarkStart w:id="4" w:name="page5"/>
    <w:bookmarkEnd w:id="4"/>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January 14, 2008</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Date</w:t>
      </w:r>
    </w:p>
    <w:p>
      <w:pPr>
        <w:spacing w:after="0" w:line="213" w:lineRule="exact"/>
        <w:rPr>
          <w:sz w:val="20"/>
          <w:szCs w:val="20"/>
          <w:color w:val="auto"/>
        </w:rPr>
      </w:pPr>
    </w:p>
    <w:p>
      <w:pPr>
        <w:jc w:val="right"/>
        <w:ind w:right="1480"/>
        <w:spacing w:after="0"/>
        <w:rPr>
          <w:sz w:val="20"/>
          <w:szCs w:val="20"/>
          <w:color w:val="auto"/>
        </w:rPr>
      </w:pPr>
      <w:r>
        <w:rPr>
          <w:rFonts w:ascii="Arial" w:cs="Arial" w:eastAsia="Arial" w:hAnsi="Arial"/>
          <w:sz w:val="18"/>
          <w:szCs w:val="18"/>
          <w:b w:val="1"/>
          <w:bCs w:val="1"/>
          <w:color w:val="auto"/>
        </w:rPr>
        <w:t>MICROSOFT CORPORATION</w:t>
      </w:r>
    </w:p>
    <w:p>
      <w:pPr>
        <w:spacing w:after="0" w:line="231"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Keith R. Dolliver, Assistant Secretary</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Name/Title</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lvl w:ilvl="1">
      <w:lvlJc w:val="left"/>
      <w:lvlText w:val="(%2)"/>
      <w:numFmt w:val="lowerLetter"/>
      <w:start w:val="1"/>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2"/>
    </w:lvl>
  </w:abstractNum>
  <w:abstractNum w:abstractNumId="10">
    <w:nsid w:val="41A7C4C9"/>
    <w:multiLevelType w:val="hybridMultilevel"/>
    <w:lvl w:ilvl="0">
      <w:lvlJc w:val="left"/>
      <w:lvlText w:val="(%1)"/>
      <w:numFmt w:val="lowerLetter"/>
      <w:start w:val="3"/>
    </w:lvl>
  </w:abstractNum>
  <w:abstractNum w:abstractNumId="11">
    <w:nsid w:val="6B68079A"/>
    <w:multiLevelType w:val="hybridMultilevel"/>
    <w:lvl w:ilvl="0">
      <w:lvlJc w:val="left"/>
      <w:lvlText w:val="(%1)"/>
      <w:numFmt w:val="lowerLetter"/>
      <w:start w:val="4"/>
    </w:lvl>
  </w:abstractNum>
  <w:abstractNum w:abstractNumId="12">
    <w:nsid w:val="4E6AFB66"/>
    <w:multiLevelType w:val="hybridMultilevel"/>
    <w:lvl w:ilvl="0">
      <w:lvlJc w:val="left"/>
      <w:lvlText w:val="(%1)"/>
      <w:numFmt w:val="lowerLetter"/>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2"/>
    </w:lvl>
  </w:abstractNum>
  <w:abstractNum w:abstractNumId="18">
    <w:nsid w:val="257130A3"/>
    <w:multiLevelType w:val="hybridMultilevel"/>
    <w:lvl w:ilvl="0">
      <w:lvlJc w:val="left"/>
      <w:lvlText w:val="(%1)"/>
      <w:numFmt w:val="lowerRoman"/>
      <w:start w:val="3"/>
    </w:lvl>
  </w:abstractNum>
  <w:abstractNum w:abstractNumId="19">
    <w:nsid w:val="62BBD9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2019-12-15T06:41:48Z</dcterms:created>
  <dcterms:modified xsi:type="dcterms:W3CDTF">2019-12-15T06:41:48Z</dcterms:modified>
</cp:coreProperties>
</file>