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7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2007</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38" w:lineRule="exact"/>
        <w:rPr>
          <w:sz w:val="24"/>
          <w:szCs w:val="24"/>
          <w:color w:val="auto"/>
        </w:rPr>
      </w:pPr>
    </w:p>
    <w:tbl>
      <w:tblPr>
        <w:tblLayout w:type="fixed"/>
        <w:tblInd w:w="0" w:type="dxa"/>
        <w:tblCellMar>
          <w:top w:w="0" w:type="dxa"/>
          <w:left w:w="0" w:type="dxa"/>
          <w:bottom w:w="0" w:type="dxa"/>
          <w:right w:w="0" w:type="dxa"/>
        </w:tblCellMar>
      </w:tblPr>
      <w:tr>
        <w:trPr>
          <w:trHeight w:val="243"/>
        </w:trPr>
        <w:tc>
          <w:tcPr>
            <w:tcW w:w="3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9580" w:type="dxa"/>
            <w:vAlign w:val="bottom"/>
            <w:gridSpan w:val="3"/>
          </w:tcPr>
          <w:p>
            <w:pPr>
              <w:ind w:left="160"/>
              <w:spacing w:after="0"/>
              <w:rPr>
                <w:sz w:val="20"/>
                <w:szCs w:val="20"/>
                <w:color w:val="auto"/>
              </w:rPr>
            </w:pPr>
            <w:r>
              <w:rPr>
                <w:rFonts w:ascii="Arial" w:cs="Arial" w:eastAsia="Arial" w:hAnsi="Arial"/>
                <w:sz w:val="18"/>
                <w:szCs w:val="18"/>
                <w:b w:val="1"/>
                <w:bCs w:val="1"/>
                <w:color w:val="auto"/>
                <w:w w:val="92"/>
              </w:rPr>
              <w:t>Transition Report pursuant to Section 13 or 15(d) of the Securities Exchange Act of 1934 for the Transition Period from</w:t>
            </w:r>
          </w:p>
        </w:tc>
        <w:tc>
          <w:tcPr>
            <w:tcW w:w="640" w:type="dxa"/>
            <w:vAlign w:val="bottom"/>
          </w:tcPr>
          <w:p>
            <w:pPr>
              <w:ind w:left="480"/>
              <w:spacing w:after="0"/>
              <w:rPr>
                <w:sz w:val="20"/>
                <w:szCs w:val="20"/>
                <w:color w:val="auto"/>
              </w:rPr>
            </w:pPr>
            <w:r>
              <w:rPr>
                <w:rFonts w:ascii="Arial" w:cs="Arial" w:eastAsia="Arial" w:hAnsi="Arial"/>
                <w:sz w:val="18"/>
                <w:szCs w:val="18"/>
                <w:b w:val="1"/>
                <w:bCs w:val="1"/>
                <w:color w:val="auto"/>
                <w:w w:val="82"/>
              </w:rPr>
              <w:t>to</w:t>
            </w:r>
          </w:p>
        </w:tc>
      </w:tr>
      <w:tr>
        <w:trPr>
          <w:trHeight w:val="228"/>
        </w:trPr>
        <w:tc>
          <w:tcPr>
            <w:tcW w:w="300" w:type="dxa"/>
            <w:vAlign w:val="bottom"/>
          </w:tcPr>
          <w:p>
            <w:pPr>
              <w:spacing w:after="0"/>
              <w:rPr>
                <w:sz w:val="19"/>
                <w:szCs w:val="19"/>
                <w:color w:val="auto"/>
              </w:rPr>
            </w:pPr>
          </w:p>
        </w:tc>
        <w:tc>
          <w:tcPr>
            <w:tcW w:w="4200" w:type="dxa"/>
            <w:vAlign w:val="bottom"/>
          </w:tcPr>
          <w:p>
            <w:pPr>
              <w:jc w:val="right"/>
              <w:ind w:right="3032"/>
              <w:spacing w:after="0"/>
              <w:rPr>
                <w:sz w:val="20"/>
                <w:szCs w:val="20"/>
                <w:color w:val="auto"/>
              </w:rPr>
            </w:pPr>
            <w:r>
              <w:rPr>
                <w:rFonts w:ascii="Arial" w:cs="Arial" w:eastAsia="Arial" w:hAnsi="Arial"/>
                <w:sz w:val="18"/>
                <w:szCs w:val="18"/>
                <w:b w:val="1"/>
                <w:bCs w:val="1"/>
                <w:color w:val="auto"/>
              </w:rPr>
              <w:t>.</w:t>
            </w:r>
          </w:p>
        </w:tc>
        <w:tc>
          <w:tcPr>
            <w:tcW w:w="24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84"/>
        </w:trPr>
        <w:tc>
          <w:tcPr>
            <w:tcW w:w="300" w:type="dxa"/>
            <w:vAlign w:val="bottom"/>
          </w:tcPr>
          <w:p>
            <w:pPr>
              <w:spacing w:after="0"/>
              <w:rPr>
                <w:sz w:val="24"/>
                <w:szCs w:val="24"/>
                <w:color w:val="auto"/>
              </w:rPr>
            </w:pPr>
          </w:p>
        </w:tc>
        <w:tc>
          <w:tcPr>
            <w:tcW w:w="9580" w:type="dxa"/>
            <w:vAlign w:val="bottom"/>
            <w:gridSpan w:val="3"/>
          </w:tcPr>
          <w:p>
            <w:pPr>
              <w:ind w:left="4060"/>
              <w:spacing w:after="0"/>
              <w:rPr>
                <w:sz w:val="20"/>
                <w:szCs w:val="20"/>
                <w:color w:val="auto"/>
              </w:rPr>
            </w:pPr>
            <w:r>
              <w:rPr>
                <w:rFonts w:ascii="Arial" w:cs="Arial" w:eastAsia="Arial" w:hAnsi="Arial"/>
                <w:sz w:val="18"/>
                <w:szCs w:val="18"/>
                <w:b w:val="1"/>
                <w:bCs w:val="1"/>
                <w:color w:val="auto"/>
              </w:rPr>
              <w:t>Commission File Number 001-32871</w:t>
            </w:r>
          </w:p>
        </w:tc>
        <w:tc>
          <w:tcPr>
            <w:tcW w:w="640" w:type="dxa"/>
            <w:vAlign w:val="bottom"/>
          </w:tcPr>
          <w:p>
            <w:pPr>
              <w:spacing w:after="0"/>
              <w:rPr>
                <w:sz w:val="24"/>
                <w:szCs w:val="24"/>
                <w:color w:val="auto"/>
              </w:rPr>
            </w:pPr>
          </w:p>
        </w:tc>
      </w:tr>
      <w:tr>
        <w:trPr>
          <w:trHeight w:val="178"/>
        </w:trPr>
        <w:tc>
          <w:tcPr>
            <w:tcW w:w="30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2420" w:type="dxa"/>
            <w:vAlign w:val="bottom"/>
            <w:tcBorders>
              <w:bottom w:val="single" w:sz="8" w:color="auto"/>
            </w:tcBorders>
          </w:tcPr>
          <w:p>
            <w:pPr>
              <w:spacing w:after="0"/>
              <w:rPr>
                <w:sz w:val="15"/>
                <w:szCs w:val="15"/>
                <w:color w:val="auto"/>
              </w:rPr>
            </w:pPr>
          </w:p>
        </w:tc>
        <w:tc>
          <w:tcPr>
            <w:tcW w:w="2960" w:type="dxa"/>
            <w:vAlign w:val="bottom"/>
          </w:tcPr>
          <w:p>
            <w:pPr>
              <w:spacing w:after="0"/>
              <w:rPr>
                <w:sz w:val="15"/>
                <w:szCs w:val="15"/>
                <w:color w:val="auto"/>
              </w:rPr>
            </w:pPr>
          </w:p>
        </w:tc>
        <w:tc>
          <w:tcPr>
            <w:tcW w:w="64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2165985</wp:posOffset>
            </wp:positionH>
            <wp:positionV relativeFrom="paragraph">
              <wp:posOffset>68580</wp:posOffset>
            </wp:positionV>
            <wp:extent cx="2933065" cy="763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33065" cy="7632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COMCAST CORPORATION</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230" w:right="239" w:bottom="1440" w:gutter="0" w:footer="0" w:header="0"/>
        </w:sectPr>
      </w:pPr>
    </w:p>
    <w:p>
      <w:pPr>
        <w:spacing w:after="0" w:line="57" w:lineRule="exact"/>
        <w:rPr>
          <w:sz w:val="24"/>
          <w:szCs w:val="24"/>
          <w:color w:val="auto"/>
        </w:rPr>
      </w:pPr>
    </w:p>
    <w:p>
      <w:pPr>
        <w:ind w:left="2140"/>
        <w:spacing w:after="0"/>
        <w:rPr>
          <w:sz w:val="20"/>
          <w:szCs w:val="20"/>
          <w:color w:val="auto"/>
        </w:rPr>
      </w:pPr>
      <w:r>
        <w:rPr>
          <w:rFonts w:ascii="Arial" w:cs="Arial" w:eastAsia="Arial" w:hAnsi="Arial"/>
          <w:sz w:val="18"/>
          <w:szCs w:val="18"/>
          <w:b w:val="1"/>
          <w:bCs w:val="1"/>
          <w:color w:val="auto"/>
        </w:rPr>
        <w:t>PENNSYLVANIA</w:t>
      </w:r>
    </w:p>
    <w:p>
      <w:pPr>
        <w:spacing w:after="0" w:line="21" w:lineRule="exact"/>
        <w:rPr>
          <w:sz w:val="24"/>
          <w:szCs w:val="24"/>
          <w:color w:val="auto"/>
        </w:rPr>
      </w:pPr>
    </w:p>
    <w:p>
      <w:pPr>
        <w:ind w:left="180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76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jc w:val="center"/>
        <w:ind w:right="2020"/>
        <w:spacing w:after="0"/>
        <w:rPr>
          <w:sz w:val="20"/>
          <w:szCs w:val="20"/>
          <w:color w:val="auto"/>
        </w:rPr>
      </w:pPr>
      <w:r>
        <w:rPr>
          <w:rFonts w:ascii="Arial" w:cs="Arial" w:eastAsia="Arial" w:hAnsi="Arial"/>
          <w:sz w:val="18"/>
          <w:szCs w:val="18"/>
          <w:b w:val="1"/>
          <w:bCs w:val="1"/>
          <w:color w:val="auto"/>
        </w:rPr>
        <w:t>27-0000798</w:t>
      </w:r>
    </w:p>
    <w:p>
      <w:pPr>
        <w:spacing w:after="0" w:line="21" w:lineRule="exact"/>
        <w:rPr>
          <w:sz w:val="24"/>
          <w:szCs w:val="24"/>
          <w:color w:val="auto"/>
        </w:rPr>
      </w:pPr>
    </w:p>
    <w:p>
      <w:pPr>
        <w:jc w:val="center"/>
        <w:ind w:right="2020"/>
        <w:spacing w:after="0"/>
        <w:rPr>
          <w:sz w:val="20"/>
          <w:szCs w:val="20"/>
          <w:color w:val="auto"/>
        </w:rPr>
      </w:pPr>
      <w:r>
        <w:rPr>
          <w:rFonts w:ascii="Arial" w:cs="Arial" w:eastAsia="Arial" w:hAnsi="Arial"/>
          <w:sz w:val="16"/>
          <w:szCs w:val="16"/>
          <w:color w:val="auto"/>
        </w:rPr>
        <w:t>(I.R.S. Employer</w:t>
      </w:r>
    </w:p>
    <w:p>
      <w:pPr>
        <w:spacing w:after="0" w:line="32" w:lineRule="exact"/>
        <w:rPr>
          <w:sz w:val="24"/>
          <w:szCs w:val="24"/>
          <w:color w:val="auto"/>
        </w:rPr>
      </w:pPr>
    </w:p>
    <w:p>
      <w:pPr>
        <w:jc w:val="center"/>
        <w:ind w:right="2020"/>
        <w:spacing w:after="0"/>
        <w:rPr>
          <w:sz w:val="20"/>
          <w:szCs w:val="20"/>
          <w:color w:val="auto"/>
        </w:rPr>
      </w:pPr>
      <w:r>
        <w:rPr>
          <w:rFonts w:ascii="Arial" w:cs="Arial" w:eastAsia="Arial" w:hAnsi="Arial"/>
          <w:sz w:val="16"/>
          <w:szCs w:val="16"/>
          <w:color w:val="auto"/>
        </w:rPr>
        <w:t>Identification No.)</w:t>
      </w:r>
    </w:p>
    <w:p>
      <w:pPr>
        <w:spacing w:after="0" w:line="87" w:lineRule="exact"/>
        <w:rPr>
          <w:sz w:val="24"/>
          <w:szCs w:val="24"/>
          <w:color w:val="auto"/>
        </w:rPr>
      </w:pPr>
    </w:p>
    <w:p>
      <w:pPr>
        <w:sectPr>
          <w:pgSz w:w="11900" w:h="16838" w:orient="portrait"/>
          <w:cols w:equalWidth="0" w:num="2">
            <w:col w:w="7360" w:space="720"/>
            <w:col w:w="334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1500 Market Street, Philadelphia, PA 19102-2148</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(Zip Code)</w:t>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Registrant’s telephone number, including area code: (215) 665-1700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144780</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341"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requirements for the past 90 days.</w:t>
      </w:r>
    </w:p>
    <w:p>
      <w:pPr>
        <w:spacing w:after="0" w:line="13"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143510</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19"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ectPr>
          <w:pgSz w:w="11900" w:h="16838" w:orient="portrait"/>
          <w:cols w:equalWidth="0" w:num="1">
            <w:col w:w="11420"/>
          </w:cols>
          <w:pgMar w:left="240" w:top="230" w:right="239" w:bottom="1440" w:gutter="0" w:footer="0" w:header="0"/>
          <w:type w:val="continuous"/>
        </w:sectPr>
      </w:pPr>
    </w:p>
    <w:p>
      <w:pPr>
        <w:spacing w:after="0" w:line="5" w:lineRule="exact"/>
        <w:rPr>
          <w:sz w:val="24"/>
          <w:szCs w:val="24"/>
          <w:color w:val="auto"/>
        </w:rPr>
      </w:pPr>
    </w:p>
    <w:p>
      <w:pPr>
        <w:ind w:left="20"/>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jc w:val="center"/>
        <w:ind w:right="420"/>
        <w:spacing w:after="0" w:line="169"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8"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143" w:lineRule="exact"/>
        <w:rPr>
          <w:sz w:val="24"/>
          <w:szCs w:val="24"/>
          <w:color w:val="auto"/>
        </w:rPr>
      </w:pPr>
    </w:p>
    <w:p>
      <w:pPr>
        <w:sectPr>
          <w:pgSz w:w="11900" w:h="16838" w:orient="portrait"/>
          <w:cols w:equalWidth="0" w:num="3">
            <w:col w:w="2220" w:space="720"/>
            <w:col w:w="1800" w:space="720"/>
            <w:col w:w="5960"/>
          </w:cols>
          <w:pgMar w:left="240" w:top="230" w:right="239" w:bottom="1440" w:gutter="0" w:footer="0" w:header="0"/>
          <w:type w:val="continuous"/>
        </w:sectPr>
      </w:pPr>
    </w:p>
    <w:p>
      <w:pPr>
        <w:ind w:left="2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Act).</w:t>
      </w:r>
    </w:p>
    <w:p>
      <w:pPr>
        <w:spacing w:after="0" w:line="79" w:lineRule="exact"/>
        <w:rPr>
          <w:sz w:val="24"/>
          <w:szCs w:val="24"/>
          <w:color w:val="auto"/>
        </w:rPr>
      </w:pPr>
    </w:p>
    <w:p>
      <w:pPr>
        <w:ind w:left="52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11420"/>
          </w:cols>
          <w:pgMar w:left="240" w:top="230" w:right="239" w:bottom="1440" w:gutter="0" w:footer="0" w:header="0"/>
          <w:type w:val="continuous"/>
        </w:sectPr>
      </w:pPr>
    </w:p>
    <w:p>
      <w:pPr>
        <w:spacing w:after="0" w:line="109" w:lineRule="exact"/>
        <w:rPr>
          <w:sz w:val="24"/>
          <w:szCs w:val="24"/>
          <w:color w:val="auto"/>
        </w:rPr>
      </w:pPr>
    </w:p>
    <w:p>
      <w:pPr>
        <w:ind w:right="20"/>
        <w:spacing w:after="0" w:line="268" w:lineRule="auto"/>
        <w:rPr>
          <w:sz w:val="20"/>
          <w:szCs w:val="20"/>
          <w:color w:val="auto"/>
        </w:rPr>
      </w:pPr>
      <w:r>
        <w:rPr>
          <w:rFonts w:ascii="Arial" w:cs="Arial" w:eastAsia="Arial" w:hAnsi="Arial"/>
          <w:sz w:val="18"/>
          <w:szCs w:val="18"/>
          <w:color w:val="auto"/>
        </w:rPr>
        <w:t>As of September 30, 2007, there were 2,077,828,113 shares of our Class A Common Stock, 985,898,792 shares of our Class A Special Common Stock and 9,444,375 shares of our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SEPTEMBER 30, 2007</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ind w:right="15"/>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600" w:type="dxa"/>
            <w:vAlign w:val="bottom"/>
            <w:gridSpan w:val="16"/>
          </w:tcPr>
          <w:p>
            <w:pPr>
              <w:spacing w:after="0" w:line="195" w:lineRule="exact"/>
              <w:rPr>
                <w:sz w:val="20"/>
                <w:szCs w:val="20"/>
                <w:color w:val="auto"/>
              </w:rPr>
            </w:pPr>
            <w:r>
              <w:rPr>
                <w:rFonts w:ascii="Arial" w:cs="Arial" w:eastAsia="Arial" w:hAnsi="Arial"/>
                <w:sz w:val="18"/>
                <w:szCs w:val="18"/>
                <w:b w:val="1"/>
                <w:bCs w:val="1"/>
                <w:color w:val="auto"/>
              </w:rPr>
              <w:t>PART I. FINANCIAL INFORMATION</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740" w:type="dxa"/>
            <w:vAlign w:val="bottom"/>
            <w:gridSpan w:val="2"/>
          </w:tcPr>
          <w:p>
            <w:pPr>
              <w:ind w:left="740"/>
              <w:spacing w:after="0" w:line="190" w:lineRule="exact"/>
              <w:rPr>
                <w:sz w:val="20"/>
                <w:szCs w:val="20"/>
                <w:color w:val="auto"/>
              </w:rPr>
            </w:pPr>
            <w:r>
              <w:rPr>
                <w:rFonts w:ascii="Arial" w:cs="Arial" w:eastAsia="Arial" w:hAnsi="Arial"/>
                <w:sz w:val="18"/>
                <w:szCs w:val="18"/>
                <w:b w:val="1"/>
                <w:bCs w:val="1"/>
                <w:color w:val="auto"/>
              </w:rPr>
              <w:t>Item 1.</w:t>
            </w:r>
          </w:p>
        </w:tc>
        <w:tc>
          <w:tcPr>
            <w:tcW w:w="1460" w:type="dxa"/>
            <w:vAlign w:val="bottom"/>
            <w:tcBorders>
              <w:bottom w:val="single" w:sz="8" w:color="0000EE"/>
            </w:tcBorders>
            <w:gridSpan w:val="5"/>
          </w:tcPr>
          <w:p>
            <w:pPr>
              <w:spacing w:after="0" w:line="190" w:lineRule="exact"/>
              <w:rPr>
                <w:rFonts w:ascii="Arial" w:cs="Arial" w:eastAsia="Arial" w:hAnsi="Arial"/>
                <w:sz w:val="18"/>
                <w:szCs w:val="18"/>
                <w:color w:val="0000EE"/>
                <w:w w:val="85"/>
              </w:rPr>
            </w:pPr>
            <w:hyperlink w:anchor="page3">
              <w:r>
                <w:rPr>
                  <w:rFonts w:ascii="Arial" w:cs="Arial" w:eastAsia="Arial" w:hAnsi="Arial"/>
                  <w:sz w:val="18"/>
                  <w:szCs w:val="18"/>
                  <w:color w:val="0000EE"/>
                  <w:w w:val="85"/>
                </w:rPr>
                <w:t>Financial Statements</w:t>
              </w:r>
            </w:hyperlink>
          </w:p>
        </w:tc>
        <w:tc>
          <w:tcPr>
            <w:tcW w:w="7400" w:type="dxa"/>
            <w:vAlign w:val="bottom"/>
            <w:gridSpan w:val="9"/>
          </w:tcPr>
          <w:p>
            <w:pPr>
              <w:spacing w:after="0"/>
              <w:rPr>
                <w:sz w:val="16"/>
                <w:szCs w:val="16"/>
                <w:color w:val="auto"/>
              </w:rPr>
            </w:pPr>
          </w:p>
        </w:tc>
        <w:tc>
          <w:tcPr>
            <w:tcW w:w="800" w:type="dxa"/>
            <w:vAlign w:val="bottom"/>
          </w:tcPr>
          <w:p>
            <w:pPr>
              <w:jc w:val="right"/>
              <w:spacing w:after="0" w:line="190"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40" w:type="dxa"/>
            <w:vAlign w:val="bottom"/>
            <w:tcBorders>
              <w:bottom w:val="single" w:sz="8" w:color="0000EE"/>
            </w:tcBorders>
            <w:gridSpan w:val="11"/>
          </w:tcPr>
          <w:p>
            <w:pPr>
              <w:spacing w:after="0" w:line="196" w:lineRule="exact"/>
              <w:rPr>
                <w:rFonts w:ascii="Arial" w:cs="Arial" w:eastAsia="Arial" w:hAnsi="Arial"/>
                <w:sz w:val="18"/>
                <w:szCs w:val="18"/>
                <w:color w:val="0000EE"/>
                <w:w w:val="86"/>
              </w:rPr>
            </w:pPr>
            <w:hyperlink w:anchor="page3">
              <w:r>
                <w:rPr>
                  <w:rFonts w:ascii="Arial" w:cs="Arial" w:eastAsia="Arial" w:hAnsi="Arial"/>
                  <w:sz w:val="18"/>
                  <w:szCs w:val="18"/>
                  <w:color w:val="0000EE"/>
                  <w:w w:val="86"/>
                </w:rPr>
                <w:t>Condensed Consolidated Balance Sheet as of September 30, 2007 and December 31, 2006 (Unaudited)</w:t>
              </w:r>
            </w:hyperlink>
          </w:p>
        </w:tc>
        <w:tc>
          <w:tcPr>
            <w:tcW w:w="1620" w:type="dxa"/>
            <w:vAlign w:val="bottom"/>
            <w:gridSpan w:val="3"/>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360" w:type="dxa"/>
            <w:vAlign w:val="bottom"/>
            <w:tcBorders>
              <w:bottom w:val="single" w:sz="8" w:color="0000EE"/>
            </w:tcBorders>
            <w:gridSpan w:val="12"/>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Statement of Operations for the Three and Nine Months Ended September 30, 2007 and 2006</w:t>
              </w:r>
            </w:hyperlink>
          </w:p>
        </w:tc>
        <w:tc>
          <w:tcPr>
            <w:tcW w:w="500" w:type="dxa"/>
            <w:vAlign w:val="bottom"/>
            <w:gridSpan w:val="2"/>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(Unaudited)</w:t>
              </w:r>
            </w:hyperlink>
          </w:p>
        </w:tc>
        <w:tc>
          <w:tcPr>
            <w:tcW w:w="8020" w:type="dxa"/>
            <w:vAlign w:val="bottom"/>
            <w:gridSpan w:val="12"/>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60" w:type="dxa"/>
            <w:vAlign w:val="bottom"/>
            <w:gridSpan w:val="14"/>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 of Cash Flows for the Nine Months Ended September 30, 2007 and 2006 (Unaudited)</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40" w:type="dxa"/>
            <w:vAlign w:val="bottom"/>
            <w:gridSpan w:val="2"/>
            <w:vMerge w:val="restart"/>
          </w:tcPr>
          <w:p>
            <w:pPr>
              <w:ind w:left="740"/>
              <w:spacing w:after="0"/>
              <w:rPr>
                <w:sz w:val="20"/>
                <w:szCs w:val="20"/>
                <w:color w:val="auto"/>
              </w:rPr>
            </w:pPr>
            <w:r>
              <w:rPr>
                <w:rFonts w:ascii="Arial" w:cs="Arial" w:eastAsia="Arial" w:hAnsi="Arial"/>
                <w:sz w:val="18"/>
                <w:szCs w:val="18"/>
                <w:b w:val="1"/>
                <w:bCs w:val="1"/>
                <w:color w:val="auto"/>
              </w:rPr>
              <w:t>Item 2.</w:t>
            </w:r>
          </w:p>
        </w:tc>
        <w:tc>
          <w:tcPr>
            <w:tcW w:w="47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Notes to Condensed Consolidated Financial Statements (Unaudited)</w:t>
              </w:r>
            </w:hyperlink>
          </w:p>
        </w:tc>
        <w:tc>
          <w:tcPr>
            <w:tcW w:w="3760" w:type="dxa"/>
            <w:vAlign w:val="bottom"/>
            <w:tcBorders>
              <w:top w:val="single" w:sz="8" w:color="0000EE"/>
            </w:tcBorders>
            <w:gridSpan w:val="4"/>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630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25">
              <w:r>
                <w:rPr>
                  <w:rFonts w:ascii="Arial" w:cs="Arial" w:eastAsia="Arial" w:hAnsi="Arial"/>
                  <w:sz w:val="18"/>
                  <w:szCs w:val="18"/>
                  <w:color w:val="0000EE"/>
                  <w:w w:val="88"/>
                </w:rPr>
                <w:t>Management’s Discussion and Analysis of Financial Condition and Results of Operations</w:t>
              </w:r>
            </w:hyperlink>
          </w:p>
        </w:tc>
        <w:tc>
          <w:tcPr>
            <w:tcW w:w="2560" w:type="dxa"/>
            <w:vAlign w:val="bottom"/>
            <w:gridSpan w:val="4"/>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40" w:type="dxa"/>
            <w:vAlign w:val="bottom"/>
            <w:gridSpan w:val="2"/>
          </w:tcPr>
          <w:p>
            <w:pPr>
              <w:ind w:left="740"/>
              <w:spacing w:after="0" w:line="196" w:lineRule="exact"/>
              <w:rPr>
                <w:sz w:val="20"/>
                <w:szCs w:val="20"/>
                <w:color w:val="auto"/>
              </w:rPr>
            </w:pPr>
            <w:r>
              <w:rPr>
                <w:rFonts w:ascii="Arial" w:cs="Arial" w:eastAsia="Arial" w:hAnsi="Arial"/>
                <w:sz w:val="18"/>
                <w:szCs w:val="18"/>
                <w:b w:val="1"/>
                <w:bCs w:val="1"/>
                <w:color w:val="auto"/>
              </w:rPr>
              <w:t>Item 3.</w:t>
            </w:r>
          </w:p>
        </w:tc>
        <w:tc>
          <w:tcPr>
            <w:tcW w:w="426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Quantitative and Qualitative Disclosures About Market Risk</w:t>
              </w:r>
            </w:hyperlink>
          </w:p>
        </w:tc>
        <w:tc>
          <w:tcPr>
            <w:tcW w:w="4600" w:type="dxa"/>
            <w:vAlign w:val="bottom"/>
            <w:gridSpan w:val="6"/>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40" w:type="dxa"/>
            <w:vAlign w:val="bottom"/>
            <w:gridSpan w:val="2"/>
          </w:tcPr>
          <w:p>
            <w:pPr>
              <w:ind w:left="740"/>
              <w:spacing w:after="0" w:line="196" w:lineRule="exact"/>
              <w:rPr>
                <w:sz w:val="20"/>
                <w:szCs w:val="20"/>
                <w:color w:val="auto"/>
              </w:rPr>
            </w:pPr>
            <w:r>
              <w:rPr>
                <w:rFonts w:ascii="Arial" w:cs="Arial" w:eastAsia="Arial" w:hAnsi="Arial"/>
                <w:sz w:val="18"/>
                <w:szCs w:val="18"/>
                <w:b w:val="1"/>
                <w:bCs w:val="1"/>
                <w:color w:val="auto"/>
              </w:rPr>
              <w:t>Item 4.</w:t>
            </w:r>
          </w:p>
        </w:tc>
        <w:tc>
          <w:tcPr>
            <w:tcW w:w="1720" w:type="dxa"/>
            <w:vAlign w:val="bottom"/>
            <w:tcBorders>
              <w:bottom w:val="single" w:sz="8" w:color="0000EE"/>
            </w:tcBorders>
            <w:gridSpan w:val="6"/>
          </w:tcPr>
          <w:p>
            <w:pPr>
              <w:spacing w:after="0" w:line="196" w:lineRule="exact"/>
              <w:rPr>
                <w:rFonts w:ascii="Arial" w:cs="Arial" w:eastAsia="Arial" w:hAnsi="Arial"/>
                <w:sz w:val="18"/>
                <w:szCs w:val="18"/>
                <w:color w:val="0000EE"/>
                <w:w w:val="85"/>
              </w:rPr>
            </w:pPr>
            <w:hyperlink w:anchor="page33">
              <w:r>
                <w:rPr>
                  <w:rFonts w:ascii="Arial" w:cs="Arial" w:eastAsia="Arial" w:hAnsi="Arial"/>
                  <w:sz w:val="18"/>
                  <w:szCs w:val="18"/>
                  <w:color w:val="0000EE"/>
                  <w:w w:val="85"/>
                </w:rPr>
                <w:t>Controls and Procedures</w:t>
              </w:r>
            </w:hyperlink>
          </w:p>
        </w:tc>
        <w:tc>
          <w:tcPr>
            <w:tcW w:w="7140" w:type="dxa"/>
            <w:vAlign w:val="bottom"/>
            <w:gridSpan w:val="8"/>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2"/>
        </w:trPr>
        <w:tc>
          <w:tcPr>
            <w:tcW w:w="10620" w:type="dxa"/>
            <w:vAlign w:val="bottom"/>
            <w:gridSpan w:val="17"/>
          </w:tcPr>
          <w:p>
            <w:pPr>
              <w:spacing w:after="0"/>
              <w:rPr>
                <w:sz w:val="20"/>
                <w:szCs w:val="20"/>
                <w:color w:val="auto"/>
              </w:rPr>
            </w:pPr>
            <w:r>
              <w:rPr>
                <w:rFonts w:ascii="Arial" w:cs="Arial" w:eastAsia="Arial" w:hAnsi="Arial"/>
                <w:sz w:val="18"/>
                <w:szCs w:val="18"/>
                <w:b w:val="1"/>
                <w:bCs w:val="1"/>
                <w:color w:val="auto"/>
              </w:rPr>
              <w:t>PART II. OTHER INFORMATION</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740" w:type="dxa"/>
            <w:vAlign w:val="bottom"/>
            <w:gridSpan w:val="2"/>
          </w:tcPr>
          <w:p>
            <w:pPr>
              <w:ind w:left="740"/>
              <w:spacing w:after="0" w:line="190" w:lineRule="exact"/>
              <w:rPr>
                <w:sz w:val="20"/>
                <w:szCs w:val="20"/>
                <w:color w:val="auto"/>
              </w:rPr>
            </w:pPr>
            <w:r>
              <w:rPr>
                <w:rFonts w:ascii="Arial" w:cs="Arial" w:eastAsia="Arial" w:hAnsi="Arial"/>
                <w:sz w:val="18"/>
                <w:szCs w:val="18"/>
                <w:b w:val="1"/>
                <w:bCs w:val="1"/>
                <w:color w:val="auto"/>
              </w:rPr>
              <w:t>Item 1.</w:t>
            </w:r>
          </w:p>
        </w:tc>
        <w:tc>
          <w:tcPr>
            <w:tcW w:w="1300" w:type="dxa"/>
            <w:vAlign w:val="bottom"/>
            <w:tcBorders>
              <w:bottom w:val="single" w:sz="8" w:color="0000EE"/>
            </w:tcBorders>
            <w:gridSpan w:val="4"/>
          </w:tcPr>
          <w:p>
            <w:pPr>
              <w:spacing w:after="0" w:line="190" w:lineRule="exact"/>
              <w:rPr>
                <w:rFonts w:ascii="Arial" w:cs="Arial" w:eastAsia="Arial" w:hAnsi="Arial"/>
                <w:sz w:val="18"/>
                <w:szCs w:val="18"/>
                <w:color w:val="0000EE"/>
                <w:w w:val="85"/>
              </w:rPr>
            </w:pPr>
            <w:hyperlink w:anchor="page34">
              <w:r>
                <w:rPr>
                  <w:rFonts w:ascii="Arial" w:cs="Arial" w:eastAsia="Arial" w:hAnsi="Arial"/>
                  <w:sz w:val="18"/>
                  <w:szCs w:val="18"/>
                  <w:color w:val="0000EE"/>
                  <w:w w:val="85"/>
                </w:rPr>
                <w:t>Legal Proceedings</w:t>
              </w:r>
            </w:hyperlink>
          </w:p>
        </w:tc>
        <w:tc>
          <w:tcPr>
            <w:tcW w:w="7560" w:type="dxa"/>
            <w:vAlign w:val="bottom"/>
            <w:gridSpan w:val="10"/>
          </w:tcPr>
          <w:p>
            <w:pPr>
              <w:spacing w:after="0"/>
              <w:rPr>
                <w:sz w:val="16"/>
                <w:szCs w:val="16"/>
                <w:color w:val="auto"/>
              </w:rPr>
            </w:pPr>
          </w:p>
        </w:tc>
        <w:tc>
          <w:tcPr>
            <w:tcW w:w="800" w:type="dxa"/>
            <w:vAlign w:val="bottom"/>
          </w:tcPr>
          <w:p>
            <w:pPr>
              <w:jc w:val="right"/>
              <w:spacing w:after="0" w:line="190"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40" w:type="dxa"/>
            <w:vAlign w:val="bottom"/>
            <w:gridSpan w:val="2"/>
          </w:tcPr>
          <w:p>
            <w:pPr>
              <w:ind w:left="740"/>
              <w:spacing w:after="0" w:line="196" w:lineRule="exact"/>
              <w:rPr>
                <w:sz w:val="20"/>
                <w:szCs w:val="20"/>
                <w:color w:val="auto"/>
              </w:rPr>
            </w:pPr>
            <w:r>
              <w:rPr>
                <w:rFonts w:ascii="Arial" w:cs="Arial" w:eastAsia="Arial" w:hAnsi="Arial"/>
                <w:sz w:val="18"/>
                <w:szCs w:val="18"/>
                <w:b w:val="1"/>
                <w:bCs w:val="1"/>
                <w:color w:val="auto"/>
              </w:rPr>
              <w:t>Item 1A.</w:t>
            </w:r>
          </w:p>
        </w:tc>
        <w:tc>
          <w:tcPr>
            <w:tcW w:w="88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w:anchor="page34">
              <w:r>
                <w:rPr>
                  <w:rFonts w:ascii="Arial" w:cs="Arial" w:eastAsia="Arial" w:hAnsi="Arial"/>
                  <w:sz w:val="18"/>
                  <w:szCs w:val="18"/>
                  <w:color w:val="0000EE"/>
                  <w:w w:val="85"/>
                </w:rPr>
                <w:t>Risk Factors</w:t>
              </w:r>
            </w:hyperlink>
          </w:p>
        </w:tc>
        <w:tc>
          <w:tcPr>
            <w:tcW w:w="7980" w:type="dxa"/>
            <w:vAlign w:val="bottom"/>
            <w:gridSpan w:val="11"/>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40" w:type="dxa"/>
            <w:vAlign w:val="bottom"/>
            <w:gridSpan w:val="2"/>
          </w:tcPr>
          <w:p>
            <w:pPr>
              <w:ind w:left="740"/>
              <w:spacing w:after="0" w:line="196" w:lineRule="exact"/>
              <w:rPr>
                <w:sz w:val="20"/>
                <w:szCs w:val="20"/>
                <w:color w:val="auto"/>
              </w:rPr>
            </w:pPr>
            <w:r>
              <w:rPr>
                <w:rFonts w:ascii="Arial" w:cs="Arial" w:eastAsia="Arial" w:hAnsi="Arial"/>
                <w:sz w:val="18"/>
                <w:szCs w:val="18"/>
                <w:b w:val="1"/>
                <w:bCs w:val="1"/>
                <w:color w:val="auto"/>
              </w:rPr>
              <w:t>Item 2.</w:t>
            </w:r>
          </w:p>
        </w:tc>
        <w:tc>
          <w:tcPr>
            <w:tcW w:w="4240" w:type="dxa"/>
            <w:vAlign w:val="bottom"/>
            <w:tcBorders>
              <w:bottom w:val="single" w:sz="8" w:color="0000EE"/>
            </w:tcBorders>
            <w:gridSpan w:val="7"/>
          </w:tcPr>
          <w:p>
            <w:pPr>
              <w:spacing w:after="0" w:line="196" w:lineRule="exact"/>
              <w:rPr>
                <w:rFonts w:ascii="Arial" w:cs="Arial" w:eastAsia="Arial" w:hAnsi="Arial"/>
                <w:sz w:val="18"/>
                <w:szCs w:val="18"/>
                <w:color w:val="0000EE"/>
                <w:w w:val="86"/>
              </w:rPr>
            </w:pPr>
            <w:hyperlink w:anchor="page34">
              <w:r>
                <w:rPr>
                  <w:rFonts w:ascii="Arial" w:cs="Arial" w:eastAsia="Arial" w:hAnsi="Arial"/>
                  <w:sz w:val="18"/>
                  <w:szCs w:val="18"/>
                  <w:color w:val="0000EE"/>
                  <w:w w:val="86"/>
                </w:rPr>
                <w:t>Unregistered Sales of Equity Securities and Use of Proceeds</w:t>
              </w:r>
            </w:hyperlink>
          </w:p>
        </w:tc>
        <w:tc>
          <w:tcPr>
            <w:tcW w:w="4620" w:type="dxa"/>
            <w:vAlign w:val="bottom"/>
            <w:gridSpan w:val="7"/>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40" w:type="dxa"/>
            <w:vAlign w:val="bottom"/>
            <w:gridSpan w:val="2"/>
          </w:tcPr>
          <w:p>
            <w:pPr>
              <w:ind w:left="740"/>
              <w:spacing w:after="0" w:line="196" w:lineRule="exact"/>
              <w:rPr>
                <w:sz w:val="20"/>
                <w:szCs w:val="20"/>
                <w:color w:val="auto"/>
              </w:rPr>
            </w:pPr>
            <w:r>
              <w:rPr>
                <w:rFonts w:ascii="Arial" w:cs="Arial" w:eastAsia="Arial" w:hAnsi="Arial"/>
                <w:sz w:val="18"/>
                <w:szCs w:val="18"/>
                <w:b w:val="1"/>
                <w:bCs w:val="1"/>
                <w:color w:val="auto"/>
              </w:rPr>
              <w:t>Item 6.</w:t>
            </w:r>
          </w:p>
        </w:tc>
        <w:tc>
          <w:tcPr>
            <w:tcW w:w="8860" w:type="dxa"/>
            <w:vAlign w:val="bottom"/>
            <w:gridSpan w:val="14"/>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Exhibits</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1140" w:type="dxa"/>
            <w:vAlign w:val="bottom"/>
            <w:tcBorders>
              <w:bottom w:val="single" w:sz="8" w:color="0000EE"/>
            </w:tcBorders>
            <w:gridSpan w:val="2"/>
          </w:tcPr>
          <w:p>
            <w:pPr>
              <w:spacing w:after="0" w:line="196" w:lineRule="exact"/>
              <w:rPr>
                <w:rFonts w:ascii="Arial" w:cs="Arial" w:eastAsia="Arial" w:hAnsi="Arial"/>
                <w:sz w:val="18"/>
                <w:szCs w:val="18"/>
                <w:b w:val="1"/>
                <w:bCs w:val="1"/>
                <w:color w:val="0000EE"/>
                <w:w w:val="94"/>
              </w:rPr>
            </w:pPr>
            <w:hyperlink w:anchor="page35">
              <w:r>
                <w:rPr>
                  <w:rFonts w:ascii="Arial" w:cs="Arial" w:eastAsia="Arial" w:hAnsi="Arial"/>
                  <w:sz w:val="18"/>
                  <w:szCs w:val="18"/>
                  <w:b w:val="1"/>
                  <w:bCs w:val="1"/>
                  <w:color w:val="0000EE"/>
                  <w:w w:val="94"/>
                </w:rPr>
                <w:t>SIGNATURES</w:t>
              </w:r>
            </w:hyperlink>
          </w:p>
        </w:tc>
        <w:tc>
          <w:tcPr>
            <w:tcW w:w="620" w:type="dxa"/>
            <w:vAlign w:val="bottom"/>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120015</wp:posOffset>
            </wp:positionV>
            <wp:extent cx="15347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8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This Quarterly Report on Form 10-Q is for the three and nine months ended September 30, 2007. This Quarterly Report modifies and supersedes documents filed prior to this Quarterly Report. The Securities and Exchange Commission (“SEC”) allows us to “incorporate by reference” information that we file with them, which means that we can disclose important information to you by referring you directly to those documents. Information incorporated by reference is considered to be part of this Quarterly Report. In addition, information that we file with the SEC in the future will automatically update and supersede information contained in this Quarterly Report. Throughout this Quarterly Report, we refer to Comcast Corporation as “Comcast;” Comcast and its consolidated subsidiaries as “we,” “us” and “our;” and Comcast Holdings Corporation as “Comcast Holdings.”</w:t>
      </w:r>
    </w:p>
    <w:p>
      <w:pPr>
        <w:spacing w:after="0" w:line="2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You should carefully review the information contained in this Quarterly Report and particularly consider any risk factors that we set forth in this Quarterly Report and in other reports or documents that we file from time to time with the SEC. In this Quarterly Report, we state our beliefs of future events and of our future financial performance. In some cases, you can identify these so-called “forward-looking statements” by words such as “may,” “will,” “should,” “expects,” “plans,” “anticipates,” “believes,” “estimates,” “predicts,” “potential,” or “continue,” or the negative of those words, and other comparable words. You should be aware that those statements are only our predictions. In evaluating those statements, you should specifically consider various factors, including the risks outlined below. Actual events or our actual results may differ materially from any of our forward-looking statements.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Our businesses may be affected by, among other things, the following:</w:t>
      </w:r>
    </w:p>
    <w:p>
      <w:pPr>
        <w:spacing w:after="0" w:line="77" w:lineRule="exact"/>
        <w:rPr>
          <w:sz w:val="20"/>
          <w:szCs w:val="20"/>
          <w:color w:val="auto"/>
        </w:rPr>
      </w:pPr>
    </w:p>
    <w:p>
      <w:pPr>
        <w:ind w:left="1020" w:right="1260" w:hanging="215"/>
        <w:spacing w:after="0" w:line="268"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 of the services offered by our cable systems face a wide range of competition that could adversely affect our future results of operations</w:t>
      </w:r>
    </w:p>
    <w:p>
      <w:pPr>
        <w:spacing w:after="0" w:line="37" w:lineRule="exact"/>
        <w:rPr>
          <w:rFonts w:ascii="Arial" w:cs="Arial" w:eastAsia="Arial" w:hAnsi="Arial"/>
          <w:sz w:val="18"/>
          <w:szCs w:val="18"/>
          <w:color w:val="auto"/>
        </w:rPr>
      </w:pPr>
    </w:p>
    <w:p>
      <w:pPr>
        <w:ind w:left="1020" w:hanging="215"/>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programming expenses are increasing, which could adversely affect our future results of operations</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are subject to regulation by federal, state and local governments, which may impose costs and restrictions</w:t>
      </w:r>
    </w:p>
    <w:p>
      <w:pPr>
        <w:spacing w:after="0" w:line="76" w:lineRule="exact"/>
        <w:rPr>
          <w:rFonts w:ascii="Arial" w:cs="Arial" w:eastAsia="Arial" w:hAnsi="Arial"/>
          <w:sz w:val="18"/>
          <w:szCs w:val="18"/>
          <w:color w:val="auto"/>
        </w:rPr>
      </w:pPr>
    </w:p>
    <w:p>
      <w:pPr>
        <w:ind w:left="1020" w:right="1260" w:hanging="215"/>
        <w:spacing w:after="0" w:line="268"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may face increased competition because of technological advances and new regulatory requirements, which could adversely affect our future results of operations</w:t>
      </w:r>
    </w:p>
    <w:p>
      <w:pPr>
        <w:spacing w:after="0" w:line="37" w:lineRule="exact"/>
        <w:rPr>
          <w:rFonts w:ascii="Arial" w:cs="Arial" w:eastAsia="Arial" w:hAnsi="Arial"/>
          <w:sz w:val="18"/>
          <w:szCs w:val="18"/>
          <w:color w:val="auto"/>
        </w:rPr>
      </w:pPr>
    </w:p>
    <w:p>
      <w:pPr>
        <w:ind w:left="1020" w:hanging="215"/>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face risks arising from the outcome of various litigation matters</w:t>
      </w:r>
    </w:p>
    <w:p>
      <w:pPr>
        <w:spacing w:after="0" w:line="76" w:lineRule="exact"/>
        <w:rPr>
          <w:rFonts w:ascii="Arial" w:cs="Arial" w:eastAsia="Arial" w:hAnsi="Arial"/>
          <w:sz w:val="18"/>
          <w:szCs w:val="18"/>
          <w:color w:val="auto"/>
        </w:rPr>
      </w:pPr>
    </w:p>
    <w:p>
      <w:pPr>
        <w:ind w:left="1020" w:right="1240" w:hanging="215"/>
        <w:spacing w:after="0" w:line="268"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acquisitions and other strategic transactions present many risks, and we may not realize the financial and strategic goals that were contemplated at the time of any transaction</w:t>
      </w:r>
    </w:p>
    <w:p>
      <w:pPr>
        <w:spacing w:after="0" w:line="37" w:lineRule="exact"/>
        <w:rPr>
          <w:rFonts w:ascii="Arial" w:cs="Arial" w:eastAsia="Arial" w:hAnsi="Arial"/>
          <w:sz w:val="18"/>
          <w:szCs w:val="18"/>
          <w:color w:val="auto"/>
        </w:rPr>
      </w:pPr>
    </w:p>
    <w:p>
      <w:pPr>
        <w:jc w:val="both"/>
        <w:ind w:left="1020" w:right="1240" w:hanging="215"/>
        <w:spacing w:after="0" w:line="259"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Class B common stock has substantial voting rights and separate approval rights over a number of potentially material transactions and, through his beneficial ownership of the Class B common stock, our Chairman and CEO has considerable influence over our operations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SEPTEMBER 30, 2007</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 FINANCIAL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FINANCIAL STATEMENTS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Balance Sheet</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1720" w:type="dxa"/>
            <w:vAlign w:val="bottom"/>
            <w:gridSpan w:val="2"/>
          </w:tcPr>
          <w:p>
            <w:pPr>
              <w:ind w:left="560"/>
              <w:spacing w:after="0"/>
              <w:rPr>
                <w:sz w:val="20"/>
                <w:szCs w:val="20"/>
                <w:color w:val="auto"/>
              </w:rPr>
            </w:pPr>
            <w:r>
              <w:rPr>
                <w:rFonts w:ascii="Arial" w:cs="Arial" w:eastAsia="Arial" w:hAnsi="Arial"/>
                <w:sz w:val="14"/>
                <w:szCs w:val="14"/>
                <w:b w:val="1"/>
                <w:bCs w:val="1"/>
                <w:color w:val="auto"/>
              </w:rPr>
              <w:t>September 30,</w:t>
            </w:r>
          </w:p>
        </w:tc>
        <w:tc>
          <w:tcPr>
            <w:tcW w:w="1140" w:type="dxa"/>
            <w:vAlign w:val="bottom"/>
            <w:gridSpan w:val="2"/>
          </w:tcPr>
          <w:p>
            <w:pPr>
              <w:ind w:left="280"/>
              <w:spacing w:after="0"/>
              <w:rPr>
                <w:sz w:val="20"/>
                <w:szCs w:val="20"/>
                <w:color w:val="auto"/>
              </w:rPr>
            </w:pPr>
            <w:r>
              <w:rPr>
                <w:rFonts w:ascii="Arial" w:cs="Arial" w:eastAsia="Arial" w:hAnsi="Arial"/>
                <w:sz w:val="14"/>
                <w:szCs w:val="14"/>
                <w:b w:val="1"/>
                <w:bCs w:val="1"/>
                <w:color w:val="auto"/>
                <w:w w:val="92"/>
              </w:rPr>
              <w:t>December 31,</w:t>
            </w:r>
          </w:p>
        </w:tc>
      </w:tr>
      <w:tr>
        <w:trPr>
          <w:trHeight w:val="161"/>
        </w:trPr>
        <w:tc>
          <w:tcPr>
            <w:tcW w:w="8560" w:type="dxa"/>
            <w:vAlign w:val="bottom"/>
            <w:gridSpan w:val="2"/>
          </w:tcPr>
          <w:p>
            <w:pPr>
              <w:spacing w:after="0"/>
              <w:rPr>
                <w:sz w:val="20"/>
                <w:szCs w:val="20"/>
                <w:color w:val="auto"/>
              </w:rPr>
            </w:pPr>
            <w:r>
              <w:rPr>
                <w:rFonts w:ascii="Arial" w:cs="Arial" w:eastAsia="Arial" w:hAnsi="Arial"/>
                <w:sz w:val="14"/>
                <w:szCs w:val="14"/>
                <w:color w:val="auto"/>
              </w:rPr>
              <w:t>(in millions, except share data)</w:t>
            </w:r>
          </w:p>
        </w:tc>
        <w:tc>
          <w:tcPr>
            <w:tcW w:w="720" w:type="dxa"/>
            <w:vAlign w:val="bottom"/>
          </w:tcPr>
          <w:p>
            <w:pPr>
              <w:spacing w:after="0"/>
              <w:rPr>
                <w:sz w:val="14"/>
                <w:szCs w:val="14"/>
                <w:color w:val="auto"/>
              </w:rPr>
            </w:pPr>
          </w:p>
        </w:tc>
        <w:tc>
          <w:tcPr>
            <w:tcW w:w="1000" w:type="dxa"/>
            <w:vAlign w:val="bottom"/>
          </w:tcPr>
          <w:p>
            <w:pPr>
              <w:jc w:val="right"/>
              <w:ind w:right="533"/>
              <w:spacing w:after="0"/>
              <w:rPr>
                <w:sz w:val="20"/>
                <w:szCs w:val="20"/>
                <w:color w:val="auto"/>
              </w:rPr>
            </w:pPr>
            <w:r>
              <w:rPr>
                <w:rFonts w:ascii="Arial" w:cs="Arial" w:eastAsia="Arial" w:hAnsi="Arial"/>
                <w:sz w:val="14"/>
                <w:szCs w:val="14"/>
                <w:b w:val="1"/>
                <w:bCs w:val="1"/>
                <w:color w:val="auto"/>
              </w:rPr>
              <w:t>2007</w:t>
            </w:r>
          </w:p>
        </w:tc>
        <w:tc>
          <w:tcPr>
            <w:tcW w:w="440" w:type="dxa"/>
            <w:vAlign w:val="bottom"/>
          </w:tcPr>
          <w:p>
            <w:pPr>
              <w:spacing w:after="0"/>
              <w:rPr>
                <w:sz w:val="14"/>
                <w:szCs w:val="14"/>
                <w:color w:val="auto"/>
              </w:rPr>
            </w:pPr>
          </w:p>
        </w:tc>
        <w:tc>
          <w:tcPr>
            <w:tcW w:w="700" w:type="dxa"/>
            <w:vAlign w:val="bottom"/>
          </w:tcPr>
          <w:p>
            <w:pPr>
              <w:jc w:val="right"/>
              <w:ind w:right="253"/>
              <w:spacing w:after="0"/>
              <w:rPr>
                <w:sz w:val="20"/>
                <w:szCs w:val="20"/>
                <w:color w:val="auto"/>
              </w:rPr>
            </w:pPr>
            <w:r>
              <w:rPr>
                <w:rFonts w:ascii="Arial" w:cs="Arial" w:eastAsia="Arial" w:hAnsi="Arial"/>
                <w:sz w:val="14"/>
                <w:szCs w:val="14"/>
                <w:b w:val="1"/>
                <w:bCs w:val="1"/>
                <w:color w:val="auto"/>
              </w:rPr>
              <w:t>2006</w:t>
            </w:r>
          </w:p>
        </w:tc>
      </w:tr>
      <w:tr>
        <w:trPr>
          <w:trHeight w:val="210"/>
        </w:trPr>
        <w:tc>
          <w:tcPr>
            <w:tcW w:w="20" w:type="dxa"/>
            <w:vAlign w:val="bottom"/>
          </w:tcPr>
          <w:p>
            <w:pPr>
              <w:spacing w:after="0"/>
              <w:rPr>
                <w:sz w:val="18"/>
                <w:szCs w:val="18"/>
                <w:color w:val="auto"/>
              </w:rPr>
            </w:pPr>
          </w:p>
        </w:tc>
        <w:tc>
          <w:tcPr>
            <w:tcW w:w="85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720" w:type="dxa"/>
            <w:vAlign w:val="bottom"/>
            <w:tcBorders>
              <w:top w:val="single" w:sz="8" w:color="auto"/>
            </w:tcBorders>
            <w:shd w:val="clear" w:color="auto" w:fill="E5E5E5"/>
          </w:tcPr>
          <w:p>
            <w:pPr>
              <w:spacing w:after="0"/>
              <w:rPr>
                <w:sz w:val="18"/>
                <w:szCs w:val="18"/>
                <w:color w:val="auto"/>
              </w:rPr>
            </w:pPr>
          </w:p>
        </w:tc>
        <w:tc>
          <w:tcPr>
            <w:tcW w:w="1000" w:type="dxa"/>
            <w:vAlign w:val="bottom"/>
            <w:tcBorders>
              <w:top w:val="single" w:sz="8" w:color="auto"/>
            </w:tcBorders>
            <w:shd w:val="clear" w:color="auto" w:fill="E5E5E5"/>
          </w:tcPr>
          <w:p>
            <w:pPr>
              <w:spacing w:after="0"/>
              <w:rPr>
                <w:sz w:val="18"/>
                <w:szCs w:val="18"/>
                <w:color w:val="auto"/>
              </w:rPr>
            </w:pPr>
          </w:p>
        </w:tc>
        <w:tc>
          <w:tcPr>
            <w:tcW w:w="44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Current Assets</w:t>
            </w: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Cash and cash equivalents</w:t>
            </w:r>
          </w:p>
        </w:tc>
        <w:tc>
          <w:tcPr>
            <w:tcW w:w="720" w:type="dxa"/>
            <w:vAlign w:val="bottom"/>
            <w:shd w:val="clear" w:color="auto" w:fill="E5E5E5"/>
          </w:tcPr>
          <w:p>
            <w:pPr>
              <w:ind w:left="5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5E5E5"/>
          </w:tcPr>
          <w:p>
            <w:pPr>
              <w:jc w:val="right"/>
              <w:ind w:right="253"/>
              <w:spacing w:after="0"/>
              <w:rPr>
                <w:sz w:val="20"/>
                <w:szCs w:val="20"/>
                <w:color w:val="auto"/>
              </w:rPr>
            </w:pPr>
            <w:r>
              <w:rPr>
                <w:rFonts w:ascii="Arial" w:cs="Arial" w:eastAsia="Arial" w:hAnsi="Arial"/>
                <w:sz w:val="18"/>
                <w:szCs w:val="18"/>
                <w:color w:val="auto"/>
              </w:rPr>
              <w:t>2,949</w:t>
            </w:r>
          </w:p>
        </w:tc>
        <w:tc>
          <w:tcPr>
            <w:tcW w:w="440" w:type="dxa"/>
            <w:vAlign w:val="bottom"/>
            <w:shd w:val="clear" w:color="auto" w:fill="E5E5E5"/>
          </w:tcPr>
          <w:p>
            <w:pPr>
              <w:ind w:left="280"/>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1,239</w:t>
            </w:r>
          </w:p>
        </w:tc>
      </w:tr>
      <w:tr>
        <w:trPr>
          <w:trHeight w:val="216"/>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rPr>
              <w:t>Investments</w:t>
            </w:r>
          </w:p>
        </w:tc>
        <w:tc>
          <w:tcPr>
            <w:tcW w:w="720" w:type="dxa"/>
            <w:vAlign w:val="bottom"/>
          </w:tcPr>
          <w:p>
            <w:pPr>
              <w:spacing w:after="0"/>
              <w:rPr>
                <w:sz w:val="18"/>
                <w:szCs w:val="18"/>
                <w:color w:val="auto"/>
              </w:rPr>
            </w:pPr>
          </w:p>
        </w:tc>
        <w:tc>
          <w:tcPr>
            <w:tcW w:w="1000" w:type="dxa"/>
            <w:vAlign w:val="bottom"/>
          </w:tcPr>
          <w:p>
            <w:pPr>
              <w:jc w:val="right"/>
              <w:ind w:right="253"/>
              <w:spacing w:after="0"/>
              <w:rPr>
                <w:sz w:val="20"/>
                <w:szCs w:val="20"/>
                <w:color w:val="auto"/>
              </w:rPr>
            </w:pPr>
            <w:r>
              <w:rPr>
                <w:rFonts w:ascii="Arial" w:cs="Arial" w:eastAsia="Arial" w:hAnsi="Arial"/>
                <w:sz w:val="18"/>
                <w:szCs w:val="18"/>
                <w:color w:val="auto"/>
              </w:rPr>
              <w:t>65</w:t>
            </w: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1,735</w:t>
            </w:r>
          </w:p>
        </w:tc>
      </w:tr>
      <w:tr>
        <w:trPr>
          <w:trHeight w:val="216"/>
        </w:trPr>
        <w:tc>
          <w:tcPr>
            <w:tcW w:w="20" w:type="dxa"/>
            <w:vAlign w:val="bottom"/>
          </w:tcPr>
          <w:p>
            <w:pPr>
              <w:spacing w:after="0"/>
              <w:rPr>
                <w:sz w:val="18"/>
                <w:szCs w:val="18"/>
                <w:color w:val="auto"/>
              </w:rPr>
            </w:pPr>
          </w:p>
        </w:tc>
        <w:tc>
          <w:tcPr>
            <w:tcW w:w="85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Accounts receivable, less allowance for doubtful accounts of $185 and $157</w:t>
            </w:r>
          </w:p>
        </w:tc>
        <w:tc>
          <w:tcPr>
            <w:tcW w:w="72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253"/>
              <w:spacing w:after="0"/>
              <w:rPr>
                <w:sz w:val="20"/>
                <w:szCs w:val="20"/>
                <w:color w:val="auto"/>
              </w:rPr>
            </w:pPr>
            <w:r>
              <w:rPr>
                <w:rFonts w:ascii="Arial" w:cs="Arial" w:eastAsia="Arial" w:hAnsi="Arial"/>
                <w:sz w:val="18"/>
                <w:szCs w:val="18"/>
                <w:color w:val="auto"/>
              </w:rPr>
              <w:t>1,598</w:t>
            </w:r>
          </w:p>
        </w:tc>
        <w:tc>
          <w:tcPr>
            <w:tcW w:w="44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1,450</w:t>
            </w:r>
          </w:p>
        </w:tc>
      </w:tr>
      <w:tr>
        <w:trPr>
          <w:trHeight w:val="216"/>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7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785</w:t>
            </w:r>
          </w:p>
        </w:tc>
        <w:tc>
          <w:tcPr>
            <w:tcW w:w="4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w:t>
            </w:r>
          </w:p>
        </w:tc>
      </w:tr>
      <w:tr>
        <w:trPr>
          <w:trHeight w:val="210"/>
        </w:trPr>
        <w:tc>
          <w:tcPr>
            <w:tcW w:w="20" w:type="dxa"/>
            <w:vAlign w:val="bottom"/>
          </w:tcPr>
          <w:p>
            <w:pPr>
              <w:spacing w:after="0"/>
              <w:rPr>
                <w:sz w:val="18"/>
                <w:szCs w:val="18"/>
                <w:color w:val="auto"/>
              </w:rPr>
            </w:pPr>
          </w:p>
        </w:tc>
        <w:tc>
          <w:tcPr>
            <w:tcW w:w="8540" w:type="dxa"/>
            <w:vAlign w:val="bottom"/>
            <w:tcBorders>
              <w:bottom w:val="single" w:sz="8" w:color="E5E5E5"/>
            </w:tcBorders>
            <w:shd w:val="clear" w:color="auto" w:fill="E5E5E5"/>
          </w:tcPr>
          <w:p>
            <w:pPr>
              <w:ind w:left="860"/>
              <w:spacing w:after="0"/>
              <w:rPr>
                <w:sz w:val="20"/>
                <w:szCs w:val="20"/>
                <w:color w:val="auto"/>
              </w:rPr>
            </w:pPr>
            <w:r>
              <w:rPr>
                <w:rFonts w:ascii="Arial" w:cs="Arial" w:eastAsia="Arial" w:hAnsi="Arial"/>
                <w:sz w:val="18"/>
                <w:szCs w:val="18"/>
                <w:color w:val="auto"/>
              </w:rPr>
              <w:t>Total current assets</w:t>
            </w:r>
          </w:p>
        </w:tc>
        <w:tc>
          <w:tcPr>
            <w:tcW w:w="72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ind w:right="253"/>
              <w:spacing w:after="0"/>
              <w:rPr>
                <w:sz w:val="20"/>
                <w:szCs w:val="20"/>
                <w:color w:val="auto"/>
              </w:rPr>
            </w:pPr>
            <w:r>
              <w:rPr>
                <w:rFonts w:ascii="Arial" w:cs="Arial" w:eastAsia="Arial" w:hAnsi="Arial"/>
                <w:sz w:val="18"/>
                <w:szCs w:val="18"/>
                <w:color w:val="auto"/>
              </w:rPr>
              <w:t>5,397</w:t>
            </w:r>
          </w:p>
        </w:tc>
        <w:tc>
          <w:tcPr>
            <w:tcW w:w="4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5,202</w:t>
            </w:r>
          </w:p>
        </w:tc>
      </w:tr>
      <w:tr>
        <w:trPr>
          <w:trHeight w:val="210"/>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Investments</w:t>
            </w:r>
          </w:p>
        </w:tc>
        <w:tc>
          <w:tcPr>
            <w:tcW w:w="720" w:type="dxa"/>
            <w:vAlign w:val="bottom"/>
          </w:tcPr>
          <w:p>
            <w:pPr>
              <w:spacing w:after="0"/>
              <w:rPr>
                <w:sz w:val="18"/>
                <w:szCs w:val="18"/>
                <w:color w:val="auto"/>
              </w:rPr>
            </w:pPr>
          </w:p>
        </w:tc>
        <w:tc>
          <w:tcPr>
            <w:tcW w:w="1000" w:type="dxa"/>
            <w:vAlign w:val="bottom"/>
          </w:tcPr>
          <w:p>
            <w:pPr>
              <w:jc w:val="right"/>
              <w:ind w:right="253"/>
              <w:spacing w:after="0"/>
              <w:rPr>
                <w:sz w:val="20"/>
                <w:szCs w:val="20"/>
                <w:color w:val="auto"/>
              </w:rPr>
            </w:pPr>
            <w:r>
              <w:rPr>
                <w:rFonts w:ascii="Arial" w:cs="Arial" w:eastAsia="Arial" w:hAnsi="Arial"/>
                <w:sz w:val="18"/>
                <w:szCs w:val="18"/>
                <w:color w:val="auto"/>
              </w:rPr>
              <w:t>6,223</w:t>
            </w: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8,847</w:t>
            </w:r>
          </w:p>
        </w:tc>
      </w:tr>
      <w:tr>
        <w:trPr>
          <w:trHeight w:val="216"/>
        </w:trPr>
        <w:tc>
          <w:tcPr>
            <w:tcW w:w="20" w:type="dxa"/>
            <w:vAlign w:val="bottom"/>
          </w:tcPr>
          <w:p>
            <w:pPr>
              <w:spacing w:after="0"/>
              <w:rPr>
                <w:sz w:val="18"/>
                <w:szCs w:val="18"/>
                <w:color w:val="auto"/>
              </w:rPr>
            </w:pPr>
          </w:p>
        </w:tc>
        <w:tc>
          <w:tcPr>
            <w:tcW w:w="8540" w:type="dxa"/>
            <w:vAlign w:val="bottom"/>
            <w:shd w:val="clear" w:color="auto" w:fill="E5E5E5"/>
          </w:tcPr>
          <w:p>
            <w:pPr>
              <w:spacing w:after="0"/>
              <w:rPr>
                <w:sz w:val="20"/>
                <w:szCs w:val="20"/>
                <w:color w:val="auto"/>
              </w:rPr>
            </w:pPr>
            <w:r>
              <w:rPr>
                <w:rFonts w:ascii="Arial" w:cs="Arial" w:eastAsia="Arial" w:hAnsi="Arial"/>
                <w:sz w:val="18"/>
                <w:szCs w:val="18"/>
                <w:color w:val="auto"/>
              </w:rPr>
              <w:t>Property and equipment, net of accumulated depreciation of $18,816 and $15,506</w:t>
            </w:r>
          </w:p>
        </w:tc>
        <w:tc>
          <w:tcPr>
            <w:tcW w:w="72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253"/>
              <w:spacing w:after="0"/>
              <w:rPr>
                <w:sz w:val="20"/>
                <w:szCs w:val="20"/>
                <w:color w:val="auto"/>
              </w:rPr>
            </w:pPr>
            <w:r>
              <w:rPr>
                <w:rFonts w:ascii="Arial" w:cs="Arial" w:eastAsia="Arial" w:hAnsi="Arial"/>
                <w:sz w:val="18"/>
                <w:szCs w:val="18"/>
                <w:color w:val="auto"/>
              </w:rPr>
              <w:t>23,213</w:t>
            </w:r>
          </w:p>
        </w:tc>
        <w:tc>
          <w:tcPr>
            <w:tcW w:w="44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21,248</w:t>
            </w: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Franchise rights</w:t>
            </w:r>
          </w:p>
        </w:tc>
        <w:tc>
          <w:tcPr>
            <w:tcW w:w="720" w:type="dxa"/>
            <w:vAlign w:val="bottom"/>
          </w:tcPr>
          <w:p>
            <w:pPr>
              <w:spacing w:after="0"/>
              <w:rPr>
                <w:sz w:val="18"/>
                <w:szCs w:val="18"/>
                <w:color w:val="auto"/>
              </w:rPr>
            </w:pPr>
          </w:p>
        </w:tc>
        <w:tc>
          <w:tcPr>
            <w:tcW w:w="1000" w:type="dxa"/>
            <w:vAlign w:val="bottom"/>
          </w:tcPr>
          <w:p>
            <w:pPr>
              <w:jc w:val="right"/>
              <w:ind w:right="253"/>
              <w:spacing w:after="0"/>
              <w:rPr>
                <w:sz w:val="20"/>
                <w:szCs w:val="20"/>
                <w:color w:val="auto"/>
              </w:rPr>
            </w:pPr>
            <w:r>
              <w:rPr>
                <w:rFonts w:ascii="Arial" w:cs="Arial" w:eastAsia="Arial" w:hAnsi="Arial"/>
                <w:sz w:val="18"/>
                <w:szCs w:val="18"/>
                <w:color w:val="auto"/>
              </w:rPr>
              <w:t>58,080</w:t>
            </w: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55,927</w:t>
            </w:r>
          </w:p>
        </w:tc>
      </w:tr>
      <w:tr>
        <w:trPr>
          <w:trHeight w:val="216"/>
        </w:trPr>
        <w:tc>
          <w:tcPr>
            <w:tcW w:w="20" w:type="dxa"/>
            <w:vAlign w:val="bottom"/>
          </w:tcPr>
          <w:p>
            <w:pPr>
              <w:spacing w:after="0"/>
              <w:rPr>
                <w:sz w:val="18"/>
                <w:szCs w:val="18"/>
                <w:color w:val="auto"/>
              </w:rPr>
            </w:pPr>
          </w:p>
        </w:tc>
        <w:tc>
          <w:tcPr>
            <w:tcW w:w="8540" w:type="dxa"/>
            <w:vAlign w:val="bottom"/>
            <w:shd w:val="clear" w:color="auto" w:fill="E5E5E5"/>
          </w:tcPr>
          <w:p>
            <w:pPr>
              <w:spacing w:after="0"/>
              <w:rPr>
                <w:sz w:val="20"/>
                <w:szCs w:val="20"/>
                <w:color w:val="auto"/>
              </w:rPr>
            </w:pPr>
            <w:r>
              <w:rPr>
                <w:rFonts w:ascii="Arial" w:cs="Arial" w:eastAsia="Arial" w:hAnsi="Arial"/>
                <w:sz w:val="18"/>
                <w:szCs w:val="18"/>
                <w:color w:val="auto"/>
              </w:rPr>
              <w:t>Goodwill</w:t>
            </w:r>
          </w:p>
        </w:tc>
        <w:tc>
          <w:tcPr>
            <w:tcW w:w="72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253"/>
              <w:spacing w:after="0"/>
              <w:rPr>
                <w:sz w:val="20"/>
                <w:szCs w:val="20"/>
                <w:color w:val="auto"/>
              </w:rPr>
            </w:pPr>
            <w:r>
              <w:rPr>
                <w:rFonts w:ascii="Arial" w:cs="Arial" w:eastAsia="Arial" w:hAnsi="Arial"/>
                <w:sz w:val="18"/>
                <w:szCs w:val="18"/>
                <w:color w:val="auto"/>
              </w:rPr>
              <w:t>14,549</w:t>
            </w:r>
          </w:p>
        </w:tc>
        <w:tc>
          <w:tcPr>
            <w:tcW w:w="44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13,768</w:t>
            </w: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Other intangible assets, net of accumulated amortization of $6,582 and $5,543</w:t>
            </w:r>
          </w:p>
        </w:tc>
        <w:tc>
          <w:tcPr>
            <w:tcW w:w="720" w:type="dxa"/>
            <w:vAlign w:val="bottom"/>
          </w:tcPr>
          <w:p>
            <w:pPr>
              <w:spacing w:after="0"/>
              <w:rPr>
                <w:sz w:val="18"/>
                <w:szCs w:val="18"/>
                <w:color w:val="auto"/>
              </w:rPr>
            </w:pPr>
          </w:p>
        </w:tc>
        <w:tc>
          <w:tcPr>
            <w:tcW w:w="1000" w:type="dxa"/>
            <w:vAlign w:val="bottom"/>
          </w:tcPr>
          <w:p>
            <w:pPr>
              <w:jc w:val="right"/>
              <w:ind w:right="253"/>
              <w:spacing w:after="0"/>
              <w:rPr>
                <w:sz w:val="20"/>
                <w:szCs w:val="20"/>
                <w:color w:val="auto"/>
              </w:rPr>
            </w:pPr>
            <w:r>
              <w:rPr>
                <w:rFonts w:ascii="Arial" w:cs="Arial" w:eastAsia="Arial" w:hAnsi="Arial"/>
                <w:sz w:val="18"/>
                <w:szCs w:val="18"/>
                <w:color w:val="auto"/>
              </w:rPr>
              <w:t>5,092</w:t>
            </w: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4,881</w:t>
            </w:r>
          </w:p>
        </w:tc>
      </w:tr>
      <w:tr>
        <w:trPr>
          <w:trHeight w:val="216"/>
        </w:trPr>
        <w:tc>
          <w:tcPr>
            <w:tcW w:w="20" w:type="dxa"/>
            <w:vAlign w:val="bottom"/>
          </w:tcPr>
          <w:p>
            <w:pPr>
              <w:spacing w:after="0"/>
              <w:rPr>
                <w:sz w:val="18"/>
                <w:szCs w:val="18"/>
                <w:color w:val="auto"/>
              </w:rPr>
            </w:pPr>
          </w:p>
        </w:tc>
        <w:tc>
          <w:tcPr>
            <w:tcW w:w="854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Other noncurrent assets, net</w:t>
            </w:r>
          </w:p>
        </w:tc>
        <w:tc>
          <w:tcPr>
            <w:tcW w:w="72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ind w:right="253"/>
              <w:spacing w:after="0"/>
              <w:rPr>
                <w:sz w:val="20"/>
                <w:szCs w:val="20"/>
                <w:color w:val="auto"/>
              </w:rPr>
            </w:pPr>
            <w:r>
              <w:rPr>
                <w:rFonts w:ascii="Arial" w:cs="Arial" w:eastAsia="Arial" w:hAnsi="Arial"/>
                <w:sz w:val="18"/>
                <w:szCs w:val="18"/>
                <w:color w:val="auto"/>
              </w:rPr>
              <w:t>617</w:t>
            </w:r>
          </w:p>
        </w:tc>
        <w:tc>
          <w:tcPr>
            <w:tcW w:w="4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532</w:t>
            </w:r>
          </w:p>
        </w:tc>
      </w:tr>
      <w:tr>
        <w:trPr>
          <w:trHeight w:val="217"/>
        </w:trPr>
        <w:tc>
          <w:tcPr>
            <w:tcW w:w="2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72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b w:val="1"/>
                <w:bCs w:val="1"/>
                <w:color w:val="auto"/>
                <w:w w:val="98"/>
              </w:rPr>
              <w:t>113,171</w:t>
            </w:r>
          </w:p>
        </w:tc>
        <w:tc>
          <w:tcPr>
            <w:tcW w:w="44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110,405</w:t>
            </w:r>
          </w:p>
        </w:tc>
      </w:tr>
      <w:tr>
        <w:trPr>
          <w:trHeight w:val="216"/>
        </w:trPr>
        <w:tc>
          <w:tcPr>
            <w:tcW w:w="20" w:type="dxa"/>
            <w:vAlign w:val="bottom"/>
          </w:tcPr>
          <w:p>
            <w:pPr>
              <w:spacing w:after="0"/>
              <w:rPr>
                <w:sz w:val="18"/>
                <w:szCs w:val="18"/>
                <w:color w:val="auto"/>
              </w:rPr>
            </w:pPr>
          </w:p>
        </w:tc>
        <w:tc>
          <w:tcPr>
            <w:tcW w:w="85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72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Current Liabilities</w:t>
            </w: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Accounts payable and accrued expenses related to trade creditors</w:t>
            </w:r>
          </w:p>
        </w:tc>
        <w:tc>
          <w:tcPr>
            <w:tcW w:w="720" w:type="dxa"/>
            <w:vAlign w:val="bottom"/>
            <w:shd w:val="clear" w:color="auto" w:fill="E5E5E5"/>
          </w:tcPr>
          <w:p>
            <w:pPr>
              <w:ind w:left="5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5E5E5"/>
          </w:tcPr>
          <w:p>
            <w:pPr>
              <w:jc w:val="right"/>
              <w:ind w:right="253"/>
              <w:spacing w:after="0"/>
              <w:rPr>
                <w:sz w:val="20"/>
                <w:szCs w:val="20"/>
                <w:color w:val="auto"/>
              </w:rPr>
            </w:pPr>
            <w:r>
              <w:rPr>
                <w:rFonts w:ascii="Arial" w:cs="Arial" w:eastAsia="Arial" w:hAnsi="Arial"/>
                <w:sz w:val="18"/>
                <w:szCs w:val="18"/>
                <w:color w:val="auto"/>
              </w:rPr>
              <w:t>3,014</w:t>
            </w:r>
          </w:p>
        </w:tc>
        <w:tc>
          <w:tcPr>
            <w:tcW w:w="440" w:type="dxa"/>
            <w:vAlign w:val="bottom"/>
            <w:shd w:val="clear" w:color="auto" w:fill="E5E5E5"/>
          </w:tcPr>
          <w:p>
            <w:pPr>
              <w:ind w:left="280"/>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2,862</w:t>
            </w:r>
          </w:p>
        </w:tc>
      </w:tr>
      <w:tr>
        <w:trPr>
          <w:trHeight w:val="216"/>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720" w:type="dxa"/>
            <w:vAlign w:val="bottom"/>
          </w:tcPr>
          <w:p>
            <w:pPr>
              <w:spacing w:after="0"/>
              <w:rPr>
                <w:sz w:val="18"/>
                <w:szCs w:val="18"/>
                <w:color w:val="auto"/>
              </w:rPr>
            </w:pPr>
          </w:p>
        </w:tc>
        <w:tc>
          <w:tcPr>
            <w:tcW w:w="1000" w:type="dxa"/>
            <w:vAlign w:val="bottom"/>
          </w:tcPr>
          <w:p>
            <w:pPr>
              <w:jc w:val="right"/>
              <w:ind w:right="253"/>
              <w:spacing w:after="0"/>
              <w:rPr>
                <w:sz w:val="20"/>
                <w:szCs w:val="20"/>
                <w:color w:val="auto"/>
              </w:rPr>
            </w:pPr>
            <w:r>
              <w:rPr>
                <w:rFonts w:ascii="Arial" w:cs="Arial" w:eastAsia="Arial" w:hAnsi="Arial"/>
                <w:sz w:val="18"/>
                <w:szCs w:val="18"/>
                <w:color w:val="auto"/>
              </w:rPr>
              <w:t>2,926</w:t>
            </w: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3,032</w:t>
            </w:r>
          </w:p>
        </w:tc>
      </w:tr>
      <w:tr>
        <w:trPr>
          <w:trHeight w:val="216"/>
        </w:trPr>
        <w:tc>
          <w:tcPr>
            <w:tcW w:w="20" w:type="dxa"/>
            <w:vAlign w:val="bottom"/>
          </w:tcPr>
          <w:p>
            <w:pPr>
              <w:spacing w:after="0"/>
              <w:rPr>
                <w:sz w:val="18"/>
                <w:szCs w:val="18"/>
                <w:color w:val="auto"/>
              </w:rPr>
            </w:pPr>
          </w:p>
        </w:tc>
        <w:tc>
          <w:tcPr>
            <w:tcW w:w="85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Deferred income taxes</w:t>
            </w:r>
          </w:p>
        </w:tc>
        <w:tc>
          <w:tcPr>
            <w:tcW w:w="72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253"/>
              <w:spacing w:after="0"/>
              <w:rPr>
                <w:sz w:val="20"/>
                <w:szCs w:val="20"/>
                <w:color w:val="auto"/>
              </w:rPr>
            </w:pPr>
            <w:r>
              <w:rPr>
                <w:rFonts w:ascii="Arial" w:cs="Arial" w:eastAsia="Arial" w:hAnsi="Arial"/>
                <w:sz w:val="18"/>
                <w:szCs w:val="18"/>
                <w:color w:val="auto"/>
              </w:rPr>
              <w:t>—</w:t>
            </w:r>
          </w:p>
        </w:tc>
        <w:tc>
          <w:tcPr>
            <w:tcW w:w="44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563</w:t>
            </w:r>
          </w:p>
        </w:tc>
      </w:tr>
      <w:tr>
        <w:trPr>
          <w:trHeight w:val="216"/>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rPr>
              <w:t>Current portion of long-term debt</w:t>
            </w:r>
          </w:p>
        </w:tc>
        <w:tc>
          <w:tcPr>
            <w:tcW w:w="7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764</w:t>
            </w:r>
          </w:p>
        </w:tc>
        <w:tc>
          <w:tcPr>
            <w:tcW w:w="4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w:t>
            </w:r>
          </w:p>
        </w:tc>
      </w:tr>
      <w:tr>
        <w:trPr>
          <w:trHeight w:val="210"/>
        </w:trPr>
        <w:tc>
          <w:tcPr>
            <w:tcW w:w="20" w:type="dxa"/>
            <w:vAlign w:val="bottom"/>
          </w:tcPr>
          <w:p>
            <w:pPr>
              <w:spacing w:after="0"/>
              <w:rPr>
                <w:sz w:val="18"/>
                <w:szCs w:val="18"/>
                <w:color w:val="auto"/>
              </w:rPr>
            </w:pPr>
          </w:p>
        </w:tc>
        <w:tc>
          <w:tcPr>
            <w:tcW w:w="8540" w:type="dxa"/>
            <w:vAlign w:val="bottom"/>
            <w:tcBorders>
              <w:bottom w:val="single" w:sz="8" w:color="E5E5E5"/>
            </w:tcBorders>
            <w:shd w:val="clear" w:color="auto" w:fill="E5E5E5"/>
          </w:tcPr>
          <w:p>
            <w:pPr>
              <w:ind w:left="860"/>
              <w:spacing w:after="0"/>
              <w:rPr>
                <w:sz w:val="20"/>
                <w:szCs w:val="20"/>
                <w:color w:val="auto"/>
              </w:rPr>
            </w:pPr>
            <w:r>
              <w:rPr>
                <w:rFonts w:ascii="Arial" w:cs="Arial" w:eastAsia="Arial" w:hAnsi="Arial"/>
                <w:sz w:val="18"/>
                <w:szCs w:val="18"/>
                <w:color w:val="auto"/>
              </w:rPr>
              <w:t>Total current liabilities</w:t>
            </w:r>
          </w:p>
        </w:tc>
        <w:tc>
          <w:tcPr>
            <w:tcW w:w="72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ind w:right="253"/>
              <w:spacing w:after="0"/>
              <w:rPr>
                <w:sz w:val="20"/>
                <w:szCs w:val="20"/>
                <w:color w:val="auto"/>
              </w:rPr>
            </w:pPr>
            <w:r>
              <w:rPr>
                <w:rFonts w:ascii="Arial" w:cs="Arial" w:eastAsia="Arial" w:hAnsi="Arial"/>
                <w:sz w:val="18"/>
                <w:szCs w:val="18"/>
                <w:color w:val="auto"/>
              </w:rPr>
              <w:t>6,704</w:t>
            </w:r>
          </w:p>
        </w:tc>
        <w:tc>
          <w:tcPr>
            <w:tcW w:w="4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7,440</w:t>
            </w:r>
          </w:p>
        </w:tc>
      </w:tr>
      <w:tr>
        <w:trPr>
          <w:trHeight w:val="210"/>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720" w:type="dxa"/>
            <w:vAlign w:val="bottom"/>
          </w:tcPr>
          <w:p>
            <w:pPr>
              <w:spacing w:after="0"/>
              <w:rPr>
                <w:sz w:val="18"/>
                <w:szCs w:val="18"/>
                <w:color w:val="auto"/>
              </w:rPr>
            </w:pPr>
          </w:p>
        </w:tc>
        <w:tc>
          <w:tcPr>
            <w:tcW w:w="1000" w:type="dxa"/>
            <w:vAlign w:val="bottom"/>
          </w:tcPr>
          <w:p>
            <w:pPr>
              <w:jc w:val="right"/>
              <w:ind w:right="253"/>
              <w:spacing w:after="0"/>
              <w:rPr>
                <w:sz w:val="20"/>
                <w:szCs w:val="20"/>
                <w:color w:val="auto"/>
              </w:rPr>
            </w:pPr>
            <w:r>
              <w:rPr>
                <w:rFonts w:ascii="Arial" w:cs="Arial" w:eastAsia="Arial" w:hAnsi="Arial"/>
                <w:sz w:val="18"/>
                <w:szCs w:val="18"/>
                <w:color w:val="auto"/>
              </w:rPr>
              <w:t>30,340</w:t>
            </w: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27,992</w:t>
            </w:r>
          </w:p>
        </w:tc>
      </w:tr>
      <w:tr>
        <w:trPr>
          <w:trHeight w:val="216"/>
        </w:trPr>
        <w:tc>
          <w:tcPr>
            <w:tcW w:w="20" w:type="dxa"/>
            <w:vAlign w:val="bottom"/>
          </w:tcPr>
          <w:p>
            <w:pPr>
              <w:spacing w:after="0"/>
              <w:rPr>
                <w:sz w:val="18"/>
                <w:szCs w:val="18"/>
                <w:color w:val="auto"/>
              </w:rPr>
            </w:pPr>
          </w:p>
        </w:tc>
        <w:tc>
          <w:tcPr>
            <w:tcW w:w="8540" w:type="dxa"/>
            <w:vAlign w:val="bottom"/>
            <w:shd w:val="clear" w:color="auto" w:fill="E5E5E5"/>
          </w:tcPr>
          <w:p>
            <w:pPr>
              <w:spacing w:after="0"/>
              <w:rPr>
                <w:sz w:val="20"/>
                <w:szCs w:val="20"/>
                <w:color w:val="auto"/>
              </w:rPr>
            </w:pPr>
            <w:r>
              <w:rPr>
                <w:rFonts w:ascii="Arial" w:cs="Arial" w:eastAsia="Arial" w:hAnsi="Arial"/>
                <w:sz w:val="18"/>
                <w:szCs w:val="18"/>
                <w:color w:val="auto"/>
              </w:rPr>
              <w:t>Deferred income taxes</w:t>
            </w:r>
          </w:p>
        </w:tc>
        <w:tc>
          <w:tcPr>
            <w:tcW w:w="72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253"/>
              <w:spacing w:after="0"/>
              <w:rPr>
                <w:sz w:val="20"/>
                <w:szCs w:val="20"/>
                <w:color w:val="auto"/>
              </w:rPr>
            </w:pPr>
            <w:r>
              <w:rPr>
                <w:rFonts w:ascii="Arial" w:cs="Arial" w:eastAsia="Arial" w:hAnsi="Arial"/>
                <w:sz w:val="18"/>
                <w:szCs w:val="18"/>
                <w:color w:val="auto"/>
              </w:rPr>
              <w:t>26,570</w:t>
            </w:r>
          </w:p>
        </w:tc>
        <w:tc>
          <w:tcPr>
            <w:tcW w:w="44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27,089</w:t>
            </w: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720" w:type="dxa"/>
            <w:vAlign w:val="bottom"/>
          </w:tcPr>
          <w:p>
            <w:pPr>
              <w:spacing w:after="0"/>
              <w:rPr>
                <w:sz w:val="18"/>
                <w:szCs w:val="18"/>
                <w:color w:val="auto"/>
              </w:rPr>
            </w:pPr>
          </w:p>
        </w:tc>
        <w:tc>
          <w:tcPr>
            <w:tcW w:w="1000" w:type="dxa"/>
            <w:vAlign w:val="bottom"/>
          </w:tcPr>
          <w:p>
            <w:pPr>
              <w:jc w:val="right"/>
              <w:ind w:right="253"/>
              <w:spacing w:after="0"/>
              <w:rPr>
                <w:sz w:val="20"/>
                <w:szCs w:val="20"/>
                <w:color w:val="auto"/>
              </w:rPr>
            </w:pPr>
            <w:r>
              <w:rPr>
                <w:rFonts w:ascii="Arial" w:cs="Arial" w:eastAsia="Arial" w:hAnsi="Arial"/>
                <w:sz w:val="18"/>
                <w:szCs w:val="18"/>
                <w:color w:val="auto"/>
              </w:rPr>
              <w:t>7,404</w:t>
            </w: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6,476</w:t>
            </w:r>
          </w:p>
        </w:tc>
      </w:tr>
      <w:tr>
        <w:trPr>
          <w:trHeight w:val="216"/>
        </w:trPr>
        <w:tc>
          <w:tcPr>
            <w:tcW w:w="20" w:type="dxa"/>
            <w:vAlign w:val="bottom"/>
          </w:tcPr>
          <w:p>
            <w:pPr>
              <w:spacing w:after="0"/>
              <w:rPr>
                <w:sz w:val="18"/>
                <w:szCs w:val="18"/>
                <w:color w:val="auto"/>
              </w:rPr>
            </w:pPr>
          </w:p>
        </w:tc>
        <w:tc>
          <w:tcPr>
            <w:tcW w:w="8540" w:type="dxa"/>
            <w:vAlign w:val="bottom"/>
            <w:shd w:val="clear" w:color="auto" w:fill="E5E5E5"/>
          </w:tcPr>
          <w:p>
            <w:pPr>
              <w:spacing w:after="0"/>
              <w:rPr>
                <w:sz w:val="20"/>
                <w:szCs w:val="20"/>
                <w:color w:val="auto"/>
              </w:rPr>
            </w:pPr>
            <w:r>
              <w:rPr>
                <w:rFonts w:ascii="Arial" w:cs="Arial" w:eastAsia="Arial" w:hAnsi="Arial"/>
                <w:sz w:val="18"/>
                <w:szCs w:val="18"/>
                <w:color w:val="auto"/>
              </w:rPr>
              <w:t>Minority interest</w:t>
            </w:r>
          </w:p>
        </w:tc>
        <w:tc>
          <w:tcPr>
            <w:tcW w:w="72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253"/>
              <w:spacing w:after="0"/>
              <w:rPr>
                <w:sz w:val="20"/>
                <w:szCs w:val="20"/>
                <w:color w:val="auto"/>
              </w:rPr>
            </w:pPr>
            <w:r>
              <w:rPr>
                <w:rFonts w:ascii="Arial" w:cs="Arial" w:eastAsia="Arial" w:hAnsi="Arial"/>
                <w:sz w:val="18"/>
                <w:szCs w:val="18"/>
                <w:color w:val="auto"/>
              </w:rPr>
              <w:t>265</w:t>
            </w:r>
          </w:p>
        </w:tc>
        <w:tc>
          <w:tcPr>
            <w:tcW w:w="44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241</w:t>
            </w: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Commitments and Contingencies (Note 11)</w:t>
            </w: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E5E5E5"/>
          </w:tcPr>
          <w:p>
            <w:pPr>
              <w:spacing w:after="0"/>
              <w:rPr>
                <w:sz w:val="20"/>
                <w:szCs w:val="20"/>
                <w:color w:val="auto"/>
              </w:rPr>
            </w:pPr>
            <w:r>
              <w:rPr>
                <w:rFonts w:ascii="Arial" w:cs="Arial" w:eastAsia="Arial" w:hAnsi="Arial"/>
                <w:sz w:val="18"/>
                <w:szCs w:val="18"/>
                <w:color w:val="auto"/>
              </w:rPr>
              <w:t>Stockholders’ Equity</w:t>
            </w:r>
          </w:p>
        </w:tc>
        <w:tc>
          <w:tcPr>
            <w:tcW w:w="72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Preferred stock—authorized, 20,000,000 shares; issued, zero</w:t>
            </w:r>
          </w:p>
        </w:tc>
        <w:tc>
          <w:tcPr>
            <w:tcW w:w="720" w:type="dxa"/>
            <w:vAlign w:val="bottom"/>
          </w:tcPr>
          <w:p>
            <w:pPr>
              <w:spacing w:after="0"/>
              <w:rPr>
                <w:sz w:val="18"/>
                <w:szCs w:val="18"/>
                <w:color w:val="auto"/>
              </w:rPr>
            </w:pPr>
          </w:p>
        </w:tc>
        <w:tc>
          <w:tcPr>
            <w:tcW w:w="1000" w:type="dxa"/>
            <w:vAlign w:val="bottom"/>
          </w:tcPr>
          <w:p>
            <w:pPr>
              <w:jc w:val="right"/>
              <w:ind w:right="253"/>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8"/>
        </w:trPr>
        <w:tc>
          <w:tcPr>
            <w:tcW w:w="20" w:type="dxa"/>
            <w:vAlign w:val="bottom"/>
          </w:tcPr>
          <w:p>
            <w:pPr>
              <w:spacing w:after="0"/>
              <w:rPr>
                <w:sz w:val="18"/>
                <w:szCs w:val="18"/>
                <w:color w:val="auto"/>
              </w:rPr>
            </w:pPr>
          </w:p>
        </w:tc>
        <w:tc>
          <w:tcPr>
            <w:tcW w:w="8540" w:type="dxa"/>
            <w:vAlign w:val="bottom"/>
            <w:shd w:val="clear" w:color="auto" w:fill="E5E5E5"/>
          </w:tcPr>
          <w:p>
            <w:pPr>
              <w:ind w:left="420"/>
              <w:spacing w:after="0"/>
              <w:rPr>
                <w:sz w:val="20"/>
                <w:szCs w:val="20"/>
                <w:color w:val="auto"/>
              </w:rPr>
            </w:pPr>
            <w:r>
              <w:rPr>
                <w:rFonts w:ascii="Arial" w:cs="Arial" w:eastAsia="Arial" w:hAnsi="Arial"/>
                <w:sz w:val="18"/>
                <w:szCs w:val="18"/>
                <w:color w:val="auto"/>
                <w:w w:val="98"/>
              </w:rPr>
              <w:t>Class A common stock, $0.01 par value—authorized, 7,500,000,000 shares; issued, 2,443,288,863 and</w:t>
            </w:r>
          </w:p>
        </w:tc>
        <w:tc>
          <w:tcPr>
            <w:tcW w:w="72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8540" w:type="dxa"/>
            <w:vAlign w:val="bottom"/>
            <w:shd w:val="clear" w:color="auto" w:fill="E5E5E5"/>
          </w:tcPr>
          <w:p>
            <w:pPr>
              <w:ind w:left="640"/>
              <w:spacing w:after="0"/>
              <w:rPr>
                <w:sz w:val="20"/>
                <w:szCs w:val="20"/>
                <w:color w:val="auto"/>
              </w:rPr>
            </w:pPr>
            <w:r>
              <w:rPr>
                <w:rFonts w:ascii="Arial" w:cs="Arial" w:eastAsia="Arial" w:hAnsi="Arial"/>
                <w:sz w:val="18"/>
                <w:szCs w:val="18"/>
                <w:color w:val="auto"/>
              </w:rPr>
              <w:t>2,425,818,710; outstanding, 2,077,828,113 and 2,060,357,960</w:t>
            </w:r>
          </w:p>
        </w:tc>
        <w:tc>
          <w:tcPr>
            <w:tcW w:w="720" w:type="dxa"/>
            <w:vAlign w:val="bottom"/>
            <w:shd w:val="clear" w:color="auto" w:fill="E5E5E5"/>
          </w:tcPr>
          <w:p>
            <w:pPr>
              <w:spacing w:after="0"/>
              <w:rPr>
                <w:sz w:val="19"/>
                <w:szCs w:val="19"/>
                <w:color w:val="auto"/>
              </w:rPr>
            </w:pPr>
          </w:p>
        </w:tc>
        <w:tc>
          <w:tcPr>
            <w:tcW w:w="1000" w:type="dxa"/>
            <w:vAlign w:val="bottom"/>
            <w:shd w:val="clear" w:color="auto" w:fill="E5E5E5"/>
          </w:tcPr>
          <w:p>
            <w:pPr>
              <w:jc w:val="right"/>
              <w:ind w:right="253"/>
              <w:spacing w:after="0"/>
              <w:rPr>
                <w:sz w:val="20"/>
                <w:szCs w:val="20"/>
                <w:color w:val="auto"/>
              </w:rPr>
            </w:pPr>
            <w:r>
              <w:rPr>
                <w:rFonts w:ascii="Arial" w:cs="Arial" w:eastAsia="Arial" w:hAnsi="Arial"/>
                <w:sz w:val="18"/>
                <w:szCs w:val="18"/>
                <w:color w:val="auto"/>
              </w:rPr>
              <w:t>24</w:t>
            </w:r>
          </w:p>
        </w:tc>
        <w:tc>
          <w:tcPr>
            <w:tcW w:w="440" w:type="dxa"/>
            <w:vAlign w:val="bottom"/>
            <w:shd w:val="clear" w:color="auto" w:fill="E5E5E5"/>
          </w:tcPr>
          <w:p>
            <w:pPr>
              <w:spacing w:after="0"/>
              <w:rPr>
                <w:sz w:val="19"/>
                <w:szCs w:val="19"/>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24</w:t>
            </w:r>
          </w:p>
        </w:tc>
      </w:tr>
      <w:tr>
        <w:trPr>
          <w:trHeight w:val="208"/>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w w:val="91"/>
              </w:rPr>
              <w:t>Class A Special common stock, $0.01 par value—authorized, 7,500,000,000 shares; issued, 1,056,833,556 and</w:t>
            </w: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540" w:type="dxa"/>
            <w:vAlign w:val="bottom"/>
          </w:tcPr>
          <w:p>
            <w:pPr>
              <w:ind w:left="640"/>
              <w:spacing w:after="0"/>
              <w:rPr>
                <w:sz w:val="20"/>
                <w:szCs w:val="20"/>
                <w:color w:val="auto"/>
              </w:rPr>
            </w:pPr>
            <w:r>
              <w:rPr>
                <w:rFonts w:ascii="Arial" w:cs="Arial" w:eastAsia="Arial" w:hAnsi="Arial"/>
                <w:sz w:val="18"/>
                <w:szCs w:val="18"/>
                <w:color w:val="auto"/>
              </w:rPr>
              <w:t>1,120,659,771; outstanding, 985,898,792 and 1,049,725,007</w:t>
            </w:r>
          </w:p>
        </w:tc>
        <w:tc>
          <w:tcPr>
            <w:tcW w:w="720" w:type="dxa"/>
            <w:vAlign w:val="bottom"/>
          </w:tcPr>
          <w:p>
            <w:pPr>
              <w:spacing w:after="0"/>
              <w:rPr>
                <w:sz w:val="19"/>
                <w:szCs w:val="19"/>
                <w:color w:val="auto"/>
              </w:rPr>
            </w:pPr>
          </w:p>
        </w:tc>
        <w:tc>
          <w:tcPr>
            <w:tcW w:w="1000" w:type="dxa"/>
            <w:vAlign w:val="bottom"/>
          </w:tcPr>
          <w:p>
            <w:pPr>
              <w:jc w:val="right"/>
              <w:ind w:right="253"/>
              <w:spacing w:after="0"/>
              <w:rPr>
                <w:sz w:val="20"/>
                <w:szCs w:val="20"/>
                <w:color w:val="auto"/>
              </w:rPr>
            </w:pPr>
            <w:r>
              <w:rPr>
                <w:rFonts w:ascii="Arial" w:cs="Arial" w:eastAsia="Arial" w:hAnsi="Arial"/>
                <w:sz w:val="18"/>
                <w:szCs w:val="18"/>
                <w:color w:val="auto"/>
              </w:rPr>
              <w:t>11</w:t>
            </w:r>
          </w:p>
        </w:tc>
        <w:tc>
          <w:tcPr>
            <w:tcW w:w="4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7"/>
        </w:trPr>
        <w:tc>
          <w:tcPr>
            <w:tcW w:w="20" w:type="dxa"/>
            <w:vAlign w:val="bottom"/>
          </w:tcPr>
          <w:p>
            <w:pPr>
              <w:spacing w:after="0"/>
              <w:rPr>
                <w:sz w:val="18"/>
                <w:szCs w:val="18"/>
                <w:color w:val="auto"/>
              </w:rPr>
            </w:pPr>
          </w:p>
        </w:tc>
        <w:tc>
          <w:tcPr>
            <w:tcW w:w="8540" w:type="dxa"/>
            <w:vAlign w:val="bottom"/>
            <w:shd w:val="clear" w:color="auto" w:fill="E5E5E5"/>
          </w:tcPr>
          <w:p>
            <w:pPr>
              <w:ind w:left="420"/>
              <w:spacing w:after="0"/>
              <w:rPr>
                <w:sz w:val="20"/>
                <w:szCs w:val="20"/>
                <w:color w:val="auto"/>
              </w:rPr>
            </w:pPr>
            <w:r>
              <w:rPr>
                <w:rFonts w:ascii="Arial" w:cs="Arial" w:eastAsia="Arial" w:hAnsi="Arial"/>
                <w:sz w:val="18"/>
                <w:szCs w:val="18"/>
                <w:color w:val="auto"/>
                <w:w w:val="93"/>
              </w:rPr>
              <w:t>Class B common stock, $0.01 par value—authorized, 75,000,000 shares; issued and outstanding, 9,444,375</w:t>
            </w:r>
          </w:p>
        </w:tc>
        <w:tc>
          <w:tcPr>
            <w:tcW w:w="72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253"/>
              <w:spacing w:after="0"/>
              <w:rPr>
                <w:sz w:val="20"/>
                <w:szCs w:val="20"/>
                <w:color w:val="auto"/>
              </w:rPr>
            </w:pPr>
            <w:r>
              <w:rPr>
                <w:rFonts w:ascii="Arial" w:cs="Arial" w:eastAsia="Arial" w:hAnsi="Arial"/>
                <w:sz w:val="18"/>
                <w:szCs w:val="18"/>
                <w:color w:val="auto"/>
              </w:rPr>
              <w:t>—</w:t>
            </w:r>
          </w:p>
        </w:tc>
        <w:tc>
          <w:tcPr>
            <w:tcW w:w="44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Additional capital</w:t>
            </w:r>
          </w:p>
        </w:tc>
        <w:tc>
          <w:tcPr>
            <w:tcW w:w="720" w:type="dxa"/>
            <w:vAlign w:val="bottom"/>
          </w:tcPr>
          <w:p>
            <w:pPr>
              <w:spacing w:after="0"/>
              <w:rPr>
                <w:sz w:val="18"/>
                <w:szCs w:val="18"/>
                <w:color w:val="auto"/>
              </w:rPr>
            </w:pPr>
          </w:p>
        </w:tc>
        <w:tc>
          <w:tcPr>
            <w:tcW w:w="1000" w:type="dxa"/>
            <w:vAlign w:val="bottom"/>
          </w:tcPr>
          <w:p>
            <w:pPr>
              <w:jc w:val="right"/>
              <w:ind w:right="253"/>
              <w:spacing w:after="0"/>
              <w:rPr>
                <w:sz w:val="20"/>
                <w:szCs w:val="20"/>
                <w:color w:val="auto"/>
              </w:rPr>
            </w:pPr>
            <w:r>
              <w:rPr>
                <w:rFonts w:ascii="Arial" w:cs="Arial" w:eastAsia="Arial" w:hAnsi="Arial"/>
                <w:sz w:val="18"/>
                <w:szCs w:val="18"/>
                <w:color w:val="auto"/>
              </w:rPr>
              <w:t>42,318</w:t>
            </w: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42,401</w:t>
            </w:r>
          </w:p>
        </w:tc>
      </w:tr>
      <w:tr>
        <w:trPr>
          <w:trHeight w:val="216"/>
        </w:trPr>
        <w:tc>
          <w:tcPr>
            <w:tcW w:w="20" w:type="dxa"/>
            <w:vAlign w:val="bottom"/>
          </w:tcPr>
          <w:p>
            <w:pPr>
              <w:spacing w:after="0"/>
              <w:rPr>
                <w:sz w:val="18"/>
                <w:szCs w:val="18"/>
                <w:color w:val="auto"/>
              </w:rPr>
            </w:pPr>
          </w:p>
        </w:tc>
        <w:tc>
          <w:tcPr>
            <w:tcW w:w="8540" w:type="dxa"/>
            <w:vAlign w:val="bottom"/>
            <w:shd w:val="clear" w:color="auto" w:fill="E5E5E5"/>
          </w:tcPr>
          <w:p>
            <w:pPr>
              <w:spacing w:after="0"/>
              <w:rPr>
                <w:sz w:val="20"/>
                <w:szCs w:val="20"/>
                <w:color w:val="auto"/>
              </w:rPr>
            </w:pPr>
            <w:r>
              <w:rPr>
                <w:rFonts w:ascii="Arial" w:cs="Arial" w:eastAsia="Arial" w:hAnsi="Arial"/>
                <w:sz w:val="18"/>
                <w:szCs w:val="18"/>
                <w:color w:val="auto"/>
              </w:rPr>
              <w:t>Retained earnings</w:t>
            </w:r>
          </w:p>
        </w:tc>
        <w:tc>
          <w:tcPr>
            <w:tcW w:w="72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253"/>
              <w:spacing w:after="0"/>
              <w:rPr>
                <w:sz w:val="20"/>
                <w:szCs w:val="20"/>
                <w:color w:val="auto"/>
              </w:rPr>
            </w:pPr>
            <w:r>
              <w:rPr>
                <w:rFonts w:ascii="Arial" w:cs="Arial" w:eastAsia="Arial" w:hAnsi="Arial"/>
                <w:sz w:val="18"/>
                <w:szCs w:val="18"/>
                <w:color w:val="auto"/>
              </w:rPr>
              <w:t>7,145</w:t>
            </w:r>
          </w:p>
        </w:tc>
        <w:tc>
          <w:tcPr>
            <w:tcW w:w="44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6,214</w:t>
            </w: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Treasury stock—365,460,750 Class A common shares and 70,934,764 Class A Special common shares</w:t>
            </w:r>
          </w:p>
        </w:tc>
        <w:tc>
          <w:tcPr>
            <w:tcW w:w="720" w:type="dxa"/>
            <w:vAlign w:val="bottom"/>
          </w:tcPr>
          <w:p>
            <w:pPr>
              <w:spacing w:after="0"/>
              <w:rPr>
                <w:sz w:val="18"/>
                <w:szCs w:val="18"/>
                <w:color w:val="auto"/>
              </w:rPr>
            </w:pPr>
          </w:p>
        </w:tc>
        <w:tc>
          <w:tcPr>
            <w:tcW w:w="1000" w:type="dxa"/>
            <w:vAlign w:val="bottom"/>
          </w:tcPr>
          <w:p>
            <w:pPr>
              <w:jc w:val="right"/>
              <w:ind w:right="193"/>
              <w:spacing w:after="0"/>
              <w:rPr>
                <w:sz w:val="20"/>
                <w:szCs w:val="20"/>
                <w:color w:val="auto"/>
              </w:rPr>
            </w:pPr>
            <w:r>
              <w:rPr>
                <w:rFonts w:ascii="Arial" w:cs="Arial" w:eastAsia="Arial" w:hAnsi="Arial"/>
                <w:sz w:val="18"/>
                <w:szCs w:val="18"/>
                <w:color w:val="auto"/>
              </w:rPr>
              <w:t>(7,517)</w:t>
            </w: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(7,517)</w:t>
            </w:r>
          </w:p>
        </w:tc>
      </w:tr>
      <w:tr>
        <w:trPr>
          <w:trHeight w:val="216"/>
        </w:trPr>
        <w:tc>
          <w:tcPr>
            <w:tcW w:w="20" w:type="dxa"/>
            <w:vAlign w:val="bottom"/>
          </w:tcPr>
          <w:p>
            <w:pPr>
              <w:spacing w:after="0"/>
              <w:rPr>
                <w:sz w:val="18"/>
                <w:szCs w:val="18"/>
                <w:color w:val="auto"/>
              </w:rPr>
            </w:pPr>
          </w:p>
        </w:tc>
        <w:tc>
          <w:tcPr>
            <w:tcW w:w="854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Accumulated other comprehensive income (loss)</w:t>
            </w:r>
          </w:p>
        </w:tc>
        <w:tc>
          <w:tcPr>
            <w:tcW w:w="72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rPr>
              <w:t>(93)</w:t>
            </w:r>
          </w:p>
        </w:tc>
        <w:tc>
          <w:tcPr>
            <w:tcW w:w="4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34</w:t>
            </w:r>
          </w:p>
        </w:tc>
      </w:tr>
      <w:tr>
        <w:trPr>
          <w:trHeight w:val="210"/>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7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41,888</w:t>
            </w:r>
          </w:p>
        </w:tc>
        <w:tc>
          <w:tcPr>
            <w:tcW w:w="4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41,167</w:t>
            </w:r>
          </w:p>
        </w:tc>
      </w:tr>
      <w:tr>
        <w:trPr>
          <w:trHeight w:val="217"/>
        </w:trPr>
        <w:tc>
          <w:tcPr>
            <w:tcW w:w="20" w:type="dxa"/>
            <w:vAlign w:val="bottom"/>
          </w:tcPr>
          <w:p>
            <w:pPr>
              <w:spacing w:after="0"/>
              <w:rPr>
                <w:sz w:val="18"/>
                <w:szCs w:val="18"/>
                <w:color w:val="auto"/>
              </w:rPr>
            </w:pPr>
          </w:p>
        </w:tc>
        <w:tc>
          <w:tcPr>
            <w:tcW w:w="8540" w:type="dxa"/>
            <w:vAlign w:val="bottom"/>
            <w:tcBorders>
              <w:bottom w:val="single" w:sz="8" w:color="E5E5E5"/>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ind w:left="56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E5E5E5"/>
          </w:tcPr>
          <w:p>
            <w:pPr>
              <w:jc w:val="right"/>
              <w:ind w:right="253"/>
              <w:spacing w:after="0"/>
              <w:rPr>
                <w:sz w:val="20"/>
                <w:szCs w:val="20"/>
                <w:color w:val="auto"/>
              </w:rPr>
            </w:pPr>
            <w:r>
              <w:rPr>
                <w:rFonts w:ascii="Arial" w:cs="Arial" w:eastAsia="Arial" w:hAnsi="Arial"/>
                <w:sz w:val="18"/>
                <w:szCs w:val="18"/>
                <w:b w:val="1"/>
                <w:bCs w:val="1"/>
                <w:color w:val="auto"/>
                <w:w w:val="98"/>
              </w:rPr>
              <w:t>113,171</w:t>
            </w:r>
          </w:p>
        </w:tc>
        <w:tc>
          <w:tcPr>
            <w:tcW w:w="440" w:type="dxa"/>
            <w:vAlign w:val="bottom"/>
            <w:tcBorders>
              <w:bottom w:val="single" w:sz="8" w:color="auto"/>
            </w:tcBorders>
            <w:shd w:val="clear" w:color="auto" w:fill="E5E5E5"/>
          </w:tcPr>
          <w:p>
            <w:pPr>
              <w:ind w:left="28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95"/>
              </w:rPr>
              <w:t>110,405</w:t>
            </w:r>
          </w:p>
        </w:tc>
      </w:tr>
    </w:tbl>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SEPTEMBER 30, 2007</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 of Operations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0" w:type="dxa"/>
            <w:vAlign w:val="bottom"/>
            <w:gridSpan w:val="3"/>
          </w:tcPr>
          <w:p>
            <w:pPr>
              <w:jc w:val="right"/>
              <w:ind w:right="393"/>
              <w:spacing w:after="0"/>
              <w:rPr>
                <w:sz w:val="20"/>
                <w:szCs w:val="20"/>
                <w:color w:val="auto"/>
              </w:rPr>
            </w:pPr>
            <w:r>
              <w:rPr>
                <w:rFonts w:ascii="Arial" w:cs="Arial" w:eastAsia="Arial" w:hAnsi="Arial"/>
                <w:sz w:val="14"/>
                <w:szCs w:val="14"/>
                <w:b w:val="1"/>
                <w:bCs w:val="1"/>
                <w:color w:val="auto"/>
                <w:w w:val="93"/>
              </w:rPr>
              <w:t>Three Months Ended</w:t>
            </w:r>
          </w:p>
        </w:tc>
        <w:tc>
          <w:tcPr>
            <w:tcW w:w="300" w:type="dxa"/>
            <w:vAlign w:val="bottom"/>
          </w:tcPr>
          <w:p>
            <w:pPr>
              <w:spacing w:after="0"/>
              <w:rPr>
                <w:sz w:val="14"/>
                <w:szCs w:val="14"/>
                <w:color w:val="auto"/>
              </w:rPr>
            </w:pPr>
          </w:p>
        </w:tc>
        <w:tc>
          <w:tcPr>
            <w:tcW w:w="1640" w:type="dxa"/>
            <w:vAlign w:val="bottom"/>
            <w:gridSpan w:val="3"/>
          </w:tcPr>
          <w:p>
            <w:pPr>
              <w:jc w:val="right"/>
              <w:ind w:right="233"/>
              <w:spacing w:after="0"/>
              <w:rPr>
                <w:sz w:val="20"/>
                <w:szCs w:val="20"/>
                <w:color w:val="auto"/>
              </w:rPr>
            </w:pPr>
            <w:r>
              <w:rPr>
                <w:rFonts w:ascii="Arial" w:cs="Arial" w:eastAsia="Arial" w:hAnsi="Arial"/>
                <w:sz w:val="14"/>
                <w:szCs w:val="14"/>
                <w:b w:val="1"/>
                <w:bCs w:val="1"/>
                <w:color w:val="auto"/>
                <w:w w:val="99"/>
              </w:rPr>
              <w:t>Nine Months Ended</w:t>
            </w:r>
          </w:p>
        </w:tc>
        <w:tc>
          <w:tcPr>
            <w:tcW w:w="0" w:type="dxa"/>
            <w:vAlign w:val="bottom"/>
          </w:tcPr>
          <w:p>
            <w:pPr>
              <w:spacing w:after="0"/>
              <w:rPr>
                <w:sz w:val="1"/>
                <w:szCs w:val="1"/>
                <w:color w:val="auto"/>
              </w:rPr>
            </w:pPr>
          </w:p>
        </w:tc>
      </w:tr>
      <w:tr>
        <w:trPr>
          <w:trHeight w:val="161"/>
        </w:trPr>
        <w:tc>
          <w:tcPr>
            <w:tcW w:w="7140" w:type="dxa"/>
            <w:vAlign w:val="bottom"/>
            <w:gridSpan w:val="2"/>
            <w:vMerge w:val="restart"/>
          </w:tcPr>
          <w:p>
            <w:pPr>
              <w:spacing w:after="0"/>
              <w:rPr>
                <w:sz w:val="20"/>
                <w:szCs w:val="20"/>
                <w:color w:val="auto"/>
              </w:rPr>
            </w:pPr>
            <w:r>
              <w:rPr>
                <w:rFonts w:ascii="Arial" w:cs="Arial" w:eastAsia="Arial" w:hAnsi="Arial"/>
                <w:sz w:val="14"/>
                <w:szCs w:val="14"/>
                <w:color w:val="auto"/>
              </w:rPr>
              <w:t>(in millions, except per share data)</w:t>
            </w:r>
          </w:p>
        </w:tc>
        <w:tc>
          <w:tcPr>
            <w:tcW w:w="5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593"/>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393"/>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714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jc w:val="right"/>
              <w:ind w:right="334"/>
              <w:spacing w:after="0" w:line="142" w:lineRule="exact"/>
              <w:rPr>
                <w:sz w:val="20"/>
                <w:szCs w:val="20"/>
                <w:color w:val="auto"/>
              </w:rPr>
            </w:pPr>
            <w:r>
              <w:rPr>
                <w:rFonts w:ascii="Arial" w:cs="Arial" w:eastAsia="Arial" w:hAnsi="Arial"/>
                <w:sz w:val="14"/>
                <w:szCs w:val="14"/>
                <w:b w:val="1"/>
                <w:bCs w:val="1"/>
                <w:color w:val="auto"/>
                <w:w w:val="89"/>
              </w:rPr>
              <w:t>2007</w:t>
            </w:r>
          </w:p>
        </w:tc>
        <w:tc>
          <w:tcPr>
            <w:tcW w:w="340" w:type="dxa"/>
            <w:vAlign w:val="bottom"/>
          </w:tcPr>
          <w:p>
            <w:pPr>
              <w:spacing w:after="0"/>
              <w:rPr>
                <w:sz w:val="12"/>
                <w:szCs w:val="12"/>
                <w:color w:val="auto"/>
              </w:rPr>
            </w:pPr>
          </w:p>
        </w:tc>
        <w:tc>
          <w:tcPr>
            <w:tcW w:w="740" w:type="dxa"/>
            <w:vAlign w:val="bottom"/>
          </w:tcPr>
          <w:p>
            <w:pPr>
              <w:jc w:val="right"/>
              <w:ind w:right="353"/>
              <w:spacing w:after="0" w:line="142" w:lineRule="exact"/>
              <w:rPr>
                <w:sz w:val="20"/>
                <w:szCs w:val="20"/>
                <w:color w:val="auto"/>
              </w:rPr>
            </w:pPr>
            <w:r>
              <w:rPr>
                <w:rFonts w:ascii="Arial" w:cs="Arial" w:eastAsia="Arial" w:hAnsi="Arial"/>
                <w:sz w:val="14"/>
                <w:szCs w:val="14"/>
                <w:b w:val="1"/>
                <w:bCs w:val="1"/>
                <w:color w:val="auto"/>
                <w:w w:val="89"/>
              </w:rPr>
              <w:t>2006</w:t>
            </w:r>
          </w:p>
        </w:tc>
        <w:tc>
          <w:tcPr>
            <w:tcW w:w="300" w:type="dxa"/>
            <w:vAlign w:val="bottom"/>
          </w:tcPr>
          <w:p>
            <w:pPr>
              <w:spacing w:after="0"/>
              <w:rPr>
                <w:sz w:val="12"/>
                <w:szCs w:val="12"/>
                <w:color w:val="auto"/>
              </w:rPr>
            </w:pPr>
          </w:p>
        </w:tc>
        <w:tc>
          <w:tcPr>
            <w:tcW w:w="780" w:type="dxa"/>
            <w:vAlign w:val="bottom"/>
          </w:tcPr>
          <w:p>
            <w:pPr>
              <w:jc w:val="right"/>
              <w:ind w:right="354"/>
              <w:spacing w:after="0" w:line="142" w:lineRule="exact"/>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2"/>
                <w:szCs w:val="12"/>
                <w:color w:val="auto"/>
              </w:rPr>
            </w:pPr>
          </w:p>
        </w:tc>
        <w:tc>
          <w:tcPr>
            <w:tcW w:w="56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Revenues</w:t>
            </w:r>
          </w:p>
        </w:tc>
        <w:tc>
          <w:tcPr>
            <w:tcW w:w="5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E5E5E5"/>
          </w:tcPr>
          <w:p>
            <w:pPr>
              <w:jc w:val="right"/>
              <w:ind w:right="194"/>
              <w:spacing w:after="0"/>
              <w:rPr>
                <w:sz w:val="20"/>
                <w:szCs w:val="20"/>
                <w:color w:val="auto"/>
              </w:rPr>
            </w:pPr>
            <w:r>
              <w:rPr>
                <w:rFonts w:ascii="Arial" w:cs="Arial" w:eastAsia="Arial" w:hAnsi="Arial"/>
                <w:sz w:val="18"/>
                <w:szCs w:val="18"/>
                <w:color w:val="auto"/>
                <w:w w:val="93"/>
              </w:rPr>
              <w:t>7,781</w:t>
            </w:r>
          </w:p>
        </w:tc>
        <w:tc>
          <w:tcPr>
            <w:tcW w:w="3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w w:val="97"/>
              </w:rPr>
              <w:t>6,432</w:t>
            </w:r>
          </w:p>
        </w:tc>
        <w:tc>
          <w:tcPr>
            <w:tcW w:w="3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E5E5E5"/>
          </w:tcPr>
          <w:p>
            <w:pPr>
              <w:jc w:val="right"/>
              <w:ind w:right="194"/>
              <w:spacing w:after="0"/>
              <w:rPr>
                <w:sz w:val="20"/>
                <w:szCs w:val="20"/>
                <w:color w:val="auto"/>
              </w:rPr>
            </w:pPr>
            <w:r>
              <w:rPr>
                <w:rFonts w:ascii="Arial" w:cs="Arial" w:eastAsia="Arial" w:hAnsi="Arial"/>
                <w:sz w:val="18"/>
                <w:szCs w:val="18"/>
                <w:color w:val="auto"/>
                <w:w w:val="87"/>
              </w:rPr>
              <w:t>22,881</w:t>
            </w:r>
          </w:p>
        </w:tc>
        <w:tc>
          <w:tcPr>
            <w:tcW w:w="3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87"/>
              </w:rPr>
              <w:t>17,935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Costs and Expenses</w:t>
            </w: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Operating (excluding depreciation)</w:t>
            </w:r>
          </w:p>
        </w:tc>
        <w:tc>
          <w:tcPr>
            <w:tcW w:w="5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w w:val="93"/>
              </w:rPr>
              <w:t>2,759</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w w:val="97"/>
              </w:rPr>
              <w:t>2,274</w:t>
            </w:r>
          </w:p>
        </w:tc>
        <w:tc>
          <w:tcPr>
            <w:tcW w:w="3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8,272</w:t>
            </w:r>
          </w:p>
        </w:tc>
        <w:tc>
          <w:tcPr>
            <w:tcW w:w="30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540" w:type="dxa"/>
            <w:vAlign w:val="bottom"/>
          </w:tcPr>
          <w:p>
            <w:pPr>
              <w:spacing w:after="0"/>
              <w:rPr>
                <w:sz w:val="18"/>
                <w:szCs w:val="18"/>
                <w:color w:val="auto"/>
              </w:rPr>
            </w:pPr>
          </w:p>
        </w:tc>
        <w:tc>
          <w:tcPr>
            <w:tcW w:w="720" w:type="dxa"/>
            <w:vAlign w:val="bottom"/>
          </w:tcPr>
          <w:p>
            <w:pPr>
              <w:jc w:val="right"/>
              <w:ind w:right="194"/>
              <w:spacing w:after="0"/>
              <w:rPr>
                <w:sz w:val="20"/>
                <w:szCs w:val="20"/>
                <w:color w:val="auto"/>
              </w:rPr>
            </w:pPr>
            <w:r>
              <w:rPr>
                <w:rFonts w:ascii="Arial" w:cs="Arial" w:eastAsia="Arial" w:hAnsi="Arial"/>
                <w:sz w:val="18"/>
                <w:szCs w:val="18"/>
                <w:color w:val="auto"/>
                <w:w w:val="93"/>
              </w:rPr>
              <w:t>2,093</w:t>
            </w:r>
          </w:p>
        </w:tc>
        <w:tc>
          <w:tcPr>
            <w:tcW w:w="340" w:type="dxa"/>
            <w:vAlign w:val="bottom"/>
          </w:tcPr>
          <w:p>
            <w:pPr>
              <w:spacing w:after="0"/>
              <w:rPr>
                <w:sz w:val="18"/>
                <w:szCs w:val="18"/>
                <w:color w:val="auto"/>
              </w:rPr>
            </w:pPr>
          </w:p>
        </w:tc>
        <w:tc>
          <w:tcPr>
            <w:tcW w:w="740" w:type="dxa"/>
            <w:vAlign w:val="bottom"/>
          </w:tcPr>
          <w:p>
            <w:pPr>
              <w:jc w:val="right"/>
              <w:ind w:right="193"/>
              <w:spacing w:after="0"/>
              <w:rPr>
                <w:sz w:val="20"/>
                <w:szCs w:val="20"/>
                <w:color w:val="auto"/>
              </w:rPr>
            </w:pPr>
            <w:r>
              <w:rPr>
                <w:rFonts w:ascii="Arial" w:cs="Arial" w:eastAsia="Arial" w:hAnsi="Arial"/>
                <w:sz w:val="18"/>
                <w:szCs w:val="18"/>
                <w:color w:val="auto"/>
                <w:w w:val="97"/>
              </w:rPr>
              <w:t>1,721</w:t>
            </w:r>
          </w:p>
        </w:tc>
        <w:tc>
          <w:tcPr>
            <w:tcW w:w="300" w:type="dxa"/>
            <w:vAlign w:val="bottom"/>
          </w:tcPr>
          <w:p>
            <w:pPr>
              <w:spacing w:after="0"/>
              <w:rPr>
                <w:sz w:val="18"/>
                <w:szCs w:val="18"/>
                <w:color w:val="auto"/>
              </w:rPr>
            </w:pPr>
          </w:p>
        </w:tc>
        <w:tc>
          <w:tcPr>
            <w:tcW w:w="780" w:type="dxa"/>
            <w:vAlign w:val="bottom"/>
          </w:tcPr>
          <w:p>
            <w:pPr>
              <w:jc w:val="right"/>
              <w:ind w:right="194"/>
              <w:spacing w:after="0"/>
              <w:rPr>
                <w:sz w:val="20"/>
                <w:szCs w:val="20"/>
                <w:color w:val="auto"/>
              </w:rPr>
            </w:pPr>
            <w:r>
              <w:rPr>
                <w:rFonts w:ascii="Arial" w:cs="Arial" w:eastAsia="Arial" w:hAnsi="Arial"/>
                <w:sz w:val="18"/>
                <w:szCs w:val="18"/>
                <w:color w:val="auto"/>
              </w:rPr>
              <w:t>5,905</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Depreciation</w:t>
            </w:r>
          </w:p>
        </w:tc>
        <w:tc>
          <w:tcPr>
            <w:tcW w:w="5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w w:val="93"/>
              </w:rPr>
              <w:t>1,291</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963</w:t>
            </w:r>
          </w:p>
        </w:tc>
        <w:tc>
          <w:tcPr>
            <w:tcW w:w="3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3,768</w:t>
            </w:r>
          </w:p>
        </w:tc>
        <w:tc>
          <w:tcPr>
            <w:tcW w:w="30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420"/>
              <w:spacing w:after="0"/>
              <w:rPr>
                <w:sz w:val="20"/>
                <w:szCs w:val="20"/>
                <w:color w:val="auto"/>
              </w:rPr>
            </w:pPr>
            <w:r>
              <w:rPr>
                <w:rFonts w:ascii="Arial" w:cs="Arial" w:eastAsia="Arial" w:hAnsi="Arial"/>
                <w:sz w:val="18"/>
                <w:szCs w:val="18"/>
                <w:color w:val="auto"/>
              </w:rPr>
              <w:t>Amortization</w:t>
            </w:r>
          </w:p>
        </w:tc>
        <w:tc>
          <w:tcPr>
            <w:tcW w:w="5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247</w:t>
            </w: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250</w:t>
            </w: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816</w:t>
            </w:r>
          </w:p>
        </w:tc>
        <w:tc>
          <w:tcPr>
            <w:tcW w:w="3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tcBorders>
              <w:bottom w:val="single" w:sz="8" w:color="E5E5E5"/>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94"/>
              <w:spacing w:after="0"/>
              <w:rPr>
                <w:sz w:val="20"/>
                <w:szCs w:val="20"/>
                <w:color w:val="auto"/>
              </w:rPr>
            </w:pPr>
            <w:r>
              <w:rPr>
                <w:rFonts w:ascii="Arial" w:cs="Arial" w:eastAsia="Arial" w:hAnsi="Arial"/>
                <w:sz w:val="18"/>
                <w:szCs w:val="18"/>
                <w:color w:val="auto"/>
                <w:w w:val="93"/>
              </w:rPr>
              <w:t>6,390</w:t>
            </w:r>
          </w:p>
        </w:tc>
        <w:tc>
          <w:tcPr>
            <w:tcW w:w="3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w w:val="97"/>
              </w:rPr>
              <w:t>5,208</w:t>
            </w:r>
          </w:p>
        </w:tc>
        <w:tc>
          <w:tcPr>
            <w:tcW w:w="30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94"/>
              <w:spacing w:after="0"/>
              <w:rPr>
                <w:sz w:val="20"/>
                <w:szCs w:val="20"/>
                <w:color w:val="auto"/>
              </w:rPr>
            </w:pPr>
            <w:r>
              <w:rPr>
                <w:rFonts w:ascii="Arial" w:cs="Arial" w:eastAsia="Arial" w:hAnsi="Arial"/>
                <w:sz w:val="18"/>
                <w:szCs w:val="18"/>
                <w:color w:val="auto"/>
                <w:w w:val="87"/>
              </w:rPr>
              <w:t>18,761</w:t>
            </w:r>
          </w:p>
        </w:tc>
        <w:tc>
          <w:tcPr>
            <w:tcW w:w="3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87"/>
              </w:rPr>
              <w:t>14,534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Operating income</w:t>
            </w:r>
          </w:p>
        </w:tc>
        <w:tc>
          <w:tcPr>
            <w:tcW w:w="540" w:type="dxa"/>
            <w:vAlign w:val="bottom"/>
          </w:tcPr>
          <w:p>
            <w:pPr>
              <w:spacing w:after="0"/>
              <w:rPr>
                <w:sz w:val="18"/>
                <w:szCs w:val="18"/>
                <w:color w:val="auto"/>
              </w:rPr>
            </w:pPr>
          </w:p>
        </w:tc>
        <w:tc>
          <w:tcPr>
            <w:tcW w:w="720" w:type="dxa"/>
            <w:vAlign w:val="bottom"/>
          </w:tcPr>
          <w:p>
            <w:pPr>
              <w:jc w:val="right"/>
              <w:ind w:right="194"/>
              <w:spacing w:after="0"/>
              <w:rPr>
                <w:sz w:val="20"/>
                <w:szCs w:val="20"/>
                <w:color w:val="auto"/>
              </w:rPr>
            </w:pPr>
            <w:r>
              <w:rPr>
                <w:rFonts w:ascii="Arial" w:cs="Arial" w:eastAsia="Arial" w:hAnsi="Arial"/>
                <w:sz w:val="18"/>
                <w:szCs w:val="18"/>
                <w:color w:val="auto"/>
                <w:w w:val="93"/>
              </w:rPr>
              <w:t>1,391</w:t>
            </w:r>
          </w:p>
        </w:tc>
        <w:tc>
          <w:tcPr>
            <w:tcW w:w="340" w:type="dxa"/>
            <w:vAlign w:val="bottom"/>
          </w:tcPr>
          <w:p>
            <w:pPr>
              <w:spacing w:after="0"/>
              <w:rPr>
                <w:sz w:val="18"/>
                <w:szCs w:val="18"/>
                <w:color w:val="auto"/>
              </w:rPr>
            </w:pPr>
          </w:p>
        </w:tc>
        <w:tc>
          <w:tcPr>
            <w:tcW w:w="740" w:type="dxa"/>
            <w:vAlign w:val="bottom"/>
          </w:tcPr>
          <w:p>
            <w:pPr>
              <w:jc w:val="right"/>
              <w:ind w:right="193"/>
              <w:spacing w:after="0"/>
              <w:rPr>
                <w:sz w:val="20"/>
                <w:szCs w:val="20"/>
                <w:color w:val="auto"/>
              </w:rPr>
            </w:pPr>
            <w:r>
              <w:rPr>
                <w:rFonts w:ascii="Arial" w:cs="Arial" w:eastAsia="Arial" w:hAnsi="Arial"/>
                <w:sz w:val="18"/>
                <w:szCs w:val="18"/>
                <w:color w:val="auto"/>
                <w:w w:val="97"/>
              </w:rPr>
              <w:t>1,224</w:t>
            </w:r>
          </w:p>
        </w:tc>
        <w:tc>
          <w:tcPr>
            <w:tcW w:w="300" w:type="dxa"/>
            <w:vAlign w:val="bottom"/>
          </w:tcPr>
          <w:p>
            <w:pPr>
              <w:spacing w:after="0"/>
              <w:rPr>
                <w:sz w:val="18"/>
                <w:szCs w:val="18"/>
                <w:color w:val="auto"/>
              </w:rPr>
            </w:pPr>
          </w:p>
        </w:tc>
        <w:tc>
          <w:tcPr>
            <w:tcW w:w="780" w:type="dxa"/>
            <w:vAlign w:val="bottom"/>
          </w:tcPr>
          <w:p>
            <w:pPr>
              <w:jc w:val="right"/>
              <w:ind w:right="194"/>
              <w:spacing w:after="0"/>
              <w:rPr>
                <w:sz w:val="20"/>
                <w:szCs w:val="20"/>
                <w:color w:val="auto"/>
              </w:rPr>
            </w:pPr>
            <w:r>
              <w:rPr>
                <w:rFonts w:ascii="Arial" w:cs="Arial" w:eastAsia="Arial" w:hAnsi="Arial"/>
                <w:sz w:val="18"/>
                <w:szCs w:val="18"/>
                <w:color w:val="auto"/>
              </w:rPr>
              <w:t>4,120</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E5E5E5"/>
          </w:tcPr>
          <w:p>
            <w:pPr>
              <w:spacing w:after="0"/>
              <w:rPr>
                <w:sz w:val="20"/>
                <w:szCs w:val="20"/>
                <w:color w:val="auto"/>
              </w:rPr>
            </w:pPr>
            <w:r>
              <w:rPr>
                <w:rFonts w:ascii="Arial" w:cs="Arial" w:eastAsia="Arial" w:hAnsi="Arial"/>
                <w:sz w:val="18"/>
                <w:szCs w:val="18"/>
                <w:color w:val="auto"/>
              </w:rPr>
              <w:t>Other Income (Expense)</w:t>
            </w:r>
          </w:p>
        </w:tc>
        <w:tc>
          <w:tcPr>
            <w:tcW w:w="5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540" w:type="dxa"/>
            <w:vAlign w:val="bottom"/>
          </w:tcPr>
          <w:p>
            <w:pPr>
              <w:spacing w:after="0"/>
              <w:rPr>
                <w:sz w:val="18"/>
                <w:szCs w:val="18"/>
                <w:color w:val="auto"/>
              </w:rPr>
            </w:pPr>
          </w:p>
        </w:tc>
        <w:tc>
          <w:tcPr>
            <w:tcW w:w="720" w:type="dxa"/>
            <w:vAlign w:val="bottom"/>
          </w:tcPr>
          <w:p>
            <w:pPr>
              <w:jc w:val="right"/>
              <w:ind w:right="134"/>
              <w:spacing w:after="0"/>
              <w:rPr>
                <w:sz w:val="20"/>
                <w:szCs w:val="20"/>
                <w:color w:val="auto"/>
              </w:rPr>
            </w:pPr>
            <w:r>
              <w:rPr>
                <w:rFonts w:ascii="Arial" w:cs="Arial" w:eastAsia="Arial" w:hAnsi="Arial"/>
                <w:sz w:val="18"/>
                <w:szCs w:val="18"/>
                <w:color w:val="auto"/>
              </w:rPr>
              <w:t>(571)</w:t>
            </w:r>
          </w:p>
        </w:tc>
        <w:tc>
          <w:tcPr>
            <w:tcW w:w="340" w:type="dxa"/>
            <w:vAlign w:val="bottom"/>
          </w:tcPr>
          <w:p>
            <w:pPr>
              <w:spacing w:after="0"/>
              <w:rPr>
                <w:sz w:val="18"/>
                <w:szCs w:val="18"/>
                <w:color w:val="auto"/>
              </w:rPr>
            </w:pPr>
          </w:p>
        </w:tc>
        <w:tc>
          <w:tcPr>
            <w:tcW w:w="740" w:type="dxa"/>
            <w:vAlign w:val="bottom"/>
          </w:tcPr>
          <w:p>
            <w:pPr>
              <w:jc w:val="right"/>
              <w:ind w:right="133"/>
              <w:spacing w:after="0"/>
              <w:rPr>
                <w:sz w:val="20"/>
                <w:szCs w:val="20"/>
                <w:color w:val="auto"/>
              </w:rPr>
            </w:pPr>
            <w:r>
              <w:rPr>
                <w:rFonts w:ascii="Arial" w:cs="Arial" w:eastAsia="Arial" w:hAnsi="Arial"/>
                <w:sz w:val="18"/>
                <w:szCs w:val="18"/>
                <w:color w:val="auto"/>
              </w:rPr>
              <w:t>(530)</w:t>
            </w:r>
          </w:p>
        </w:tc>
        <w:tc>
          <w:tcPr>
            <w:tcW w:w="300" w:type="dxa"/>
            <w:vAlign w:val="bottom"/>
          </w:tcPr>
          <w:p>
            <w:pPr>
              <w:spacing w:after="0"/>
              <w:rPr>
                <w:sz w:val="18"/>
                <w:szCs w:val="18"/>
                <w:color w:val="auto"/>
              </w:rPr>
            </w:pPr>
          </w:p>
        </w:tc>
        <w:tc>
          <w:tcPr>
            <w:tcW w:w="780" w:type="dxa"/>
            <w:vAlign w:val="bottom"/>
          </w:tcPr>
          <w:p>
            <w:pPr>
              <w:jc w:val="right"/>
              <w:ind w:right="134"/>
              <w:spacing w:after="0"/>
              <w:rPr>
                <w:sz w:val="20"/>
                <w:szCs w:val="20"/>
                <w:color w:val="auto"/>
              </w:rPr>
            </w:pPr>
            <w:r>
              <w:rPr>
                <w:rFonts w:ascii="Arial" w:cs="Arial" w:eastAsia="Arial" w:hAnsi="Arial"/>
                <w:sz w:val="18"/>
                <w:szCs w:val="18"/>
                <w:color w:val="auto"/>
                <w:w w:val="94"/>
              </w:rPr>
              <w:t>(1,689)</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Investment income (loss), net</w:t>
            </w:r>
          </w:p>
        </w:tc>
        <w:tc>
          <w:tcPr>
            <w:tcW w:w="5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158</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857</w:t>
            </w:r>
          </w:p>
        </w:tc>
        <w:tc>
          <w:tcPr>
            <w:tcW w:w="3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458</w:t>
            </w:r>
          </w:p>
        </w:tc>
        <w:tc>
          <w:tcPr>
            <w:tcW w:w="30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420"/>
              <w:spacing w:after="0"/>
              <w:rPr>
                <w:sz w:val="20"/>
                <w:szCs w:val="20"/>
                <w:color w:val="auto"/>
              </w:rPr>
            </w:pPr>
            <w:r>
              <w:rPr>
                <w:rFonts w:ascii="Arial" w:cs="Arial" w:eastAsia="Arial" w:hAnsi="Arial"/>
                <w:sz w:val="18"/>
                <w:szCs w:val="18"/>
                <w:color w:val="auto"/>
              </w:rPr>
              <w:t>Equity in net (losses) income of affiliates, net</w:t>
            </w:r>
          </w:p>
        </w:tc>
        <w:tc>
          <w:tcPr>
            <w:tcW w:w="540" w:type="dxa"/>
            <w:vAlign w:val="bottom"/>
          </w:tcPr>
          <w:p>
            <w:pPr>
              <w:spacing w:after="0"/>
              <w:rPr>
                <w:sz w:val="18"/>
                <w:szCs w:val="18"/>
                <w:color w:val="auto"/>
              </w:rPr>
            </w:pPr>
          </w:p>
        </w:tc>
        <w:tc>
          <w:tcPr>
            <w:tcW w:w="720" w:type="dxa"/>
            <w:vAlign w:val="bottom"/>
          </w:tcPr>
          <w:p>
            <w:pPr>
              <w:jc w:val="right"/>
              <w:ind w:right="134"/>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18"/>
                <w:szCs w:val="18"/>
                <w:color w:val="auto"/>
              </w:rPr>
            </w:pPr>
          </w:p>
        </w:tc>
        <w:tc>
          <w:tcPr>
            <w:tcW w:w="740" w:type="dxa"/>
            <w:vAlign w:val="bottom"/>
          </w:tcPr>
          <w:p>
            <w:pPr>
              <w:jc w:val="right"/>
              <w:ind w:right="133"/>
              <w:spacing w:after="0"/>
              <w:rPr>
                <w:sz w:val="20"/>
                <w:szCs w:val="20"/>
                <w:color w:val="auto"/>
              </w:rPr>
            </w:pPr>
            <w:r>
              <w:rPr>
                <w:rFonts w:ascii="Arial" w:cs="Arial" w:eastAsia="Arial" w:hAnsi="Arial"/>
                <w:sz w:val="18"/>
                <w:szCs w:val="18"/>
                <w:color w:val="auto"/>
              </w:rPr>
              <w:t>(65)</w:t>
            </w:r>
          </w:p>
        </w:tc>
        <w:tc>
          <w:tcPr>
            <w:tcW w:w="300" w:type="dxa"/>
            <w:vAlign w:val="bottom"/>
          </w:tcPr>
          <w:p>
            <w:pPr>
              <w:spacing w:after="0"/>
              <w:rPr>
                <w:sz w:val="18"/>
                <w:szCs w:val="18"/>
                <w:color w:val="auto"/>
              </w:rPr>
            </w:pPr>
          </w:p>
        </w:tc>
        <w:tc>
          <w:tcPr>
            <w:tcW w:w="780" w:type="dxa"/>
            <w:vAlign w:val="bottom"/>
          </w:tcPr>
          <w:p>
            <w:pPr>
              <w:jc w:val="right"/>
              <w:ind w:right="134"/>
              <w:spacing w:after="0"/>
              <w:rPr>
                <w:sz w:val="20"/>
                <w:szCs w:val="20"/>
                <w:color w:val="auto"/>
              </w:rPr>
            </w:pPr>
            <w:r>
              <w:rPr>
                <w:rFonts w:ascii="Arial" w:cs="Arial" w:eastAsia="Arial" w:hAnsi="Arial"/>
                <w:sz w:val="18"/>
                <w:szCs w:val="18"/>
                <w:color w:val="auto"/>
              </w:rPr>
              <w:t>(49)</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Borders>
              <w:bottom w:val="single" w:sz="8" w:color="E5E5E5"/>
            </w:tcBorders>
            <w:shd w:val="clear" w:color="auto" w:fill="E5E5E5"/>
          </w:tcPr>
          <w:p>
            <w:pPr>
              <w:ind w:left="420"/>
              <w:spacing w:after="0"/>
              <w:rPr>
                <w:sz w:val="20"/>
                <w:szCs w:val="20"/>
                <w:color w:val="auto"/>
              </w:rPr>
            </w:pPr>
            <w:r>
              <w:rPr>
                <w:rFonts w:ascii="Arial" w:cs="Arial" w:eastAsia="Arial" w:hAnsi="Arial"/>
                <w:sz w:val="18"/>
                <w:szCs w:val="18"/>
                <w:color w:val="auto"/>
              </w:rPr>
              <w:t>Other income (expense)</w:t>
            </w:r>
          </w:p>
        </w:tc>
        <w:tc>
          <w:tcPr>
            <w:tcW w:w="5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(1)</w:t>
            </w:r>
          </w:p>
        </w:tc>
        <w:tc>
          <w:tcPr>
            <w:tcW w:w="3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rPr>
              <w:t>96</w:t>
            </w:r>
          </w:p>
        </w:tc>
        <w:tc>
          <w:tcPr>
            <w:tcW w:w="30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94"/>
              <w:spacing w:after="0"/>
              <w:rPr>
                <w:sz w:val="20"/>
                <w:szCs w:val="20"/>
                <w:color w:val="auto"/>
              </w:rPr>
            </w:pPr>
            <w:r>
              <w:rPr>
                <w:rFonts w:ascii="Arial" w:cs="Arial" w:eastAsia="Arial" w:hAnsi="Arial"/>
                <w:sz w:val="18"/>
                <w:szCs w:val="18"/>
                <w:color w:val="auto"/>
              </w:rPr>
              <w:t>513</w:t>
            </w:r>
          </w:p>
        </w:tc>
        <w:tc>
          <w:tcPr>
            <w:tcW w:w="3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(426)</w:t>
            </w: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358</w:t>
            </w: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(767)</w:t>
            </w:r>
          </w:p>
        </w:tc>
        <w:tc>
          <w:tcPr>
            <w:tcW w:w="3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shd w:val="clear" w:color="auto" w:fill="E5E5E5"/>
          </w:tcPr>
          <w:p>
            <w:pPr>
              <w:spacing w:after="0"/>
              <w:rPr>
                <w:sz w:val="20"/>
                <w:szCs w:val="20"/>
                <w:color w:val="auto"/>
              </w:rPr>
            </w:pPr>
            <w:r>
              <w:rPr>
                <w:rFonts w:ascii="Arial" w:cs="Arial" w:eastAsia="Arial" w:hAnsi="Arial"/>
                <w:sz w:val="18"/>
                <w:szCs w:val="18"/>
                <w:color w:val="auto"/>
              </w:rPr>
              <w:t>Income from continuing operations before income taxes and minority interest</w:t>
            </w:r>
          </w:p>
        </w:tc>
        <w:tc>
          <w:tcPr>
            <w:tcW w:w="5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965</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w w:val="97"/>
              </w:rPr>
              <w:t>1,582</w:t>
            </w:r>
          </w:p>
        </w:tc>
        <w:tc>
          <w:tcPr>
            <w:tcW w:w="3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3,353</w:t>
            </w:r>
          </w:p>
        </w:tc>
        <w:tc>
          <w:tcPr>
            <w:tcW w:w="30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Income tax expense</w:t>
            </w:r>
          </w:p>
        </w:tc>
        <w:tc>
          <w:tcPr>
            <w:tcW w:w="5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(421)</w:t>
            </w: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(610)</w:t>
            </w: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w w:val="94"/>
              </w:rPr>
              <w:t>(1,400)</w:t>
            </w:r>
          </w:p>
        </w:tc>
        <w:tc>
          <w:tcPr>
            <w:tcW w:w="3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(1,126)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shd w:val="clear" w:color="auto" w:fill="E5E5E5"/>
          </w:tcPr>
          <w:p>
            <w:pPr>
              <w:spacing w:after="0"/>
              <w:rPr>
                <w:sz w:val="20"/>
                <w:szCs w:val="20"/>
                <w:color w:val="auto"/>
              </w:rPr>
            </w:pPr>
            <w:r>
              <w:rPr>
                <w:rFonts w:ascii="Arial" w:cs="Arial" w:eastAsia="Arial" w:hAnsi="Arial"/>
                <w:sz w:val="18"/>
                <w:szCs w:val="18"/>
                <w:color w:val="auto"/>
              </w:rPr>
              <w:t>Income from continuing operations before minority interest</w:t>
            </w:r>
          </w:p>
        </w:tc>
        <w:tc>
          <w:tcPr>
            <w:tcW w:w="5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544</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972</w:t>
            </w:r>
          </w:p>
        </w:tc>
        <w:tc>
          <w:tcPr>
            <w:tcW w:w="3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1,953</w:t>
            </w:r>
          </w:p>
        </w:tc>
        <w:tc>
          <w:tcPr>
            <w:tcW w:w="30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Minority interest</w:t>
            </w:r>
          </w:p>
        </w:tc>
        <w:tc>
          <w:tcPr>
            <w:tcW w:w="5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16</w:t>
            </w: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(3)</w:t>
            </w: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32</w:t>
            </w:r>
          </w:p>
        </w:tc>
        <w:tc>
          <w:tcPr>
            <w:tcW w:w="3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Income from continuing operations</w:t>
            </w:r>
          </w:p>
        </w:tc>
        <w:tc>
          <w:tcPr>
            <w:tcW w:w="5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94"/>
              <w:spacing w:after="0"/>
              <w:rPr>
                <w:sz w:val="20"/>
                <w:szCs w:val="20"/>
                <w:color w:val="auto"/>
              </w:rPr>
            </w:pPr>
            <w:r>
              <w:rPr>
                <w:rFonts w:ascii="Arial" w:cs="Arial" w:eastAsia="Arial" w:hAnsi="Arial"/>
                <w:sz w:val="18"/>
                <w:szCs w:val="18"/>
                <w:b w:val="1"/>
                <w:bCs w:val="1"/>
                <w:color w:val="auto"/>
              </w:rPr>
              <w:t>560</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93"/>
              <w:spacing w:after="0"/>
              <w:rPr>
                <w:sz w:val="20"/>
                <w:szCs w:val="20"/>
                <w:color w:val="auto"/>
              </w:rPr>
            </w:pPr>
            <w:r>
              <w:rPr>
                <w:rFonts w:ascii="Arial" w:cs="Arial" w:eastAsia="Arial" w:hAnsi="Arial"/>
                <w:sz w:val="18"/>
                <w:szCs w:val="18"/>
                <w:b w:val="1"/>
                <w:bCs w:val="1"/>
                <w:color w:val="auto"/>
              </w:rPr>
              <w:t>969</w:t>
            </w:r>
          </w:p>
        </w:tc>
        <w:tc>
          <w:tcPr>
            <w:tcW w:w="3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94"/>
              <w:spacing w:after="0"/>
              <w:rPr>
                <w:sz w:val="20"/>
                <w:szCs w:val="20"/>
                <w:color w:val="auto"/>
              </w:rPr>
            </w:pPr>
            <w:r>
              <w:rPr>
                <w:rFonts w:ascii="Arial" w:cs="Arial" w:eastAsia="Arial" w:hAnsi="Arial"/>
                <w:sz w:val="18"/>
                <w:szCs w:val="18"/>
                <w:b w:val="1"/>
                <w:bCs w:val="1"/>
                <w:color w:val="auto"/>
              </w:rPr>
              <w:t>1,985</w:t>
            </w:r>
          </w:p>
        </w:tc>
        <w:tc>
          <w:tcPr>
            <w:tcW w:w="30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Income from discontinued operations, net of tax</w:t>
            </w:r>
          </w:p>
        </w:tc>
        <w:tc>
          <w:tcPr>
            <w:tcW w:w="540" w:type="dxa"/>
            <w:vAlign w:val="bottom"/>
          </w:tcPr>
          <w:p>
            <w:pPr>
              <w:spacing w:after="0"/>
              <w:rPr>
                <w:sz w:val="18"/>
                <w:szCs w:val="18"/>
                <w:color w:val="auto"/>
              </w:rPr>
            </w:pPr>
          </w:p>
        </w:tc>
        <w:tc>
          <w:tcPr>
            <w:tcW w:w="72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40" w:type="dxa"/>
            <w:vAlign w:val="bottom"/>
          </w:tcPr>
          <w:p>
            <w:pPr>
              <w:jc w:val="right"/>
              <w:ind w:right="193"/>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8"/>
                <w:szCs w:val="18"/>
                <w:color w:val="auto"/>
              </w:rPr>
            </w:pPr>
          </w:p>
        </w:tc>
        <w:tc>
          <w:tcPr>
            <w:tcW w:w="78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Gain on discontinued operations, net of tax</w:t>
            </w:r>
          </w:p>
        </w:tc>
        <w:tc>
          <w:tcPr>
            <w:tcW w:w="5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94"/>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rPr>
              <w:t>234</w:t>
            </w:r>
          </w:p>
        </w:tc>
        <w:tc>
          <w:tcPr>
            <w:tcW w:w="30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94"/>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b w:val="1"/>
                <w:bCs w:val="1"/>
                <w:color w:val="auto"/>
              </w:rPr>
              <w:t>560</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b w:val="1"/>
                <w:bCs w:val="1"/>
                <w:color w:val="auto"/>
                <w:w w:val="97"/>
              </w:rPr>
              <w:t>1,217</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b w:val="1"/>
                <w:bCs w:val="1"/>
                <w:color w:val="auto"/>
              </w:rPr>
              <w:t>1,985</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Basic earnings per common share</w:t>
            </w:r>
          </w:p>
        </w:tc>
        <w:tc>
          <w:tcPr>
            <w:tcW w:w="5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94"/>
              <w:spacing w:after="0"/>
              <w:rPr>
                <w:sz w:val="20"/>
                <w:szCs w:val="20"/>
                <w:color w:val="auto"/>
              </w:rPr>
            </w:pPr>
            <w:r>
              <w:rPr>
                <w:rFonts w:ascii="Arial" w:cs="Arial" w:eastAsia="Arial" w:hAnsi="Arial"/>
                <w:sz w:val="18"/>
                <w:szCs w:val="18"/>
                <w:color w:val="auto"/>
              </w:rPr>
              <w:t>0.18</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93"/>
              <w:spacing w:after="0"/>
              <w:rPr>
                <w:sz w:val="20"/>
                <w:szCs w:val="20"/>
                <w:color w:val="auto"/>
              </w:rPr>
            </w:pPr>
            <w:r>
              <w:rPr>
                <w:rFonts w:ascii="Arial" w:cs="Arial" w:eastAsia="Arial" w:hAnsi="Arial"/>
                <w:sz w:val="18"/>
                <w:szCs w:val="18"/>
                <w:color w:val="auto"/>
              </w:rPr>
              <w:t>0.31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94"/>
              <w:spacing w:after="0"/>
              <w:rPr>
                <w:sz w:val="20"/>
                <w:szCs w:val="20"/>
                <w:color w:val="auto"/>
              </w:rPr>
            </w:pPr>
            <w:r>
              <w:rPr>
                <w:rFonts w:ascii="Arial" w:cs="Arial" w:eastAsia="Arial" w:hAnsi="Arial"/>
                <w:sz w:val="18"/>
                <w:szCs w:val="18"/>
                <w:color w:val="auto"/>
              </w:rPr>
              <w:t>0.64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E5E5E5"/>
          </w:tcPr>
          <w:p>
            <w:pPr>
              <w:spacing w:after="0"/>
              <w:rPr>
                <w:sz w:val="20"/>
                <w:szCs w:val="20"/>
                <w:color w:val="auto"/>
              </w:rPr>
            </w:pPr>
            <w:r>
              <w:rPr>
                <w:rFonts w:ascii="Arial" w:cs="Arial" w:eastAsia="Arial" w:hAnsi="Arial"/>
                <w:sz w:val="18"/>
                <w:szCs w:val="18"/>
                <w:color w:val="auto"/>
              </w:rPr>
              <w:t>Income from discontinued operations</w:t>
            </w:r>
          </w:p>
        </w:tc>
        <w:tc>
          <w:tcPr>
            <w:tcW w:w="5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Gain on discontinued operations</w:t>
            </w:r>
          </w:p>
        </w:tc>
        <w:tc>
          <w:tcPr>
            <w:tcW w:w="540" w:type="dxa"/>
            <w:vAlign w:val="bottom"/>
          </w:tcPr>
          <w:p>
            <w:pPr>
              <w:spacing w:after="0"/>
              <w:rPr>
                <w:sz w:val="18"/>
                <w:szCs w:val="18"/>
                <w:color w:val="auto"/>
              </w:rPr>
            </w:pPr>
          </w:p>
        </w:tc>
        <w:tc>
          <w:tcPr>
            <w:tcW w:w="72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40" w:type="dxa"/>
            <w:vAlign w:val="bottom"/>
          </w:tcPr>
          <w:p>
            <w:pPr>
              <w:jc w:val="right"/>
              <w:ind w:right="193"/>
              <w:spacing w:after="0"/>
              <w:rPr>
                <w:sz w:val="20"/>
                <w:szCs w:val="20"/>
                <w:color w:val="auto"/>
              </w:rPr>
            </w:pPr>
            <w:r>
              <w:rPr>
                <w:rFonts w:ascii="Arial" w:cs="Arial" w:eastAsia="Arial" w:hAnsi="Arial"/>
                <w:sz w:val="18"/>
                <w:szCs w:val="18"/>
                <w:color w:val="auto"/>
              </w:rPr>
              <w:t>0.07</w:t>
            </w:r>
          </w:p>
        </w:tc>
        <w:tc>
          <w:tcPr>
            <w:tcW w:w="300" w:type="dxa"/>
            <w:vAlign w:val="bottom"/>
          </w:tcPr>
          <w:p>
            <w:pPr>
              <w:spacing w:after="0"/>
              <w:rPr>
                <w:sz w:val="18"/>
                <w:szCs w:val="18"/>
                <w:color w:val="auto"/>
              </w:rPr>
            </w:pPr>
          </w:p>
        </w:tc>
        <w:tc>
          <w:tcPr>
            <w:tcW w:w="78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E5E5E5"/>
          </w:tcPr>
          <w:p>
            <w:pPr>
              <w:spacing w:after="0"/>
              <w:rPr>
                <w:sz w:val="20"/>
                <w:szCs w:val="20"/>
                <w:color w:val="auto"/>
              </w:rPr>
            </w:pPr>
            <w:r>
              <w:rPr>
                <w:rFonts w:ascii="Arial" w:cs="Arial" w:eastAsia="Arial" w:hAnsi="Arial"/>
                <w:sz w:val="18"/>
                <w:szCs w:val="18"/>
                <w:color w:val="auto"/>
              </w:rPr>
              <w:t>Net income</w:t>
            </w: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5E5E5"/>
          </w:tcPr>
          <w:p>
            <w:pPr>
              <w:jc w:val="right"/>
              <w:ind w:right="194"/>
              <w:spacing w:after="0"/>
              <w:rPr>
                <w:sz w:val="20"/>
                <w:szCs w:val="20"/>
                <w:color w:val="auto"/>
              </w:rPr>
            </w:pPr>
            <w:r>
              <w:rPr>
                <w:rFonts w:ascii="Arial" w:cs="Arial" w:eastAsia="Arial" w:hAnsi="Arial"/>
                <w:sz w:val="18"/>
                <w:szCs w:val="18"/>
                <w:b w:val="1"/>
                <w:bCs w:val="1"/>
                <w:color w:val="auto"/>
              </w:rPr>
              <w:t>0.18</w:t>
            </w:r>
          </w:p>
        </w:tc>
        <w:tc>
          <w:tcPr>
            <w:tcW w:w="3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E5E5E5"/>
          </w:tcPr>
          <w:p>
            <w:pPr>
              <w:jc w:val="right"/>
              <w:ind w:right="193"/>
              <w:spacing w:after="0"/>
              <w:rPr>
                <w:sz w:val="20"/>
                <w:szCs w:val="20"/>
                <w:color w:val="auto"/>
              </w:rPr>
            </w:pPr>
            <w:r>
              <w:rPr>
                <w:rFonts w:ascii="Arial" w:cs="Arial" w:eastAsia="Arial" w:hAnsi="Arial"/>
                <w:sz w:val="18"/>
                <w:szCs w:val="18"/>
                <w:b w:val="1"/>
                <w:bCs w:val="1"/>
                <w:color w:val="auto"/>
              </w:rPr>
              <w:t>0.38</w:t>
            </w:r>
          </w:p>
        </w:tc>
        <w:tc>
          <w:tcPr>
            <w:tcW w:w="3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E5E5E5"/>
          </w:tcPr>
          <w:p>
            <w:pPr>
              <w:jc w:val="right"/>
              <w:ind w:right="194"/>
              <w:spacing w:after="0"/>
              <w:rPr>
                <w:sz w:val="20"/>
                <w:szCs w:val="20"/>
                <w:color w:val="auto"/>
              </w:rPr>
            </w:pPr>
            <w:r>
              <w:rPr>
                <w:rFonts w:ascii="Arial" w:cs="Arial" w:eastAsia="Arial" w:hAnsi="Arial"/>
                <w:sz w:val="18"/>
                <w:szCs w:val="18"/>
                <w:b w:val="1"/>
                <w:bCs w:val="1"/>
                <w:color w:val="auto"/>
              </w:rPr>
              <w:t>0.64</w:t>
            </w:r>
          </w:p>
        </w:tc>
        <w:tc>
          <w:tcPr>
            <w:tcW w:w="3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b w:val="1"/>
                <w:bCs w:val="1"/>
                <w:color w:val="auto"/>
              </w:rPr>
              <w:t>Diluted earnings per common share</w:t>
            </w: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E5E5E5"/>
          </w:tcPr>
          <w:p>
            <w:pPr>
              <w:spacing w:after="0"/>
              <w:rPr>
                <w:sz w:val="20"/>
                <w:szCs w:val="20"/>
                <w:color w:val="auto"/>
              </w:rPr>
            </w:pPr>
            <w:r>
              <w:rPr>
                <w:rFonts w:ascii="Arial" w:cs="Arial" w:eastAsia="Arial" w:hAnsi="Arial"/>
                <w:sz w:val="18"/>
                <w:szCs w:val="18"/>
                <w:color w:val="auto"/>
              </w:rPr>
              <w:t>Income from continuing operations</w:t>
            </w: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0.18</w:t>
            </w:r>
          </w:p>
        </w:tc>
        <w:tc>
          <w:tcPr>
            <w:tcW w:w="3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0.31</w:t>
            </w:r>
          </w:p>
        </w:tc>
        <w:tc>
          <w:tcPr>
            <w:tcW w:w="3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0.63</w:t>
            </w:r>
          </w:p>
        </w:tc>
        <w:tc>
          <w:tcPr>
            <w:tcW w:w="3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540" w:type="dxa"/>
            <w:vAlign w:val="bottom"/>
          </w:tcPr>
          <w:p>
            <w:pPr>
              <w:spacing w:after="0"/>
              <w:rPr>
                <w:sz w:val="18"/>
                <w:szCs w:val="18"/>
                <w:color w:val="auto"/>
              </w:rPr>
            </w:pPr>
          </w:p>
        </w:tc>
        <w:tc>
          <w:tcPr>
            <w:tcW w:w="72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4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8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E5E5E5"/>
          </w:tcPr>
          <w:p>
            <w:pPr>
              <w:spacing w:after="0"/>
              <w:rPr>
                <w:sz w:val="20"/>
                <w:szCs w:val="20"/>
                <w:color w:val="auto"/>
              </w:rPr>
            </w:pPr>
            <w:r>
              <w:rPr>
                <w:rFonts w:ascii="Arial" w:cs="Arial" w:eastAsia="Arial" w:hAnsi="Arial"/>
                <w:sz w:val="18"/>
                <w:szCs w:val="18"/>
                <w:color w:val="auto"/>
              </w:rPr>
              <w:t>Gain on discontinued operations</w:t>
            </w:r>
          </w:p>
        </w:tc>
        <w:tc>
          <w:tcPr>
            <w:tcW w:w="5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0.07</w:t>
            </w:r>
          </w:p>
        </w:tc>
        <w:tc>
          <w:tcPr>
            <w:tcW w:w="3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Net income</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194"/>
              <w:spacing w:after="0"/>
              <w:rPr>
                <w:sz w:val="20"/>
                <w:szCs w:val="20"/>
                <w:color w:val="auto"/>
              </w:rPr>
            </w:pPr>
            <w:r>
              <w:rPr>
                <w:rFonts w:ascii="Arial" w:cs="Arial" w:eastAsia="Arial" w:hAnsi="Arial"/>
                <w:sz w:val="18"/>
                <w:szCs w:val="18"/>
                <w:b w:val="1"/>
                <w:bCs w:val="1"/>
                <w:color w:val="auto"/>
              </w:rPr>
              <w:t>0.18</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193"/>
              <w:spacing w:after="0"/>
              <w:rPr>
                <w:sz w:val="20"/>
                <w:szCs w:val="20"/>
                <w:color w:val="auto"/>
              </w:rPr>
            </w:pPr>
            <w:r>
              <w:rPr>
                <w:rFonts w:ascii="Arial" w:cs="Arial" w:eastAsia="Arial" w:hAnsi="Arial"/>
                <w:sz w:val="18"/>
                <w:szCs w:val="18"/>
                <w:b w:val="1"/>
                <w:bCs w:val="1"/>
                <w:color w:val="auto"/>
              </w:rPr>
              <w:t>0.38</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194"/>
              <w:spacing w:after="0"/>
              <w:rPr>
                <w:sz w:val="20"/>
                <w:szCs w:val="20"/>
                <w:color w:val="auto"/>
              </w:rPr>
            </w:pPr>
            <w:r>
              <w:rPr>
                <w:rFonts w:ascii="Arial" w:cs="Arial" w:eastAsia="Arial" w:hAnsi="Arial"/>
                <w:sz w:val="18"/>
                <w:szCs w:val="18"/>
                <w:b w:val="1"/>
                <w:bCs w:val="1"/>
                <w:color w:val="auto"/>
              </w:rPr>
              <w:t>0.63</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0.67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SEPTEMBER 30, 2007</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 of Cash Flows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2100" w:type="dxa"/>
            <w:vAlign w:val="bottom"/>
            <w:gridSpan w:val="3"/>
          </w:tcPr>
          <w:p>
            <w:pPr>
              <w:jc w:val="right"/>
              <w:ind w:right="21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932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2100" w:type="dxa"/>
            <w:vAlign w:val="bottom"/>
            <w:tcBorders>
              <w:bottom w:val="single" w:sz="8" w:color="auto"/>
            </w:tcBorders>
            <w:gridSpan w:val="3"/>
          </w:tcPr>
          <w:p>
            <w:pPr>
              <w:jc w:val="right"/>
              <w:ind w:right="373"/>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9320" w:type="dxa"/>
            <w:vAlign w:val="bottom"/>
            <w:gridSpan w:val="2"/>
            <w:vMerge w:val="continue"/>
          </w:tcPr>
          <w:p>
            <w:pPr>
              <w:spacing w:after="0"/>
              <w:rPr>
                <w:sz w:val="12"/>
                <w:szCs w:val="12"/>
                <w:color w:val="auto"/>
              </w:rPr>
            </w:pPr>
          </w:p>
        </w:tc>
        <w:tc>
          <w:tcPr>
            <w:tcW w:w="1260" w:type="dxa"/>
            <w:vAlign w:val="bottom"/>
          </w:tcPr>
          <w:p>
            <w:pPr>
              <w:jc w:val="right"/>
              <w:ind w:right="334"/>
              <w:spacing w:after="0" w:line="142" w:lineRule="exact"/>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2"/>
                <w:szCs w:val="12"/>
                <w:color w:val="auto"/>
              </w:rPr>
            </w:pPr>
          </w:p>
        </w:tc>
        <w:tc>
          <w:tcPr>
            <w:tcW w:w="52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w w:val="96"/>
              </w:rPr>
              <w:t>2006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ACTIVITIES</w:t>
            </w:r>
          </w:p>
        </w:tc>
        <w:tc>
          <w:tcPr>
            <w:tcW w:w="126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52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Net income</w:t>
            </w:r>
          </w:p>
        </w:tc>
        <w:tc>
          <w:tcPr>
            <w:tcW w:w="1260" w:type="dxa"/>
            <w:vAlign w:val="bottom"/>
          </w:tcPr>
          <w:p>
            <w:pPr>
              <w:jc w:val="right"/>
              <w:ind w:right="194"/>
              <w:spacing w:after="0"/>
              <w:rPr>
                <w:sz w:val="20"/>
                <w:szCs w:val="20"/>
                <w:color w:val="auto"/>
              </w:rPr>
            </w:pPr>
            <w:r>
              <w:rPr>
                <w:rFonts w:ascii="Arial" w:cs="Arial" w:eastAsia="Arial" w:hAnsi="Arial"/>
                <w:sz w:val="18"/>
                <w:szCs w:val="18"/>
                <w:color w:val="auto"/>
              </w:rPr>
              <w:t>$ 1,985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2,143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E5E5E5"/>
          </w:tcPr>
          <w:p>
            <w:pPr>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126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1260" w:type="dxa"/>
            <w:vAlign w:val="bottom"/>
          </w:tcPr>
          <w:p>
            <w:pPr>
              <w:jc w:val="right"/>
              <w:ind w:right="194"/>
              <w:spacing w:after="0"/>
              <w:rPr>
                <w:sz w:val="20"/>
                <w:szCs w:val="20"/>
                <w:color w:val="auto"/>
              </w:rPr>
            </w:pPr>
            <w:r>
              <w:rPr>
                <w:rFonts w:ascii="Arial" w:cs="Arial" w:eastAsia="Arial" w:hAnsi="Arial"/>
                <w:sz w:val="18"/>
                <w:szCs w:val="18"/>
                <w:color w:val="auto"/>
              </w:rPr>
              <w:t>3,768</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2,748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Amortization</w:t>
            </w:r>
          </w:p>
        </w:tc>
        <w:tc>
          <w:tcPr>
            <w:tcW w:w="126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816</w:t>
            </w: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Depreciation and amortization on discontinued operations</w:t>
            </w:r>
          </w:p>
        </w:tc>
        <w:tc>
          <w:tcPr>
            <w:tcW w:w="126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Share-based compensation expense</w:t>
            </w:r>
          </w:p>
        </w:tc>
        <w:tc>
          <w:tcPr>
            <w:tcW w:w="126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161</w:t>
            </w: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Noncash interest expense (income), net</w:t>
            </w:r>
          </w:p>
        </w:tc>
        <w:tc>
          <w:tcPr>
            <w:tcW w:w="1260" w:type="dxa"/>
            <w:vAlign w:val="bottom"/>
          </w:tcPr>
          <w:p>
            <w:pPr>
              <w:jc w:val="right"/>
              <w:ind w:right="194"/>
              <w:spacing w:after="0"/>
              <w:rPr>
                <w:sz w:val="20"/>
                <w:szCs w:val="20"/>
                <w:color w:val="auto"/>
              </w:rPr>
            </w:pPr>
            <w:r>
              <w:rPr>
                <w:rFonts w:ascii="Arial" w:cs="Arial" w:eastAsia="Arial" w:hAnsi="Arial"/>
                <w:sz w:val="18"/>
                <w:szCs w:val="18"/>
                <w:color w:val="auto"/>
              </w:rPr>
              <w:t>80</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Equity in net losses (income) of affiliates, net</w:t>
            </w:r>
          </w:p>
        </w:tc>
        <w:tc>
          <w:tcPr>
            <w:tcW w:w="126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49</w:t>
            </w: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(Gains) losses on investments and noncash other (income) expense, net</w:t>
            </w: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(860)</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Gain on discontinued operations</w:t>
            </w:r>
          </w:p>
        </w:tc>
        <w:tc>
          <w:tcPr>
            <w:tcW w:w="126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Proceeds from sale of trading securities</w:t>
            </w:r>
          </w:p>
        </w:tc>
        <w:tc>
          <w:tcPr>
            <w:tcW w:w="1260" w:type="dxa"/>
            <w:vAlign w:val="bottom"/>
          </w:tcPr>
          <w:p>
            <w:pPr>
              <w:jc w:val="right"/>
              <w:ind w:right="194"/>
              <w:spacing w:after="0"/>
              <w:rPr>
                <w:sz w:val="20"/>
                <w:szCs w:val="20"/>
                <w:color w:val="auto"/>
              </w:rPr>
            </w:pPr>
            <w:r>
              <w:rPr>
                <w:rFonts w:ascii="Arial" w:cs="Arial" w:eastAsia="Arial" w:hAnsi="Arial"/>
                <w:sz w:val="18"/>
                <w:szCs w:val="18"/>
                <w:color w:val="auto"/>
              </w:rPr>
              <w:t>603</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Noncash contribution expense</w:t>
            </w:r>
          </w:p>
        </w:tc>
        <w:tc>
          <w:tcPr>
            <w:tcW w:w="126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11</w:t>
            </w: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Minority interest</w:t>
            </w: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Deferred income taxes</w:t>
            </w:r>
          </w:p>
        </w:tc>
        <w:tc>
          <w:tcPr>
            <w:tcW w:w="126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160</w:t>
            </w: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Change in accounts receivable, net</w:t>
            </w:r>
          </w:p>
        </w:tc>
        <w:tc>
          <w:tcPr>
            <w:tcW w:w="126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(51)</w:t>
            </w: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Change in accounts payable and accrued expenses related to trade creditors</w:t>
            </w:r>
          </w:p>
        </w:tc>
        <w:tc>
          <w:tcPr>
            <w:tcW w:w="1260" w:type="dxa"/>
            <w:vAlign w:val="bottom"/>
          </w:tcPr>
          <w:p>
            <w:pPr>
              <w:jc w:val="right"/>
              <w:ind w:right="194"/>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Borders>
              <w:bottom w:val="single" w:sz="8" w:color="E5E5E5"/>
            </w:tcBorders>
            <w:shd w:val="clear" w:color="auto" w:fill="E5E5E5"/>
          </w:tcPr>
          <w:p>
            <w:pPr>
              <w:ind w:left="420"/>
              <w:spacing w:after="0"/>
              <w:rPr>
                <w:sz w:val="20"/>
                <w:szCs w:val="20"/>
                <w:color w:val="auto"/>
              </w:rPr>
            </w:pPr>
            <w:r>
              <w:rPr>
                <w:rFonts w:ascii="Arial" w:cs="Arial" w:eastAsia="Arial" w:hAnsi="Arial"/>
                <w:sz w:val="18"/>
                <w:szCs w:val="18"/>
                <w:color w:val="auto"/>
              </w:rPr>
              <w:t>Change in other operating assets and liabilities</w:t>
            </w:r>
          </w:p>
        </w:tc>
        <w:tc>
          <w:tcPr>
            <w:tcW w:w="126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(592)</w:t>
            </w:r>
          </w:p>
        </w:tc>
        <w:tc>
          <w:tcPr>
            <w:tcW w:w="3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26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b w:val="1"/>
                <w:bCs w:val="1"/>
                <w:color w:val="auto"/>
              </w:rPr>
              <w:t>6,108</w:t>
            </w:r>
          </w:p>
        </w:tc>
        <w:tc>
          <w:tcPr>
            <w:tcW w:w="3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5,215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FINANCING ACTIVITIES</w:t>
            </w:r>
          </w:p>
        </w:tc>
        <w:tc>
          <w:tcPr>
            <w:tcW w:w="126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Proceeds from borrowings</w:t>
            </w:r>
          </w:p>
        </w:tc>
        <w:tc>
          <w:tcPr>
            <w:tcW w:w="1260" w:type="dxa"/>
            <w:vAlign w:val="bottom"/>
          </w:tcPr>
          <w:p>
            <w:pPr>
              <w:jc w:val="right"/>
              <w:ind w:right="194"/>
              <w:spacing w:after="0"/>
              <w:rPr>
                <w:sz w:val="20"/>
                <w:szCs w:val="20"/>
                <w:color w:val="auto"/>
              </w:rPr>
            </w:pPr>
            <w:r>
              <w:rPr>
                <w:rFonts w:ascii="Arial" w:cs="Arial" w:eastAsia="Arial" w:hAnsi="Arial"/>
                <w:sz w:val="18"/>
                <w:szCs w:val="18"/>
                <w:color w:val="auto"/>
              </w:rPr>
              <w:t>3,610</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5,970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Redemptions and repayments of debt</w:t>
            </w:r>
          </w:p>
        </w:tc>
        <w:tc>
          <w:tcPr>
            <w:tcW w:w="126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(1,529)</w:t>
            </w: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7"/>
              </w:rPr>
              <w:t>(2,222)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Repurchases of common stock</w:t>
            </w: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(1,852)</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Issuances of common stock</w:t>
            </w:r>
          </w:p>
        </w:tc>
        <w:tc>
          <w:tcPr>
            <w:tcW w:w="126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404</w:t>
            </w: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Other</w:t>
            </w:r>
          </w:p>
        </w:tc>
        <w:tc>
          <w:tcPr>
            <w:tcW w:w="126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51</w:t>
            </w:r>
          </w:p>
        </w:tc>
        <w:tc>
          <w:tcPr>
            <w:tcW w:w="3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tcBorders>
              <w:bottom w:val="single" w:sz="8" w:color="E5E5E5"/>
            </w:tcBorders>
            <w:shd w:val="clear" w:color="auto" w:fill="E5E5E5"/>
          </w:tcPr>
          <w:p>
            <w:pPr>
              <w:ind w:left="86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260" w:type="dxa"/>
            <w:vAlign w:val="bottom"/>
            <w:tcBorders>
              <w:bottom w:val="single" w:sz="8" w:color="auto"/>
            </w:tcBorders>
            <w:shd w:val="clear" w:color="auto" w:fill="E5E5E5"/>
          </w:tcPr>
          <w:p>
            <w:pPr>
              <w:jc w:val="right"/>
              <w:ind w:right="194"/>
              <w:spacing w:after="0"/>
              <w:rPr>
                <w:sz w:val="20"/>
                <w:szCs w:val="20"/>
                <w:color w:val="auto"/>
              </w:rPr>
            </w:pPr>
            <w:r>
              <w:rPr>
                <w:rFonts w:ascii="Arial" w:cs="Arial" w:eastAsia="Arial" w:hAnsi="Arial"/>
                <w:sz w:val="18"/>
                <w:szCs w:val="18"/>
                <w:b w:val="1"/>
                <w:bCs w:val="1"/>
                <w:color w:val="auto"/>
              </w:rPr>
              <w:t>684</w:t>
            </w:r>
          </w:p>
        </w:tc>
        <w:tc>
          <w:tcPr>
            <w:tcW w:w="3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97"/>
              </w:rPr>
              <w:t>2,006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Capital expenditures</w:t>
            </w:r>
          </w:p>
        </w:tc>
        <w:tc>
          <w:tcPr>
            <w:tcW w:w="126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(4,584)</w:t>
            </w: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7"/>
              </w:rPr>
              <w:t>(3,051)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Cash paid for intangible assets</w:t>
            </w: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(313)</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Acquisitions, net of cash acquired</w:t>
            </w:r>
          </w:p>
        </w:tc>
        <w:tc>
          <w:tcPr>
            <w:tcW w:w="126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(1,277)</w:t>
            </w: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7"/>
              </w:rPr>
              <w:t>(3,839)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Proceeds from sales of investments</w:t>
            </w:r>
          </w:p>
        </w:tc>
        <w:tc>
          <w:tcPr>
            <w:tcW w:w="1260" w:type="dxa"/>
            <w:vAlign w:val="bottom"/>
          </w:tcPr>
          <w:p>
            <w:pPr>
              <w:jc w:val="right"/>
              <w:ind w:right="194"/>
              <w:spacing w:after="0"/>
              <w:rPr>
                <w:sz w:val="20"/>
                <w:szCs w:val="20"/>
                <w:color w:val="auto"/>
              </w:rPr>
            </w:pPr>
            <w:r>
              <w:rPr>
                <w:rFonts w:ascii="Arial" w:cs="Arial" w:eastAsia="Arial" w:hAnsi="Arial"/>
                <w:sz w:val="18"/>
                <w:szCs w:val="18"/>
                <w:color w:val="auto"/>
              </w:rPr>
              <w:t>1,123</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2,519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Purchases of investments</w:t>
            </w:r>
          </w:p>
        </w:tc>
        <w:tc>
          <w:tcPr>
            <w:tcW w:w="126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(129)</w:t>
            </w: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Proceeds from sales (purchases) of short-term investments, net</w:t>
            </w:r>
          </w:p>
        </w:tc>
        <w:tc>
          <w:tcPr>
            <w:tcW w:w="1260" w:type="dxa"/>
            <w:vAlign w:val="bottom"/>
          </w:tcPr>
          <w:p>
            <w:pPr>
              <w:jc w:val="right"/>
              <w:ind w:right="194"/>
              <w:spacing w:after="0"/>
              <w:rPr>
                <w:sz w:val="20"/>
                <w:szCs w:val="20"/>
                <w:color w:val="auto"/>
              </w:rPr>
            </w:pPr>
            <w:r>
              <w:rPr>
                <w:rFonts w:ascii="Arial" w:cs="Arial" w:eastAsia="Arial" w:hAnsi="Arial"/>
                <w:sz w:val="18"/>
                <w:szCs w:val="18"/>
                <w:color w:val="auto"/>
              </w:rPr>
              <w:t>52</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Borders>
              <w:bottom w:val="single" w:sz="8" w:color="E5E5E5"/>
            </w:tcBorders>
            <w:shd w:val="clear" w:color="auto" w:fill="E5E5E5"/>
          </w:tcPr>
          <w:p>
            <w:pPr>
              <w:ind w:left="420"/>
              <w:spacing w:after="0"/>
              <w:rPr>
                <w:sz w:val="20"/>
                <w:szCs w:val="20"/>
                <w:color w:val="auto"/>
              </w:rPr>
            </w:pPr>
            <w:r>
              <w:rPr>
                <w:rFonts w:ascii="Arial" w:cs="Arial" w:eastAsia="Arial" w:hAnsi="Arial"/>
                <w:sz w:val="18"/>
                <w:szCs w:val="18"/>
                <w:color w:val="auto"/>
              </w:rPr>
              <w:t>Other</w:t>
            </w:r>
          </w:p>
        </w:tc>
        <w:tc>
          <w:tcPr>
            <w:tcW w:w="1260" w:type="dxa"/>
            <w:vAlign w:val="bottom"/>
            <w:tcBorders>
              <w:bottom w:val="single" w:sz="8" w:color="auto"/>
            </w:tcBorders>
            <w:shd w:val="clear" w:color="auto" w:fill="E5E5E5"/>
          </w:tcPr>
          <w:p>
            <w:pPr>
              <w:jc w:val="right"/>
              <w:ind w:right="194"/>
              <w:spacing w:after="0"/>
              <w:rPr>
                <w:sz w:val="20"/>
                <w:szCs w:val="20"/>
                <w:color w:val="auto"/>
              </w:rPr>
            </w:pPr>
            <w:r>
              <w:rPr>
                <w:rFonts w:ascii="Arial" w:cs="Arial" w:eastAsia="Arial" w:hAnsi="Arial"/>
                <w:sz w:val="18"/>
                <w:szCs w:val="18"/>
                <w:color w:val="auto"/>
              </w:rPr>
              <w:t>46</w:t>
            </w:r>
          </w:p>
        </w:tc>
        <w:tc>
          <w:tcPr>
            <w:tcW w:w="3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1260" w:type="dxa"/>
            <w:vAlign w:val="bottom"/>
          </w:tcPr>
          <w:p>
            <w:pPr>
              <w:jc w:val="right"/>
              <w:ind w:right="134"/>
              <w:spacing w:after="0"/>
              <w:rPr>
                <w:sz w:val="20"/>
                <w:szCs w:val="20"/>
                <w:color w:val="auto"/>
              </w:rPr>
            </w:pPr>
            <w:r>
              <w:rPr>
                <w:rFonts w:ascii="Arial" w:cs="Arial" w:eastAsia="Arial" w:hAnsi="Arial"/>
                <w:sz w:val="18"/>
                <w:szCs w:val="18"/>
                <w:b w:val="1"/>
                <w:bCs w:val="1"/>
                <w:color w:val="auto"/>
              </w:rPr>
              <w:t>(5,082)</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87"/>
              </w:rPr>
              <w:t>(5,057)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E5E5E5"/>
          </w:tcPr>
          <w:p>
            <w:pPr>
              <w:spacing w:after="0"/>
              <w:rPr>
                <w:sz w:val="20"/>
                <w:szCs w:val="20"/>
                <w:color w:val="auto"/>
              </w:rPr>
            </w:pPr>
            <w:r>
              <w:rPr>
                <w:rFonts w:ascii="Arial" w:cs="Arial" w:eastAsia="Arial" w:hAnsi="Arial"/>
                <w:sz w:val="18"/>
                <w:szCs w:val="18"/>
                <w:color w:val="auto"/>
              </w:rPr>
              <w:t>Increase (decrease) in cash and cash equivalents</w:t>
            </w:r>
          </w:p>
        </w:tc>
        <w:tc>
          <w:tcPr>
            <w:tcW w:w="126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1,710</w:t>
            </w: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7"/>
              </w:rPr>
              <w:t>2,164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26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1,239</w:t>
            </w:r>
          </w:p>
        </w:tc>
        <w:tc>
          <w:tcPr>
            <w:tcW w:w="3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260" w:type="dxa"/>
            <w:vAlign w:val="bottom"/>
            <w:shd w:val="clear" w:color="auto" w:fill="E5E5E5"/>
          </w:tcPr>
          <w:p>
            <w:pPr>
              <w:jc w:val="right"/>
              <w:ind w:right="194"/>
              <w:spacing w:after="0"/>
              <w:rPr>
                <w:sz w:val="20"/>
                <w:szCs w:val="20"/>
                <w:color w:val="auto"/>
              </w:rPr>
            </w:pPr>
            <w:r>
              <w:rPr>
                <w:rFonts w:ascii="Arial" w:cs="Arial" w:eastAsia="Arial" w:hAnsi="Arial"/>
                <w:sz w:val="18"/>
                <w:szCs w:val="18"/>
                <w:b w:val="1"/>
                <w:bCs w:val="1"/>
                <w:color w:val="auto"/>
              </w:rPr>
              <w:t>$ 2,949</w:t>
            </w:r>
          </w:p>
        </w:tc>
        <w:tc>
          <w:tcPr>
            <w:tcW w:w="3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w w:val="97"/>
              </w:rPr>
              <w:t>3,111</w:t>
            </w:r>
          </w:p>
        </w:tc>
        <w:tc>
          <w:tcPr>
            <w:tcW w:w="0" w:type="dxa"/>
            <w:vAlign w:val="bottom"/>
          </w:tcPr>
          <w:p>
            <w:pPr>
              <w:spacing w:after="0"/>
              <w:rPr>
                <w:sz w:val="1"/>
                <w:szCs w:val="1"/>
                <w:color w:val="auto"/>
              </w:rPr>
            </w:pPr>
          </w:p>
        </w:tc>
      </w:tr>
    </w:tbl>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SEPTEMBER 30, 2007</w:t>
      </w:r>
    </w:p>
    <w:p>
      <w:pPr>
        <w:spacing w:after="0" w:line="108" w:lineRule="exact"/>
        <w:rPr>
          <w:sz w:val="20"/>
          <w:szCs w:val="20"/>
          <w:color w:val="auto"/>
        </w:rPr>
      </w:pPr>
    </w:p>
    <w:p>
      <w:pPr>
        <w:ind w:right="4380"/>
        <w:spacing w:after="0" w:line="261" w:lineRule="auto"/>
        <w:rPr>
          <w:sz w:val="20"/>
          <w:szCs w:val="20"/>
          <w:color w:val="auto"/>
        </w:rPr>
      </w:pPr>
      <w:r>
        <w:rPr>
          <w:rFonts w:ascii="Arial" w:cs="Arial" w:eastAsia="Arial" w:hAnsi="Arial"/>
          <w:sz w:val="22"/>
          <w:szCs w:val="22"/>
          <w:b w:val="1"/>
          <w:bCs w:val="1"/>
          <w:color w:val="auto"/>
        </w:rPr>
        <w:t>NOTES TO CONDENSED CONSOLIDATED FINANCIAL STATEMENTS (Unaudited)</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Condensed Consolidated Financial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prepared these unaudited condensed consolidated financial statements based upon Securities and Exchange Commission (“SEC”) rules that permit reduced disclosure for interim periods.</w:t>
      </w:r>
    </w:p>
    <w:p>
      <w:pPr>
        <w:spacing w:after="0" w:line="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include all adjustments that are necessary for a fair presentation of our results of operations and financial condition for the periods shown, including normal, recurring accruals and other items. The results of operations for the interim periods presented are not necessarily indicative of results for the full year.</w:t>
      </w:r>
    </w:p>
    <w:p>
      <w:pPr>
        <w:spacing w:after="0" w:line="4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For a more complete discussion of our accounting policies and certain other information, refer to our annual financial statements for the preceding fiscal year as filed with the SEC.</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Split</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January 2007, our Board of Directors approved a three-for-two stock split in the form of a 50% stock dividend (the “Stock Split”), which was paid on February 21, 2007 to shareholders of record on February 14, 2007. The stock dividend was in the form of an additional 0.5 share for every share held and was payable in shares of Class A common stock on the existing Class A common stock and payable in shares of Class A Special common stock on the existing Class A Special common stock and Class B common stock with cash being paid in lieu of fractional shares. The number of shares outstanding and related prices, per share amounts, share conversions and share-based data have been adjusted to reflect the Stock Split for all prior periods presented.</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Certain reclassifications have been made in our segment presentation to be consistent with our management reporting presentation (see Note 12).</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Recent Accounting Pronouncements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SFAS No. 159</w:t>
      </w:r>
    </w:p>
    <w:p>
      <w:pPr>
        <w:spacing w:after="0" w:line="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February 2007, the Financial Accounting Standards Board (“FASB”) issued Statement of Financial Accounting Standards (“SFAS”) No. 159, “The Fair Value Option for Financial Assets and Financial Liabilities” (“SFAS No. 159”). SFAS No. 159 provides the option to report certain financial assets and liabilities at fair value, with the intent to mitigate volatility in financial reporting that can occur when related assets and liabilities are recorded on different bases. This statement is effective for us beginning January 1, 2008. We do not expect SFAS No. 159 will have a material impact on our consolidated financial statements.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FASB Interpretation No. 48</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July 2006, the FASB issued Financial Interpretation No. 48, “Accounting for Uncertainty in Income Taxes—an Interpretation of FASB Statement No. 109” (“FIN 48”). FIN 48 clarifies the recognition threshold and measurement of a tax position taken on a tax return. FIN 48 also requires expanded disclosure with respect to the uncertainty in income taxes. Effective January 1, 2007, we adopted the provisions of FIN 48. See Note 9 for further details regarding the adoption of this interpretation.</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EITF Issue No. 06-10</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2007, the Emerging Issues Task Force (“EITF”) reached a consensus on EITF Issue No. 06-10, “Accounting for Deferred Compensation and Postretirement Benefit Aspects of Collateral Assignment Split-Dollar Life Insurance Arrangements” (“EITF 06-10”). EITF 06-10 provides that an employer should recognize a</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SEPTEMBER 30, 2007</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liability for the postretirement benefit related to collateral assignment split-dollar life insurance arrangements in accordance with either SFAS No. 106, “Employers’ Accounting for Postretirement Benefits Other Than Pensions,” or APB No. 12, “Omnibus Opinion.” We will adopt the provisions of EITF 06-10 as of January 1, 2008 and do not expect it to have a material impact on our consolidated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Earnings Per Share</w:t>
      </w:r>
    </w:p>
    <w:p>
      <w:pPr>
        <w:spacing w:after="0" w:line="13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Basic earnings per common share (“Basic EPS”) is computed by dividing income from continuing operations for common stockholders by the weighted-average number of common shares outstanding during the period.</w:t>
      </w:r>
    </w:p>
    <w:p>
      <w:pPr>
        <w:spacing w:after="0" w:line="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potentially dilutive securities include potential common shares related to our stock options and restricted share units. Diluted earnings per common share (“Diluted EPS”) considers the impact of potentially dilutive securities except in periods in which there is a loss because the inclusion of the potential common shares would have an antidilutive effect.</w:t>
      </w:r>
    </w:p>
    <w:p>
      <w:pPr>
        <w:spacing w:after="0" w:line="4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Diluted EPS for the three and nine months ended September 30, 2007 excludes approximately 56 million and 42 million potential common shares, respectively, and Diluted EPS for the three and nine months ended September 30, 2006 excludes approximately 122 million and 141 million potential common shares, respectively, related to our share-based compensation plans, because the inclusion of the potential common shares would have an antidilutive effect.</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reconciles the numerator and denominator of the computations of Diluted EPS from continuing operations for the periods presented:</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6"/>
          </w:tcPr>
          <w:p>
            <w:pPr>
              <w:jc w:val="right"/>
              <w:ind w:right="30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2007</w:t>
            </w:r>
          </w:p>
        </w:tc>
        <w:tc>
          <w:tcPr>
            <w:tcW w:w="3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rPr>
              <w:t>2006</w:t>
            </w: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6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Per Share</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gridSpan w:val="2"/>
          </w:tcPr>
          <w:p>
            <w:pPr>
              <w:jc w:val="center"/>
              <w:ind w:left="19"/>
              <w:spacing w:after="0" w:line="129" w:lineRule="exact"/>
              <w:rPr>
                <w:sz w:val="20"/>
                <w:szCs w:val="20"/>
                <w:color w:val="auto"/>
              </w:rPr>
            </w:pPr>
            <w:r>
              <w:rPr>
                <w:rFonts w:ascii="Arial" w:cs="Arial" w:eastAsia="Arial" w:hAnsi="Arial"/>
                <w:sz w:val="14"/>
                <w:szCs w:val="14"/>
                <w:b w:val="1"/>
                <w:bCs w:val="1"/>
                <w:color w:val="auto"/>
                <w:w w:val="88"/>
              </w:rPr>
              <w:t>Per Share</w:t>
            </w:r>
          </w:p>
        </w:tc>
        <w:tc>
          <w:tcPr>
            <w:tcW w:w="20" w:type="dxa"/>
            <w:vAlign w:val="bottom"/>
          </w:tcPr>
          <w:p>
            <w:pPr>
              <w:spacing w:after="0"/>
              <w:rPr>
                <w:sz w:val="11"/>
                <w:szCs w:val="11"/>
                <w:color w:val="auto"/>
              </w:rPr>
            </w:pPr>
          </w:p>
        </w:tc>
      </w:tr>
      <w:tr>
        <w:trPr>
          <w:trHeight w:val="161"/>
        </w:trPr>
        <w:tc>
          <w:tcPr>
            <w:tcW w:w="6860" w:type="dxa"/>
            <w:vAlign w:val="bottom"/>
            <w:gridSpan w:val="2"/>
          </w:tcPr>
          <w:p>
            <w:pPr>
              <w:spacing w:after="0"/>
              <w:rPr>
                <w:sz w:val="20"/>
                <w:szCs w:val="20"/>
                <w:color w:val="auto"/>
              </w:rPr>
            </w:pPr>
            <w:r>
              <w:rPr>
                <w:rFonts w:ascii="Arial" w:cs="Arial" w:eastAsia="Arial" w:hAnsi="Arial"/>
                <w:sz w:val="14"/>
                <w:szCs w:val="14"/>
                <w:color w:val="auto"/>
              </w:rPr>
              <w:t>(in millions, except per share data)</w:t>
            </w:r>
          </w:p>
        </w:tc>
        <w:tc>
          <w:tcPr>
            <w:tcW w:w="88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Income</w:t>
            </w:r>
          </w:p>
        </w:tc>
        <w:tc>
          <w:tcPr>
            <w:tcW w:w="640" w:type="dxa"/>
            <w:vAlign w:val="bottom"/>
          </w:tcPr>
          <w:p>
            <w:pPr>
              <w:jc w:val="right"/>
              <w:ind w:right="62"/>
              <w:spacing w:after="0"/>
              <w:rPr>
                <w:sz w:val="20"/>
                <w:szCs w:val="20"/>
                <w:color w:val="auto"/>
              </w:rPr>
            </w:pPr>
            <w:r>
              <w:rPr>
                <w:rFonts w:ascii="Arial" w:cs="Arial" w:eastAsia="Arial" w:hAnsi="Arial"/>
                <w:sz w:val="14"/>
                <w:szCs w:val="14"/>
                <w:b w:val="1"/>
                <w:bCs w:val="1"/>
                <w:color w:val="auto"/>
              </w:rPr>
              <w:t>Shares</w:t>
            </w: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Amount</w:t>
            </w:r>
          </w:p>
        </w:tc>
        <w:tc>
          <w:tcPr>
            <w:tcW w:w="76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Income</w:t>
            </w:r>
          </w:p>
        </w:tc>
        <w:tc>
          <w:tcPr>
            <w:tcW w:w="660" w:type="dxa"/>
            <w:vAlign w:val="bottom"/>
          </w:tcPr>
          <w:p>
            <w:pPr>
              <w:jc w:val="right"/>
              <w:ind w:right="6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Amount</w:t>
            </w:r>
          </w:p>
        </w:tc>
      </w:tr>
      <w:tr>
        <w:trPr>
          <w:trHeight w:val="210"/>
        </w:trPr>
        <w:tc>
          <w:tcPr>
            <w:tcW w:w="20" w:type="dxa"/>
            <w:vAlign w:val="bottom"/>
          </w:tcPr>
          <w:p>
            <w:pPr>
              <w:spacing w:after="0"/>
              <w:rPr>
                <w:sz w:val="18"/>
                <w:szCs w:val="18"/>
                <w:color w:val="auto"/>
              </w:rPr>
            </w:pPr>
          </w:p>
        </w:tc>
        <w:tc>
          <w:tcPr>
            <w:tcW w:w="68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Basic EPS</w:t>
            </w:r>
          </w:p>
        </w:tc>
        <w:tc>
          <w:tcPr>
            <w:tcW w:w="400" w:type="dxa"/>
            <w:vAlign w:val="bottom"/>
            <w:tcBorders>
              <w:top w:val="single" w:sz="8" w:color="auto"/>
            </w:tcBorders>
            <w:shd w:val="clear" w:color="auto" w:fill="E5E5E5"/>
          </w:tcPr>
          <w:p>
            <w:pPr>
              <w:jc w:val="right"/>
              <w:ind w:right="19"/>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560</w:t>
            </w:r>
          </w:p>
        </w:tc>
        <w:tc>
          <w:tcPr>
            <w:tcW w:w="640" w:type="dxa"/>
            <w:vAlign w:val="bottom"/>
            <w:tcBorders>
              <w:top w:val="single" w:sz="8" w:color="auto"/>
            </w:tcBorders>
            <w:shd w:val="clear" w:color="auto" w:fill="E5E5E5"/>
          </w:tcPr>
          <w:p>
            <w:pPr>
              <w:jc w:val="right"/>
              <w:ind w:right="22"/>
              <w:spacing w:after="0"/>
              <w:rPr>
                <w:sz w:val="20"/>
                <w:szCs w:val="20"/>
                <w:color w:val="auto"/>
              </w:rPr>
            </w:pPr>
            <w:r>
              <w:rPr>
                <w:rFonts w:ascii="Arial" w:cs="Arial" w:eastAsia="Arial" w:hAnsi="Arial"/>
                <w:sz w:val="18"/>
                <w:szCs w:val="18"/>
                <w:color w:val="auto"/>
              </w:rPr>
              <w:t>3,087</w:t>
            </w:r>
          </w:p>
        </w:tc>
        <w:tc>
          <w:tcPr>
            <w:tcW w:w="320" w:type="dxa"/>
            <w:vAlign w:val="bottom"/>
            <w:tcBorders>
              <w:top w:val="single" w:sz="8" w:color="auto"/>
            </w:tcBorders>
            <w:shd w:val="clear" w:color="auto" w:fill="E5E5E5"/>
          </w:tcPr>
          <w:p>
            <w:pPr>
              <w:jc w:val="right"/>
              <w:ind w:right="42"/>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0.18</w:t>
            </w:r>
          </w:p>
        </w:tc>
        <w:tc>
          <w:tcPr>
            <w:tcW w:w="280" w:type="dxa"/>
            <w:vAlign w:val="bottom"/>
            <w:tcBorders>
              <w:top w:val="single" w:sz="8" w:color="auto"/>
            </w:tcBorders>
            <w:shd w:val="clear" w:color="auto" w:fill="E5E5E5"/>
          </w:tcPr>
          <w:p>
            <w:pPr>
              <w:jc w:val="right"/>
              <w:ind w:right="19"/>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969</w:t>
            </w:r>
          </w:p>
        </w:tc>
        <w:tc>
          <w:tcPr>
            <w:tcW w:w="660" w:type="dxa"/>
            <w:vAlign w:val="bottom"/>
            <w:tcBorders>
              <w:top w:val="single" w:sz="8" w:color="auto"/>
            </w:tcBorders>
            <w:shd w:val="clear" w:color="auto" w:fill="E5E5E5"/>
          </w:tcPr>
          <w:p>
            <w:pPr>
              <w:jc w:val="right"/>
              <w:ind w:right="40"/>
              <w:spacing w:after="0"/>
              <w:rPr>
                <w:sz w:val="20"/>
                <w:szCs w:val="20"/>
                <w:color w:val="auto"/>
              </w:rPr>
            </w:pPr>
            <w:r>
              <w:rPr>
                <w:rFonts w:ascii="Arial" w:cs="Arial" w:eastAsia="Arial" w:hAnsi="Arial"/>
                <w:sz w:val="18"/>
                <w:szCs w:val="18"/>
                <w:color w:val="auto"/>
              </w:rPr>
              <w:t>3,144</w:t>
            </w:r>
          </w:p>
        </w:tc>
        <w:tc>
          <w:tcPr>
            <w:tcW w:w="1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0.31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Assumed exercise or issuance of shares relating to stock plans</w:t>
            </w:r>
          </w:p>
        </w:tc>
        <w:tc>
          <w:tcPr>
            <w:tcW w:w="40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22"/>
              <w:spacing w:after="0"/>
              <w:rPr>
                <w:sz w:val="20"/>
                <w:szCs w:val="20"/>
                <w:color w:val="auto"/>
              </w:rPr>
            </w:pPr>
            <w:r>
              <w:rPr>
                <w:rFonts w:ascii="Arial" w:cs="Arial" w:eastAsia="Arial" w:hAnsi="Arial"/>
                <w:sz w:val="18"/>
                <w:szCs w:val="18"/>
                <w:color w:val="auto"/>
              </w:rPr>
              <w:t>31</w:t>
            </w:r>
          </w:p>
        </w:tc>
        <w:tc>
          <w:tcPr>
            <w:tcW w:w="3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spacing w:after="0"/>
              <w:rPr>
                <w:sz w:val="18"/>
                <w:szCs w:val="18"/>
                <w:color w:val="auto"/>
              </w:rPr>
            </w:pPr>
          </w:p>
        </w:tc>
        <w:tc>
          <w:tcPr>
            <w:tcW w:w="28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40"/>
              <w:spacing w:after="0"/>
              <w:rPr>
                <w:sz w:val="20"/>
                <w:szCs w:val="20"/>
                <w:color w:val="auto"/>
              </w:rPr>
            </w:pPr>
            <w:r>
              <w:rPr>
                <w:rFonts w:ascii="Arial" w:cs="Arial" w:eastAsia="Arial" w:hAnsi="Arial"/>
                <w:sz w:val="18"/>
                <w:szCs w:val="18"/>
                <w:color w:val="auto"/>
              </w:rPr>
              <w:t>19</w:t>
            </w:r>
          </w:p>
        </w:tc>
        <w:tc>
          <w:tcPr>
            <w:tcW w:w="18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spacing w:after="0"/>
              <w:rPr>
                <w:sz w:val="18"/>
                <w:szCs w:val="18"/>
                <w:color w:val="auto"/>
              </w:rPr>
            </w:pP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b w:val="1"/>
                <w:bCs w:val="1"/>
                <w:color w:val="auto"/>
              </w:rPr>
              <w:t>Diluted EPS</w:t>
            </w:r>
          </w:p>
        </w:tc>
        <w:tc>
          <w:tcPr>
            <w:tcW w:w="40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560</w:t>
            </w:r>
          </w:p>
        </w:tc>
        <w:tc>
          <w:tcPr>
            <w:tcW w:w="640" w:type="dxa"/>
            <w:vAlign w:val="bottom"/>
            <w:tcBorders>
              <w:bottom w:val="single" w:sz="8" w:color="auto"/>
            </w:tcBorders>
          </w:tcPr>
          <w:p>
            <w:pPr>
              <w:jc w:val="right"/>
              <w:ind w:right="22"/>
              <w:spacing w:after="0"/>
              <w:rPr>
                <w:sz w:val="20"/>
                <w:szCs w:val="20"/>
                <w:color w:val="auto"/>
              </w:rPr>
            </w:pPr>
            <w:r>
              <w:rPr>
                <w:rFonts w:ascii="Arial" w:cs="Arial" w:eastAsia="Arial" w:hAnsi="Arial"/>
                <w:sz w:val="18"/>
                <w:szCs w:val="18"/>
                <w:b w:val="1"/>
                <w:bCs w:val="1"/>
                <w:color w:val="auto"/>
              </w:rPr>
              <w:t>3,118</w:t>
            </w:r>
          </w:p>
        </w:tc>
        <w:tc>
          <w:tcPr>
            <w:tcW w:w="320" w:type="dxa"/>
            <w:vAlign w:val="bottom"/>
            <w:tcBorders>
              <w:bottom w:val="single" w:sz="8" w:color="auto"/>
            </w:tcBorders>
          </w:tcPr>
          <w:p>
            <w:pPr>
              <w:jc w:val="right"/>
              <w:ind w:right="42"/>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0.18</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969</w:t>
            </w:r>
          </w:p>
        </w:tc>
        <w:tc>
          <w:tcPr>
            <w:tcW w:w="66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b w:val="1"/>
                <w:bCs w:val="1"/>
                <w:color w:val="auto"/>
              </w:rPr>
              <w:t>3,163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0.31</w:t>
            </w:r>
          </w:p>
        </w:tc>
        <w:tc>
          <w:tcPr>
            <w:tcW w:w="20" w:type="dxa"/>
            <w:vAlign w:val="bottom"/>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684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2920" w:type="dxa"/>
            <w:vAlign w:val="bottom"/>
            <w:tcBorders>
              <w:bottom w:val="single" w:sz="8" w:color="auto"/>
            </w:tcBorders>
            <w:gridSpan w:val="6"/>
          </w:tcPr>
          <w:p>
            <w:pPr>
              <w:jc w:val="right"/>
              <w:ind w:right="320"/>
              <w:spacing w:after="0"/>
              <w:rPr>
                <w:sz w:val="20"/>
                <w:szCs w:val="20"/>
                <w:color w:val="auto"/>
              </w:rPr>
            </w:pPr>
            <w:r>
              <w:rPr>
                <w:rFonts w:ascii="Arial" w:cs="Arial" w:eastAsia="Arial" w:hAnsi="Arial"/>
                <w:sz w:val="14"/>
                <w:szCs w:val="14"/>
                <w:b w:val="1"/>
                <w:bCs w:val="1"/>
                <w:color w:val="auto"/>
              </w:rPr>
              <w:t>Nine Months Ended September 30,</w:t>
            </w:r>
          </w:p>
        </w:tc>
        <w:tc>
          <w:tcPr>
            <w:tcW w:w="1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142"/>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2007</w:t>
            </w:r>
          </w:p>
        </w:tc>
        <w:tc>
          <w:tcPr>
            <w:tcW w:w="3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rPr>
              <w:t>2006</w:t>
            </w: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6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Per Share</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gridSpan w:val="2"/>
          </w:tcPr>
          <w:p>
            <w:pPr>
              <w:jc w:val="center"/>
              <w:ind w:left="19"/>
              <w:spacing w:after="0" w:line="129" w:lineRule="exact"/>
              <w:rPr>
                <w:sz w:val="20"/>
                <w:szCs w:val="20"/>
                <w:color w:val="auto"/>
              </w:rPr>
            </w:pPr>
            <w:r>
              <w:rPr>
                <w:rFonts w:ascii="Arial" w:cs="Arial" w:eastAsia="Arial" w:hAnsi="Arial"/>
                <w:sz w:val="14"/>
                <w:szCs w:val="14"/>
                <w:b w:val="1"/>
                <w:bCs w:val="1"/>
                <w:color w:val="auto"/>
                <w:w w:val="88"/>
              </w:rPr>
              <w:t>Per Share</w:t>
            </w:r>
          </w:p>
        </w:tc>
        <w:tc>
          <w:tcPr>
            <w:tcW w:w="20" w:type="dxa"/>
            <w:vAlign w:val="bottom"/>
          </w:tcPr>
          <w:p>
            <w:pPr>
              <w:spacing w:after="0"/>
              <w:rPr>
                <w:sz w:val="11"/>
                <w:szCs w:val="11"/>
                <w:color w:val="auto"/>
              </w:rPr>
            </w:pPr>
          </w:p>
        </w:tc>
      </w:tr>
      <w:tr>
        <w:trPr>
          <w:trHeight w:val="161"/>
        </w:trPr>
        <w:tc>
          <w:tcPr>
            <w:tcW w:w="6860" w:type="dxa"/>
            <w:vAlign w:val="bottom"/>
            <w:gridSpan w:val="2"/>
          </w:tcPr>
          <w:p>
            <w:pPr>
              <w:spacing w:after="0"/>
              <w:rPr>
                <w:sz w:val="20"/>
                <w:szCs w:val="20"/>
                <w:color w:val="auto"/>
              </w:rPr>
            </w:pPr>
            <w:r>
              <w:rPr>
                <w:rFonts w:ascii="Arial" w:cs="Arial" w:eastAsia="Arial" w:hAnsi="Arial"/>
                <w:sz w:val="14"/>
                <w:szCs w:val="14"/>
                <w:color w:val="auto"/>
              </w:rPr>
              <w:t>(in millions, except per share data)</w:t>
            </w:r>
          </w:p>
        </w:tc>
        <w:tc>
          <w:tcPr>
            <w:tcW w:w="88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Income</w:t>
            </w:r>
          </w:p>
        </w:tc>
        <w:tc>
          <w:tcPr>
            <w:tcW w:w="640" w:type="dxa"/>
            <w:vAlign w:val="bottom"/>
          </w:tcPr>
          <w:p>
            <w:pPr>
              <w:jc w:val="right"/>
              <w:ind w:right="62"/>
              <w:spacing w:after="0"/>
              <w:rPr>
                <w:sz w:val="20"/>
                <w:szCs w:val="20"/>
                <w:color w:val="auto"/>
              </w:rPr>
            </w:pPr>
            <w:r>
              <w:rPr>
                <w:rFonts w:ascii="Arial" w:cs="Arial" w:eastAsia="Arial" w:hAnsi="Arial"/>
                <w:sz w:val="14"/>
                <w:szCs w:val="14"/>
                <w:b w:val="1"/>
                <w:bCs w:val="1"/>
                <w:color w:val="auto"/>
              </w:rPr>
              <w:t>Shares</w:t>
            </w: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Amount</w:t>
            </w:r>
          </w:p>
        </w:tc>
        <w:tc>
          <w:tcPr>
            <w:tcW w:w="76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Income</w:t>
            </w:r>
          </w:p>
        </w:tc>
        <w:tc>
          <w:tcPr>
            <w:tcW w:w="660" w:type="dxa"/>
            <w:vAlign w:val="bottom"/>
          </w:tcPr>
          <w:p>
            <w:pPr>
              <w:jc w:val="right"/>
              <w:ind w:right="6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Amount</w:t>
            </w:r>
          </w:p>
        </w:tc>
      </w:tr>
      <w:tr>
        <w:trPr>
          <w:trHeight w:val="210"/>
        </w:trPr>
        <w:tc>
          <w:tcPr>
            <w:tcW w:w="20" w:type="dxa"/>
            <w:vAlign w:val="bottom"/>
          </w:tcPr>
          <w:p>
            <w:pPr>
              <w:spacing w:after="0"/>
              <w:rPr>
                <w:sz w:val="18"/>
                <w:szCs w:val="18"/>
                <w:color w:val="auto"/>
              </w:rPr>
            </w:pPr>
          </w:p>
        </w:tc>
        <w:tc>
          <w:tcPr>
            <w:tcW w:w="68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Basic EPS</w:t>
            </w:r>
          </w:p>
        </w:tc>
        <w:tc>
          <w:tcPr>
            <w:tcW w:w="880" w:type="dxa"/>
            <w:vAlign w:val="bottom"/>
            <w:tcBorders>
              <w:top w:val="single" w:sz="8" w:color="auto"/>
            </w:tcBorders>
            <w:gridSpan w:val="2"/>
            <w:shd w:val="clear" w:color="auto" w:fill="E5E5E5"/>
          </w:tcPr>
          <w:p>
            <w:pPr>
              <w:jc w:val="right"/>
              <w:ind w:right="32"/>
              <w:spacing w:after="0"/>
              <w:rPr>
                <w:sz w:val="20"/>
                <w:szCs w:val="20"/>
                <w:color w:val="auto"/>
              </w:rPr>
            </w:pPr>
            <w:r>
              <w:rPr>
                <w:rFonts w:ascii="Arial" w:cs="Arial" w:eastAsia="Arial" w:hAnsi="Arial"/>
                <w:sz w:val="18"/>
                <w:szCs w:val="18"/>
                <w:color w:val="auto"/>
              </w:rPr>
              <w:t>$ 1,985</w:t>
            </w:r>
          </w:p>
        </w:tc>
        <w:tc>
          <w:tcPr>
            <w:tcW w:w="640" w:type="dxa"/>
            <w:vAlign w:val="bottom"/>
            <w:tcBorders>
              <w:top w:val="single" w:sz="8" w:color="auto"/>
            </w:tcBorders>
            <w:shd w:val="clear" w:color="auto" w:fill="E5E5E5"/>
          </w:tcPr>
          <w:p>
            <w:pPr>
              <w:jc w:val="right"/>
              <w:ind w:right="22"/>
              <w:spacing w:after="0"/>
              <w:rPr>
                <w:sz w:val="20"/>
                <w:szCs w:val="20"/>
                <w:color w:val="auto"/>
              </w:rPr>
            </w:pPr>
            <w:r>
              <w:rPr>
                <w:rFonts w:ascii="Arial" w:cs="Arial" w:eastAsia="Arial" w:hAnsi="Arial"/>
                <w:sz w:val="18"/>
                <w:szCs w:val="18"/>
                <w:color w:val="auto"/>
              </w:rPr>
              <w:t>3,108</w:t>
            </w:r>
          </w:p>
        </w:tc>
        <w:tc>
          <w:tcPr>
            <w:tcW w:w="320" w:type="dxa"/>
            <w:vAlign w:val="bottom"/>
            <w:tcBorders>
              <w:top w:val="single" w:sz="8" w:color="auto"/>
            </w:tcBorders>
            <w:shd w:val="clear" w:color="auto" w:fill="E5E5E5"/>
          </w:tcPr>
          <w:p>
            <w:pPr>
              <w:jc w:val="right"/>
              <w:ind w:right="42"/>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0.64</w:t>
            </w:r>
          </w:p>
        </w:tc>
        <w:tc>
          <w:tcPr>
            <w:tcW w:w="760" w:type="dxa"/>
            <w:vAlign w:val="bottom"/>
            <w:tcBorders>
              <w:top w:val="single" w:sz="8" w:color="auto"/>
            </w:tcBorders>
            <w:gridSpan w:val="2"/>
            <w:shd w:val="clear" w:color="auto" w:fill="E5E5E5"/>
          </w:tcPr>
          <w:p>
            <w:pPr>
              <w:jc w:val="right"/>
              <w:ind w:right="32"/>
              <w:spacing w:after="0"/>
              <w:rPr>
                <w:sz w:val="20"/>
                <w:szCs w:val="20"/>
                <w:color w:val="auto"/>
              </w:rPr>
            </w:pPr>
            <w:r>
              <w:rPr>
                <w:rFonts w:ascii="Arial" w:cs="Arial" w:eastAsia="Arial" w:hAnsi="Arial"/>
                <w:sz w:val="18"/>
                <w:szCs w:val="18"/>
                <w:color w:val="auto"/>
              </w:rPr>
              <w:t>$ 1,806</w:t>
            </w:r>
          </w:p>
        </w:tc>
        <w:tc>
          <w:tcPr>
            <w:tcW w:w="660" w:type="dxa"/>
            <w:vAlign w:val="bottom"/>
            <w:tcBorders>
              <w:top w:val="single" w:sz="8" w:color="auto"/>
            </w:tcBorders>
            <w:shd w:val="clear" w:color="auto" w:fill="E5E5E5"/>
          </w:tcPr>
          <w:p>
            <w:pPr>
              <w:jc w:val="right"/>
              <w:ind w:right="40"/>
              <w:spacing w:after="0"/>
              <w:rPr>
                <w:sz w:val="20"/>
                <w:szCs w:val="20"/>
                <w:color w:val="auto"/>
              </w:rPr>
            </w:pPr>
            <w:r>
              <w:rPr>
                <w:rFonts w:ascii="Arial" w:cs="Arial" w:eastAsia="Arial" w:hAnsi="Arial"/>
                <w:sz w:val="18"/>
                <w:szCs w:val="18"/>
                <w:color w:val="auto"/>
              </w:rPr>
              <w:t>3,171</w:t>
            </w:r>
          </w:p>
        </w:tc>
        <w:tc>
          <w:tcPr>
            <w:tcW w:w="1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0.57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Assumed exercise or issuance of shares relating to stock plans</w:t>
            </w:r>
          </w:p>
        </w:tc>
        <w:tc>
          <w:tcPr>
            <w:tcW w:w="40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22"/>
              <w:spacing w:after="0"/>
              <w:rPr>
                <w:sz w:val="20"/>
                <w:szCs w:val="20"/>
                <w:color w:val="auto"/>
              </w:rPr>
            </w:pPr>
            <w:r>
              <w:rPr>
                <w:rFonts w:ascii="Arial" w:cs="Arial" w:eastAsia="Arial" w:hAnsi="Arial"/>
                <w:sz w:val="18"/>
                <w:szCs w:val="18"/>
                <w:color w:val="auto"/>
              </w:rPr>
              <w:t>37</w:t>
            </w:r>
          </w:p>
        </w:tc>
        <w:tc>
          <w:tcPr>
            <w:tcW w:w="3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spacing w:after="0"/>
              <w:rPr>
                <w:sz w:val="18"/>
                <w:szCs w:val="18"/>
                <w:color w:val="auto"/>
              </w:rPr>
            </w:pPr>
          </w:p>
        </w:tc>
        <w:tc>
          <w:tcPr>
            <w:tcW w:w="28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40"/>
              <w:spacing w:after="0"/>
              <w:rPr>
                <w:sz w:val="20"/>
                <w:szCs w:val="20"/>
                <w:color w:val="auto"/>
              </w:rPr>
            </w:pPr>
            <w:r>
              <w:rPr>
                <w:rFonts w:ascii="Arial" w:cs="Arial" w:eastAsia="Arial" w:hAnsi="Arial"/>
                <w:sz w:val="18"/>
                <w:szCs w:val="18"/>
                <w:color w:val="auto"/>
              </w:rPr>
              <w:t>15</w:t>
            </w:r>
          </w:p>
        </w:tc>
        <w:tc>
          <w:tcPr>
            <w:tcW w:w="18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spacing w:after="0"/>
              <w:rPr>
                <w:sz w:val="18"/>
                <w:szCs w:val="18"/>
                <w:color w:val="auto"/>
              </w:rPr>
            </w:pP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b w:val="1"/>
                <w:bCs w:val="1"/>
                <w:color w:val="auto"/>
              </w:rPr>
              <w:t>Diluted EPS</w:t>
            </w:r>
          </w:p>
        </w:tc>
        <w:tc>
          <w:tcPr>
            <w:tcW w:w="88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8"/>
                <w:szCs w:val="18"/>
                <w:b w:val="1"/>
                <w:bCs w:val="1"/>
                <w:color w:val="auto"/>
              </w:rPr>
              <w:t>$ 1,985</w:t>
            </w:r>
          </w:p>
        </w:tc>
        <w:tc>
          <w:tcPr>
            <w:tcW w:w="640" w:type="dxa"/>
            <w:vAlign w:val="bottom"/>
            <w:tcBorders>
              <w:bottom w:val="single" w:sz="8" w:color="auto"/>
            </w:tcBorders>
          </w:tcPr>
          <w:p>
            <w:pPr>
              <w:jc w:val="right"/>
              <w:ind w:right="22"/>
              <w:spacing w:after="0"/>
              <w:rPr>
                <w:sz w:val="20"/>
                <w:szCs w:val="20"/>
                <w:color w:val="auto"/>
              </w:rPr>
            </w:pPr>
            <w:r>
              <w:rPr>
                <w:rFonts w:ascii="Arial" w:cs="Arial" w:eastAsia="Arial" w:hAnsi="Arial"/>
                <w:sz w:val="18"/>
                <w:szCs w:val="18"/>
                <w:b w:val="1"/>
                <w:bCs w:val="1"/>
                <w:color w:val="auto"/>
              </w:rPr>
              <w:t>3,145</w:t>
            </w:r>
          </w:p>
        </w:tc>
        <w:tc>
          <w:tcPr>
            <w:tcW w:w="320" w:type="dxa"/>
            <w:vAlign w:val="bottom"/>
            <w:tcBorders>
              <w:bottom w:val="single" w:sz="8" w:color="auto"/>
            </w:tcBorders>
          </w:tcPr>
          <w:p>
            <w:pPr>
              <w:jc w:val="right"/>
              <w:ind w:right="42"/>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0.63</w:t>
            </w:r>
          </w:p>
        </w:tc>
        <w:tc>
          <w:tcPr>
            <w:tcW w:w="76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8"/>
                <w:szCs w:val="18"/>
                <w:b w:val="1"/>
                <w:bCs w:val="1"/>
                <w:color w:val="auto"/>
              </w:rPr>
              <w:t>$ 1,806</w:t>
            </w:r>
          </w:p>
        </w:tc>
        <w:tc>
          <w:tcPr>
            <w:tcW w:w="66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b w:val="1"/>
                <w:bCs w:val="1"/>
                <w:color w:val="auto"/>
              </w:rPr>
              <w:t>3,186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0.57</w:t>
            </w:r>
          </w:p>
        </w:tc>
        <w:tc>
          <w:tcPr>
            <w:tcW w:w="20" w:type="dxa"/>
            <w:vAlign w:val="bottom"/>
            <w:tcBorders>
              <w:bottom w:val="single" w:sz="8" w:color="auto"/>
            </w:tcBorders>
          </w:tcPr>
          <w:p>
            <w:pPr>
              <w:spacing w:after="0"/>
              <w:rPr>
                <w:sz w:val="18"/>
                <w:szCs w:val="18"/>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Acquisitions and Other Significant Events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Texas and Kansas City Cable Partnership</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July 2006, we initiated the dissolution of Texas and Kansas City Cable Partners (“TKCCP”), our 50%-50% cable system partnership with Time Warner Cable (“TWC”). On January 1, 2007, the distribution of assets by TKCCP was completed and we received the cable system serving Houston, Texas (“Houston Asset Pool”) and TWC received the cable systems serving Kansas City, south and west Texas, and New Mexico (“Kansas City Asset Pool”). We accounted for the distribution of assets by TKCCP as a sale of our 50% interest in the Kansas City Asset Pool in exchange for acquiring an additional 50% interest in the Houston Asset Pool. This transaction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SEPTEMBER 30, 2007</w:t>
      </w:r>
    </w:p>
    <w:p>
      <w:pPr>
        <w:spacing w:after="0" w:line="13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resulted in an increase of approximately 700,000 video subscribers. The estimated fair value of the 50% interest of the Houston Asset Pool we received was approximately $1.1 billion and resulted in a pretax gain of approximately $500 million, which is included in other income (expense). We recorded our 50% interest in the Houston Asset Pool as a step acquisition in accordance with SFAS No. 141, “Business Combinations.” The valuation of assets acquired and the estimated gain are based on preliminary valuations. Refinements may occur as these valuations are finalized. The results of operations for the Houston Asset Pool have been included in our consolidated financial statements since the date of the distribution of assets by TKCCP (January 1, 2007) and are reported in our Cable segment (effective August 1, 2006). The exchange of our 50% interest in the Kansas City Asset Pool for TWC’s 50% interest in the Houston Asset Pool is considered a noncash investing activity.</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Adelphia and Time Warner Transactions</w:t>
      </w:r>
    </w:p>
    <w:p>
      <w:pPr>
        <w:spacing w:after="0" w:line="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July 2006, we completed transactions with Adelphia and Time Warner that resulted in a net increase of approximately 1.7 million video subscribers, a net cash payment by us of approximately $1.5 billion, the disposition of our ownership interests in TWC and Time Warner Entertainment (“TWE”) and the assets of two cable system partnerships, and the transfer of our previously owned cable systems in Los Angeles, Cleveland and Dallas (“Comcast Exchange Systems”). We collectively refer to these transactions as the “Adelphia and Time Warner transactions.”</w:t>
      </w:r>
    </w:p>
    <w:p>
      <w:pPr>
        <w:spacing w:after="0" w:line="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operating results of the Comcast Exchange Systems transferred to TWC are reported as discontinued operations and are presented in accordance with SFAS No. 144, “Accounting for the Impairment or Disposal of Long-Lived Assets.” As a result of the exchange, we recognized a gain on the sale of discontinued operations of $234 million, net of tax of $563 million. The table below presents the operating results of the Comcast Exchange Systems for the three and nine months ended September 30, 2006:</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4420" w:type="dxa"/>
            <w:vAlign w:val="bottom"/>
            <w:gridSpan w:val="2"/>
          </w:tcPr>
          <w:p>
            <w:pPr>
              <w:ind w:left="2580"/>
              <w:spacing w:after="0"/>
              <w:rPr>
                <w:sz w:val="20"/>
                <w:szCs w:val="20"/>
                <w:color w:val="auto"/>
              </w:rPr>
            </w:pPr>
            <w:r>
              <w:rPr>
                <w:rFonts w:ascii="Arial" w:cs="Arial" w:eastAsia="Arial" w:hAnsi="Arial"/>
                <w:sz w:val="14"/>
                <w:szCs w:val="14"/>
                <w:b w:val="1"/>
                <w:bCs w:val="1"/>
                <w:color w:val="auto"/>
              </w:rPr>
              <w:t>Three Months Ended</w:t>
            </w:r>
          </w:p>
        </w:tc>
        <w:tc>
          <w:tcPr>
            <w:tcW w:w="1800" w:type="dxa"/>
            <w:vAlign w:val="bottom"/>
            <w:gridSpan w:val="3"/>
          </w:tcPr>
          <w:p>
            <w:pPr>
              <w:ind w:left="620"/>
              <w:spacing w:after="0"/>
              <w:rPr>
                <w:sz w:val="20"/>
                <w:szCs w:val="20"/>
                <w:color w:val="auto"/>
              </w:rPr>
            </w:pPr>
            <w:r>
              <w:rPr>
                <w:rFonts w:ascii="Arial" w:cs="Arial" w:eastAsia="Arial" w:hAnsi="Arial"/>
                <w:sz w:val="14"/>
                <w:szCs w:val="14"/>
                <w:b w:val="1"/>
                <w:bCs w:val="1"/>
                <w:color w:val="auto"/>
                <w:w w:val="88"/>
              </w:rPr>
              <w:t>Nine Months Ended</w:t>
            </w:r>
          </w:p>
        </w:tc>
      </w:tr>
      <w:tr>
        <w:trPr>
          <w:trHeight w:val="161"/>
        </w:trPr>
        <w:tc>
          <w:tcPr>
            <w:tcW w:w="52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4420" w:type="dxa"/>
            <w:vAlign w:val="bottom"/>
            <w:gridSpan w:val="2"/>
          </w:tcPr>
          <w:p>
            <w:pPr>
              <w:ind w:left="2640"/>
              <w:spacing w:after="0"/>
              <w:rPr>
                <w:sz w:val="20"/>
                <w:szCs w:val="20"/>
                <w:color w:val="auto"/>
              </w:rPr>
            </w:pPr>
            <w:r>
              <w:rPr>
                <w:rFonts w:ascii="Arial" w:cs="Arial" w:eastAsia="Arial" w:hAnsi="Arial"/>
                <w:sz w:val="14"/>
                <w:szCs w:val="14"/>
                <w:b w:val="1"/>
                <w:bCs w:val="1"/>
                <w:color w:val="auto"/>
              </w:rPr>
              <w:t>September 30, 2006</w:t>
            </w:r>
          </w:p>
        </w:tc>
        <w:tc>
          <w:tcPr>
            <w:tcW w:w="1800" w:type="dxa"/>
            <w:vAlign w:val="bottom"/>
            <w:gridSpan w:val="3"/>
          </w:tcPr>
          <w:p>
            <w:pPr>
              <w:ind w:left="640"/>
              <w:spacing w:after="0"/>
              <w:rPr>
                <w:sz w:val="20"/>
                <w:szCs w:val="20"/>
                <w:color w:val="auto"/>
              </w:rPr>
            </w:pPr>
            <w:r>
              <w:rPr>
                <w:rFonts w:ascii="Arial" w:cs="Arial" w:eastAsia="Arial" w:hAnsi="Arial"/>
                <w:sz w:val="14"/>
                <w:szCs w:val="14"/>
                <w:b w:val="1"/>
                <w:bCs w:val="1"/>
                <w:color w:val="auto"/>
                <w:w w:val="87"/>
              </w:rPr>
              <w:t>September 30, 2006</w:t>
            </w:r>
          </w:p>
        </w:tc>
      </w:tr>
      <w:tr>
        <w:trPr>
          <w:trHeight w:val="210"/>
        </w:trPr>
        <w:tc>
          <w:tcPr>
            <w:tcW w:w="20" w:type="dxa"/>
            <w:vAlign w:val="bottom"/>
          </w:tcPr>
          <w:p>
            <w:pPr>
              <w:spacing w:after="0"/>
              <w:rPr>
                <w:sz w:val="18"/>
                <w:szCs w:val="18"/>
                <w:color w:val="auto"/>
              </w:rPr>
            </w:pPr>
          </w:p>
        </w:tc>
        <w:tc>
          <w:tcPr>
            <w:tcW w:w="52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Revenues</w:t>
            </w:r>
          </w:p>
        </w:tc>
        <w:tc>
          <w:tcPr>
            <w:tcW w:w="3100" w:type="dxa"/>
            <w:vAlign w:val="bottom"/>
            <w:tcBorders>
              <w:top w:val="single" w:sz="8" w:color="auto"/>
            </w:tcBorders>
            <w:shd w:val="clear" w:color="auto" w:fill="E5E5E5"/>
          </w:tcPr>
          <w:p>
            <w:pPr>
              <w:ind w:left="258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E5E5E5"/>
          </w:tcPr>
          <w:p>
            <w:pPr>
              <w:jc w:val="right"/>
              <w:ind w:right="532"/>
              <w:spacing w:after="0"/>
              <w:rPr>
                <w:sz w:val="20"/>
                <w:szCs w:val="20"/>
                <w:color w:val="auto"/>
              </w:rPr>
            </w:pPr>
            <w:r>
              <w:rPr>
                <w:rFonts w:ascii="Arial" w:cs="Arial" w:eastAsia="Arial" w:hAnsi="Arial"/>
                <w:sz w:val="18"/>
                <w:szCs w:val="18"/>
                <w:color w:val="auto"/>
              </w:rPr>
              <w:t>109</w:t>
            </w:r>
          </w:p>
        </w:tc>
        <w:tc>
          <w:tcPr>
            <w:tcW w:w="1120" w:type="dxa"/>
            <w:vAlign w:val="bottom"/>
            <w:tcBorders>
              <w:top w:val="single" w:sz="8" w:color="auto"/>
            </w:tcBorders>
            <w:shd w:val="clear" w:color="auto" w:fill="E5E5E5"/>
          </w:tcPr>
          <w:p>
            <w:pPr>
              <w:ind w:left="62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734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3100" w:type="dxa"/>
            <w:vAlign w:val="bottom"/>
          </w:tcPr>
          <w:p>
            <w:pPr>
              <w:ind w:left="258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32"/>
              <w:spacing w:after="0"/>
              <w:rPr>
                <w:sz w:val="20"/>
                <w:szCs w:val="20"/>
                <w:color w:val="auto"/>
              </w:rPr>
            </w:pPr>
            <w:r>
              <w:rPr>
                <w:rFonts w:ascii="Arial" w:cs="Arial" w:eastAsia="Arial" w:hAnsi="Arial"/>
                <w:sz w:val="18"/>
                <w:szCs w:val="18"/>
                <w:color w:val="auto"/>
              </w:rPr>
              <w:t>23</w:t>
            </w:r>
          </w:p>
        </w:tc>
        <w:tc>
          <w:tcPr>
            <w:tcW w:w="1120" w:type="dxa"/>
            <w:vAlign w:val="bottom"/>
          </w:tcPr>
          <w:p>
            <w:pPr>
              <w:ind w:left="6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5E5E5"/>
          </w:tcPr>
          <w:p>
            <w:pPr>
              <w:spacing w:after="0"/>
              <w:rPr>
                <w:sz w:val="20"/>
                <w:szCs w:val="20"/>
                <w:color w:val="auto"/>
              </w:rPr>
            </w:pPr>
            <w:r>
              <w:rPr>
                <w:rFonts w:ascii="Arial" w:cs="Arial" w:eastAsia="Arial" w:hAnsi="Arial"/>
                <w:sz w:val="18"/>
                <w:szCs w:val="18"/>
                <w:color w:val="auto"/>
              </w:rPr>
              <w:t>Income tax expense</w:t>
            </w:r>
          </w:p>
        </w:tc>
        <w:tc>
          <w:tcPr>
            <w:tcW w:w="3100" w:type="dxa"/>
            <w:vAlign w:val="bottom"/>
            <w:shd w:val="clear" w:color="auto" w:fill="E5E5E5"/>
          </w:tcPr>
          <w:p>
            <w:pPr>
              <w:ind w:left="25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E5E5E5"/>
          </w:tcPr>
          <w:p>
            <w:pPr>
              <w:jc w:val="right"/>
              <w:ind w:right="532"/>
              <w:spacing w:after="0"/>
              <w:rPr>
                <w:sz w:val="20"/>
                <w:szCs w:val="20"/>
                <w:color w:val="auto"/>
              </w:rPr>
            </w:pPr>
            <w:r>
              <w:rPr>
                <w:rFonts w:ascii="Arial" w:cs="Arial" w:eastAsia="Arial" w:hAnsi="Arial"/>
                <w:sz w:val="18"/>
                <w:szCs w:val="18"/>
                <w:color w:val="auto"/>
              </w:rPr>
              <w:t>9</w:t>
            </w:r>
          </w:p>
        </w:tc>
        <w:tc>
          <w:tcPr>
            <w:tcW w:w="1120" w:type="dxa"/>
            <w:vAlign w:val="bottom"/>
            <w:shd w:val="clear" w:color="auto" w:fill="E5E5E5"/>
          </w:tcPr>
          <w:p>
            <w:pPr>
              <w:ind w:left="620"/>
              <w:spacing w:after="0"/>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3100" w:type="dxa"/>
            <w:vAlign w:val="bottom"/>
          </w:tcPr>
          <w:p>
            <w:pPr>
              <w:ind w:left="258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32"/>
              <w:spacing w:after="0"/>
              <w:rPr>
                <w:sz w:val="20"/>
                <w:szCs w:val="20"/>
                <w:color w:val="auto"/>
              </w:rPr>
            </w:pPr>
            <w:r>
              <w:rPr>
                <w:rFonts w:ascii="Arial" w:cs="Arial" w:eastAsia="Arial" w:hAnsi="Arial"/>
                <w:sz w:val="18"/>
                <w:szCs w:val="18"/>
                <w:color w:val="auto"/>
              </w:rPr>
              <w:t>14</w:t>
            </w:r>
          </w:p>
        </w:tc>
        <w:tc>
          <w:tcPr>
            <w:tcW w:w="1120" w:type="dxa"/>
            <w:vAlign w:val="bottom"/>
          </w:tcPr>
          <w:p>
            <w:pPr>
              <w:ind w:left="6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9"/>
                <w:szCs w:val="19"/>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Information</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unaudited pro forma information has been presented as if the Adelphia and Time Warner transactions and the TKCCP transaction each occurred on January 1, 2006. This information is based on historical results of operations, adjusted for purchase price allocations, and is not necessarily indicative of what the results would have been had we operated the cable systems since January 1, 2006.</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4060" w:type="dxa"/>
            <w:vAlign w:val="bottom"/>
            <w:gridSpan w:val="2"/>
          </w:tcPr>
          <w:p>
            <w:pPr>
              <w:ind w:left="2280"/>
              <w:spacing w:after="0"/>
              <w:rPr>
                <w:sz w:val="20"/>
                <w:szCs w:val="20"/>
                <w:color w:val="auto"/>
              </w:rPr>
            </w:pPr>
            <w:r>
              <w:rPr>
                <w:rFonts w:ascii="Arial" w:cs="Arial" w:eastAsia="Arial" w:hAnsi="Arial"/>
                <w:sz w:val="14"/>
                <w:szCs w:val="14"/>
                <w:b w:val="1"/>
                <w:bCs w:val="1"/>
                <w:color w:val="auto"/>
              </w:rPr>
              <w:t>Three Months Ended</w:t>
            </w:r>
          </w:p>
        </w:tc>
        <w:tc>
          <w:tcPr>
            <w:tcW w:w="1720" w:type="dxa"/>
            <w:vAlign w:val="bottom"/>
            <w:gridSpan w:val="3"/>
          </w:tcPr>
          <w:p>
            <w:pPr>
              <w:ind w:left="540"/>
              <w:spacing w:after="0"/>
              <w:rPr>
                <w:sz w:val="20"/>
                <w:szCs w:val="20"/>
                <w:color w:val="auto"/>
              </w:rPr>
            </w:pPr>
            <w:r>
              <w:rPr>
                <w:rFonts w:ascii="Arial" w:cs="Arial" w:eastAsia="Arial" w:hAnsi="Arial"/>
                <w:sz w:val="14"/>
                <w:szCs w:val="14"/>
                <w:b w:val="1"/>
                <w:bCs w:val="1"/>
                <w:color w:val="auto"/>
                <w:w w:val="88"/>
              </w:rPr>
              <w:t>Nine Months Ended</w:t>
            </w:r>
          </w:p>
        </w:tc>
      </w:tr>
      <w:tr>
        <w:trPr>
          <w:trHeight w:val="161"/>
        </w:trPr>
        <w:tc>
          <w:tcPr>
            <w:tcW w:w="5660" w:type="dxa"/>
            <w:vAlign w:val="bottom"/>
            <w:gridSpan w:val="2"/>
          </w:tcPr>
          <w:p>
            <w:pPr>
              <w:spacing w:after="0"/>
              <w:rPr>
                <w:sz w:val="20"/>
                <w:szCs w:val="20"/>
                <w:color w:val="auto"/>
              </w:rPr>
            </w:pPr>
            <w:r>
              <w:rPr>
                <w:rFonts w:ascii="Arial" w:cs="Arial" w:eastAsia="Arial" w:hAnsi="Arial"/>
                <w:sz w:val="14"/>
                <w:szCs w:val="14"/>
                <w:color w:val="auto"/>
              </w:rPr>
              <w:t>(in millions, except per share data)</w:t>
            </w:r>
          </w:p>
        </w:tc>
        <w:tc>
          <w:tcPr>
            <w:tcW w:w="4060" w:type="dxa"/>
            <w:vAlign w:val="bottom"/>
            <w:gridSpan w:val="2"/>
          </w:tcPr>
          <w:p>
            <w:pPr>
              <w:ind w:left="2340"/>
              <w:spacing w:after="0"/>
              <w:rPr>
                <w:sz w:val="20"/>
                <w:szCs w:val="20"/>
                <w:color w:val="auto"/>
              </w:rPr>
            </w:pPr>
            <w:r>
              <w:rPr>
                <w:rFonts w:ascii="Arial" w:cs="Arial" w:eastAsia="Arial" w:hAnsi="Arial"/>
                <w:sz w:val="14"/>
                <w:szCs w:val="14"/>
                <w:b w:val="1"/>
                <w:bCs w:val="1"/>
                <w:color w:val="auto"/>
              </w:rPr>
              <w:t>September 30, 2006</w:t>
            </w:r>
          </w:p>
        </w:tc>
        <w:tc>
          <w:tcPr>
            <w:tcW w:w="1720" w:type="dxa"/>
            <w:vAlign w:val="bottom"/>
            <w:gridSpan w:val="3"/>
          </w:tcPr>
          <w:p>
            <w:pPr>
              <w:ind w:left="560"/>
              <w:spacing w:after="0"/>
              <w:rPr>
                <w:sz w:val="20"/>
                <w:szCs w:val="20"/>
                <w:color w:val="auto"/>
              </w:rPr>
            </w:pPr>
            <w:r>
              <w:rPr>
                <w:rFonts w:ascii="Arial" w:cs="Arial" w:eastAsia="Arial" w:hAnsi="Arial"/>
                <w:sz w:val="14"/>
                <w:szCs w:val="14"/>
                <w:b w:val="1"/>
                <w:bCs w:val="1"/>
                <w:color w:val="auto"/>
                <w:w w:val="87"/>
              </w:rPr>
              <w:t>September 30, 2006</w:t>
            </w:r>
          </w:p>
        </w:tc>
      </w:tr>
      <w:tr>
        <w:trPr>
          <w:trHeight w:val="210"/>
        </w:trPr>
        <w:tc>
          <w:tcPr>
            <w:tcW w:w="20" w:type="dxa"/>
            <w:vAlign w:val="bottom"/>
          </w:tcPr>
          <w:p>
            <w:pPr>
              <w:spacing w:after="0"/>
              <w:rPr>
                <w:sz w:val="18"/>
                <w:szCs w:val="18"/>
                <w:color w:val="auto"/>
              </w:rPr>
            </w:pPr>
          </w:p>
        </w:tc>
        <w:tc>
          <w:tcPr>
            <w:tcW w:w="56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Revenues</w:t>
            </w:r>
          </w:p>
        </w:tc>
        <w:tc>
          <w:tcPr>
            <w:tcW w:w="2740" w:type="dxa"/>
            <w:vAlign w:val="bottom"/>
            <w:tcBorders>
              <w:top w:val="single" w:sz="8" w:color="auto"/>
            </w:tcBorders>
            <w:shd w:val="clear" w:color="auto" w:fill="E5E5E5"/>
          </w:tcPr>
          <w:p>
            <w:pPr>
              <w:ind w:left="228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E5E5E5"/>
          </w:tcPr>
          <w:p>
            <w:pPr>
              <w:jc w:val="right"/>
              <w:ind w:right="452"/>
              <w:spacing w:after="0"/>
              <w:rPr>
                <w:sz w:val="20"/>
                <w:szCs w:val="20"/>
                <w:color w:val="auto"/>
              </w:rPr>
            </w:pPr>
            <w:r>
              <w:rPr>
                <w:rFonts w:ascii="Arial" w:cs="Arial" w:eastAsia="Arial" w:hAnsi="Arial"/>
                <w:sz w:val="18"/>
                <w:szCs w:val="18"/>
                <w:color w:val="auto"/>
              </w:rPr>
              <w:t>6,898</w:t>
            </w:r>
          </w:p>
        </w:tc>
        <w:tc>
          <w:tcPr>
            <w:tcW w:w="920" w:type="dxa"/>
            <w:vAlign w:val="bottom"/>
            <w:tcBorders>
              <w:top w:val="single" w:sz="8" w:color="auto"/>
            </w:tcBorders>
            <w:shd w:val="clear" w:color="auto" w:fill="E5E5E5"/>
          </w:tcPr>
          <w:p>
            <w:pPr>
              <w:ind w:left="54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20,259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2740" w:type="dxa"/>
            <w:vAlign w:val="bottom"/>
          </w:tcPr>
          <w:p>
            <w:pPr>
              <w:ind w:left="228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452"/>
              <w:spacing w:after="0"/>
              <w:rPr>
                <w:sz w:val="20"/>
                <w:szCs w:val="20"/>
                <w:color w:val="auto"/>
              </w:rPr>
            </w:pPr>
            <w:r>
              <w:rPr>
                <w:rFonts w:ascii="Arial" w:cs="Arial" w:eastAsia="Arial" w:hAnsi="Arial"/>
                <w:sz w:val="18"/>
                <w:szCs w:val="18"/>
                <w:color w:val="auto"/>
              </w:rPr>
              <w:t>959</w:t>
            </w:r>
          </w:p>
        </w:tc>
        <w:tc>
          <w:tcPr>
            <w:tcW w:w="920" w:type="dxa"/>
            <w:vAlign w:val="bottom"/>
          </w:tcPr>
          <w:p>
            <w:pPr>
              <w:ind w:left="5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1,817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E5E5E5"/>
          </w:tcPr>
          <w:p>
            <w:pPr>
              <w:spacing w:after="0"/>
              <w:rPr>
                <w:sz w:val="20"/>
                <w:szCs w:val="20"/>
                <w:color w:val="auto"/>
              </w:rPr>
            </w:pPr>
            <w:r>
              <w:rPr>
                <w:rFonts w:ascii="Arial" w:cs="Arial" w:eastAsia="Arial" w:hAnsi="Arial"/>
                <w:sz w:val="18"/>
                <w:szCs w:val="18"/>
                <w:color w:val="auto"/>
              </w:rPr>
              <w:t>Income from discontinued operations, net of tax</w:t>
            </w:r>
          </w:p>
        </w:tc>
        <w:tc>
          <w:tcPr>
            <w:tcW w:w="2740" w:type="dxa"/>
            <w:vAlign w:val="bottom"/>
            <w:shd w:val="clear" w:color="auto" w:fill="E5E5E5"/>
          </w:tcPr>
          <w:p>
            <w:pPr>
              <w:ind w:left="22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E5E5E5"/>
          </w:tcPr>
          <w:p>
            <w:pPr>
              <w:jc w:val="right"/>
              <w:ind w:right="452"/>
              <w:spacing w:after="0"/>
              <w:rPr>
                <w:sz w:val="20"/>
                <w:szCs w:val="20"/>
                <w:color w:val="auto"/>
              </w:rPr>
            </w:pPr>
            <w:r>
              <w:rPr>
                <w:rFonts w:ascii="Arial" w:cs="Arial" w:eastAsia="Arial" w:hAnsi="Arial"/>
                <w:sz w:val="18"/>
                <w:szCs w:val="18"/>
                <w:color w:val="auto"/>
              </w:rPr>
              <w:t>14</w:t>
            </w:r>
          </w:p>
        </w:tc>
        <w:tc>
          <w:tcPr>
            <w:tcW w:w="920" w:type="dxa"/>
            <w:vAlign w:val="bottom"/>
            <w:shd w:val="clear" w:color="auto" w:fill="E5E5E5"/>
          </w:tcPr>
          <w:p>
            <w:pPr>
              <w:ind w:left="540"/>
              <w:spacing w:after="0"/>
              <w:rPr>
                <w:sz w:val="20"/>
                <w:szCs w:val="20"/>
                <w:color w:val="auto"/>
              </w:rPr>
            </w:pPr>
            <w:r>
              <w:rPr>
                <w:rFonts w:ascii="Arial" w:cs="Arial" w:eastAsia="Arial" w:hAnsi="Arial"/>
                <w:sz w:val="18"/>
                <w:szCs w:val="18"/>
                <w:color w:val="auto"/>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Gain on discontinued operations, net of tax</w:t>
            </w:r>
          </w:p>
        </w:tc>
        <w:tc>
          <w:tcPr>
            <w:tcW w:w="2740" w:type="dxa"/>
            <w:vAlign w:val="bottom"/>
          </w:tcPr>
          <w:p>
            <w:pPr>
              <w:ind w:left="228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452"/>
              <w:spacing w:after="0"/>
              <w:rPr>
                <w:sz w:val="20"/>
                <w:szCs w:val="20"/>
                <w:color w:val="auto"/>
              </w:rPr>
            </w:pPr>
            <w:r>
              <w:rPr>
                <w:rFonts w:ascii="Arial" w:cs="Arial" w:eastAsia="Arial" w:hAnsi="Arial"/>
                <w:sz w:val="18"/>
                <w:szCs w:val="18"/>
                <w:color w:val="auto"/>
              </w:rPr>
              <w:t>234</w:t>
            </w:r>
          </w:p>
        </w:tc>
        <w:tc>
          <w:tcPr>
            <w:tcW w:w="920" w:type="dxa"/>
            <w:vAlign w:val="bottom"/>
          </w:tcPr>
          <w:p>
            <w:pPr>
              <w:ind w:left="5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234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E5E5E5"/>
          </w:tcPr>
          <w:p>
            <w:pPr>
              <w:spacing w:after="0"/>
              <w:rPr>
                <w:sz w:val="20"/>
                <w:szCs w:val="20"/>
                <w:color w:val="auto"/>
              </w:rPr>
            </w:pPr>
            <w:r>
              <w:rPr>
                <w:rFonts w:ascii="Arial" w:cs="Arial" w:eastAsia="Arial" w:hAnsi="Arial"/>
                <w:sz w:val="18"/>
                <w:szCs w:val="18"/>
                <w:color w:val="auto"/>
              </w:rPr>
              <w:t>Net income</w:t>
            </w:r>
          </w:p>
        </w:tc>
        <w:tc>
          <w:tcPr>
            <w:tcW w:w="2740" w:type="dxa"/>
            <w:vAlign w:val="bottom"/>
            <w:shd w:val="clear" w:color="auto" w:fill="E5E5E5"/>
          </w:tcPr>
          <w:p>
            <w:pPr>
              <w:ind w:left="22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E5E5E5"/>
          </w:tcPr>
          <w:p>
            <w:pPr>
              <w:jc w:val="right"/>
              <w:ind w:right="452"/>
              <w:spacing w:after="0"/>
              <w:rPr>
                <w:sz w:val="20"/>
                <w:szCs w:val="20"/>
                <w:color w:val="auto"/>
              </w:rPr>
            </w:pPr>
            <w:r>
              <w:rPr>
                <w:rFonts w:ascii="Arial" w:cs="Arial" w:eastAsia="Arial" w:hAnsi="Arial"/>
                <w:sz w:val="18"/>
                <w:szCs w:val="18"/>
                <w:color w:val="auto"/>
              </w:rPr>
              <w:t>1,207</w:t>
            </w:r>
          </w:p>
        </w:tc>
        <w:tc>
          <w:tcPr>
            <w:tcW w:w="920" w:type="dxa"/>
            <w:vAlign w:val="bottom"/>
            <w:shd w:val="clear" w:color="auto" w:fill="E5E5E5"/>
          </w:tcPr>
          <w:p>
            <w:pPr>
              <w:ind w:left="540"/>
              <w:spacing w:after="0"/>
              <w:rPr>
                <w:sz w:val="20"/>
                <w:szCs w:val="20"/>
                <w:color w:val="auto"/>
              </w:rPr>
            </w:pPr>
            <w:r>
              <w:rPr>
                <w:rFonts w:ascii="Arial" w:cs="Arial" w:eastAsia="Arial" w:hAnsi="Arial"/>
                <w:sz w:val="18"/>
                <w:szCs w:val="18"/>
                <w:color w:val="auto"/>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2,154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Basic EPS</w:t>
            </w:r>
          </w:p>
        </w:tc>
        <w:tc>
          <w:tcPr>
            <w:tcW w:w="2740" w:type="dxa"/>
            <w:vAlign w:val="bottom"/>
          </w:tcPr>
          <w:p>
            <w:pPr>
              <w:ind w:left="228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452"/>
              <w:spacing w:after="0"/>
              <w:rPr>
                <w:sz w:val="20"/>
                <w:szCs w:val="20"/>
                <w:color w:val="auto"/>
              </w:rPr>
            </w:pPr>
            <w:r>
              <w:rPr>
                <w:rFonts w:ascii="Arial" w:cs="Arial" w:eastAsia="Arial" w:hAnsi="Arial"/>
                <w:sz w:val="18"/>
                <w:szCs w:val="18"/>
                <w:color w:val="auto"/>
              </w:rPr>
              <w:t>0.38</w:t>
            </w:r>
          </w:p>
        </w:tc>
        <w:tc>
          <w:tcPr>
            <w:tcW w:w="920" w:type="dxa"/>
            <w:vAlign w:val="bottom"/>
          </w:tcPr>
          <w:p>
            <w:pPr>
              <w:ind w:left="5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0.68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E5E5E5"/>
          </w:tcPr>
          <w:p>
            <w:pPr>
              <w:spacing w:after="0"/>
              <w:rPr>
                <w:sz w:val="20"/>
                <w:szCs w:val="20"/>
                <w:color w:val="auto"/>
              </w:rPr>
            </w:pPr>
            <w:r>
              <w:rPr>
                <w:rFonts w:ascii="Arial" w:cs="Arial" w:eastAsia="Arial" w:hAnsi="Arial"/>
                <w:sz w:val="18"/>
                <w:szCs w:val="18"/>
                <w:color w:val="auto"/>
              </w:rPr>
              <w:t>Diluted EPS</w:t>
            </w:r>
          </w:p>
        </w:tc>
        <w:tc>
          <w:tcPr>
            <w:tcW w:w="2740" w:type="dxa"/>
            <w:vAlign w:val="bottom"/>
            <w:shd w:val="clear" w:color="auto" w:fill="E5E5E5"/>
          </w:tcPr>
          <w:p>
            <w:pPr>
              <w:ind w:left="22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E5E5E5"/>
          </w:tcPr>
          <w:p>
            <w:pPr>
              <w:jc w:val="right"/>
              <w:ind w:right="452"/>
              <w:spacing w:after="0"/>
              <w:rPr>
                <w:sz w:val="20"/>
                <w:szCs w:val="20"/>
                <w:color w:val="auto"/>
              </w:rPr>
            </w:pPr>
            <w:r>
              <w:rPr>
                <w:rFonts w:ascii="Arial" w:cs="Arial" w:eastAsia="Arial" w:hAnsi="Arial"/>
                <w:sz w:val="18"/>
                <w:szCs w:val="18"/>
                <w:color w:val="auto"/>
              </w:rPr>
              <w:t>0.38</w:t>
            </w:r>
          </w:p>
        </w:tc>
        <w:tc>
          <w:tcPr>
            <w:tcW w:w="920" w:type="dxa"/>
            <w:vAlign w:val="bottom"/>
            <w:shd w:val="clear" w:color="auto" w:fill="E5E5E5"/>
          </w:tcPr>
          <w:p>
            <w:pPr>
              <w:ind w:left="540"/>
              <w:spacing w:after="0"/>
              <w:rPr>
                <w:sz w:val="20"/>
                <w:szCs w:val="20"/>
                <w:color w:val="auto"/>
              </w:rPr>
            </w:pPr>
            <w:r>
              <w:rPr>
                <w:rFonts w:ascii="Arial" w:cs="Arial" w:eastAsia="Arial" w:hAnsi="Arial"/>
                <w:sz w:val="18"/>
                <w:szCs w:val="18"/>
                <w:color w:val="auto"/>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0.68</w:t>
            </w:r>
          </w:p>
        </w:tc>
        <w:tc>
          <w:tcPr>
            <w:tcW w:w="20" w:type="dxa"/>
            <w:vAlign w:val="bottom"/>
          </w:tcPr>
          <w:p>
            <w:pPr>
              <w:spacing w:after="0"/>
              <w:rPr>
                <w:sz w:val="18"/>
                <w:szCs w:val="18"/>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Acquisitions</w:t>
      </w:r>
    </w:p>
    <w:p>
      <w:pPr>
        <w:spacing w:after="0" w:line="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August 2007, we acquired the cable system of Patriot Media serving approximately 81,000 video subscribers in central New Jersey. In June 2007, we acquired Rainbow Media Holdings LLC’s 60% interest in Bay Area SportsNet and its 50% interest in Sports Channel New England, expanding our regional sports networks. The completion of this transaction resulted in our 100% ownership in Sports Channel New England and 60% ownership in Bay Area SportsNet. The results of operations of Patriot Media, Bay Area SportsNet and Sports Channel New England have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SEPTEMBER 30, 2007</w:t>
      </w:r>
    </w:p>
    <w:p>
      <w:pPr>
        <w:spacing w:after="0" w:line="13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been included in our consolidated financial statements since their acquisition dates and are reported in our Cable segment. In April 2007, we acquired Fandango, an online entertainment site and movie-ticket service. The results of operations of Fandango have been included in our consolidated financial statements since the acquisition date and are reported in Corporate and Other. None of these acquisitions were material to our consolidated financial statements for the three and nine months ended September 30, 2007.</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Investments</w:t>
      </w:r>
    </w:p>
    <w:p>
      <w:pPr>
        <w:spacing w:after="0" w:line="13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2100" w:type="dxa"/>
            <w:vAlign w:val="bottom"/>
            <w:gridSpan w:val="2"/>
          </w:tcPr>
          <w:p>
            <w:pPr>
              <w:ind w:left="840"/>
              <w:spacing w:after="0"/>
              <w:rPr>
                <w:sz w:val="20"/>
                <w:szCs w:val="20"/>
                <w:color w:val="auto"/>
              </w:rPr>
            </w:pPr>
            <w:r>
              <w:rPr>
                <w:rFonts w:ascii="Arial" w:cs="Arial" w:eastAsia="Arial" w:hAnsi="Arial"/>
                <w:sz w:val="14"/>
                <w:szCs w:val="14"/>
                <w:b w:val="1"/>
                <w:bCs w:val="1"/>
                <w:color w:val="auto"/>
              </w:rPr>
              <w:t>September 30,</w:t>
            </w:r>
          </w:p>
        </w:tc>
        <w:tc>
          <w:tcPr>
            <w:tcW w:w="1240" w:type="dxa"/>
            <w:vAlign w:val="bottom"/>
            <w:gridSpan w:val="2"/>
          </w:tcPr>
          <w:p>
            <w:pPr>
              <w:ind w:left="440"/>
              <w:spacing w:after="0"/>
              <w:rPr>
                <w:sz w:val="20"/>
                <w:szCs w:val="20"/>
                <w:color w:val="auto"/>
              </w:rPr>
            </w:pPr>
            <w:r>
              <w:rPr>
                <w:rFonts w:ascii="Arial" w:cs="Arial" w:eastAsia="Arial" w:hAnsi="Arial"/>
                <w:sz w:val="14"/>
                <w:szCs w:val="14"/>
                <w:b w:val="1"/>
                <w:bCs w:val="1"/>
                <w:color w:val="auto"/>
                <w:w w:val="85"/>
              </w:rPr>
              <w:t>December 31,</w:t>
            </w:r>
          </w:p>
        </w:tc>
      </w:tr>
      <w:tr>
        <w:trPr>
          <w:trHeight w:val="161"/>
        </w:trPr>
        <w:tc>
          <w:tcPr>
            <w:tcW w:w="69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020" w:type="dxa"/>
            <w:vAlign w:val="bottom"/>
          </w:tcPr>
          <w:p>
            <w:pPr>
              <w:spacing w:after="0"/>
              <w:rPr>
                <w:sz w:val="14"/>
                <w:szCs w:val="14"/>
                <w:color w:val="auto"/>
              </w:rPr>
            </w:pPr>
          </w:p>
        </w:tc>
        <w:tc>
          <w:tcPr>
            <w:tcW w:w="1080" w:type="dxa"/>
            <w:vAlign w:val="bottom"/>
          </w:tcPr>
          <w:p>
            <w:pPr>
              <w:jc w:val="right"/>
              <w:ind w:right="633"/>
              <w:spacing w:after="0"/>
              <w:rPr>
                <w:sz w:val="20"/>
                <w:szCs w:val="20"/>
                <w:color w:val="auto"/>
              </w:rPr>
            </w:pPr>
            <w:r>
              <w:rPr>
                <w:rFonts w:ascii="Arial" w:cs="Arial" w:eastAsia="Arial" w:hAnsi="Arial"/>
                <w:sz w:val="14"/>
                <w:szCs w:val="14"/>
                <w:b w:val="1"/>
                <w:bCs w:val="1"/>
                <w:color w:val="auto"/>
              </w:rPr>
              <w:t>2007</w:t>
            </w:r>
          </w:p>
        </w:tc>
        <w:tc>
          <w:tcPr>
            <w:tcW w:w="600" w:type="dxa"/>
            <w:vAlign w:val="bottom"/>
          </w:tcPr>
          <w:p>
            <w:pPr>
              <w:spacing w:after="0"/>
              <w:rPr>
                <w:sz w:val="14"/>
                <w:szCs w:val="14"/>
                <w:color w:val="auto"/>
              </w:rPr>
            </w:pPr>
          </w:p>
        </w:tc>
        <w:tc>
          <w:tcPr>
            <w:tcW w:w="640" w:type="dxa"/>
            <w:vAlign w:val="bottom"/>
          </w:tcPr>
          <w:p>
            <w:pPr>
              <w:jc w:val="right"/>
              <w:ind w:right="193"/>
              <w:spacing w:after="0"/>
              <w:rPr>
                <w:sz w:val="20"/>
                <w:szCs w:val="20"/>
                <w:color w:val="auto"/>
              </w:rPr>
            </w:pPr>
            <w:r>
              <w:rPr>
                <w:rFonts w:ascii="Arial" w:cs="Arial" w:eastAsia="Arial" w:hAnsi="Arial"/>
                <w:sz w:val="14"/>
                <w:szCs w:val="14"/>
                <w:b w:val="1"/>
                <w:bCs w:val="1"/>
                <w:color w:val="auto"/>
              </w:rPr>
              <w:t>2006</w:t>
            </w:r>
          </w:p>
        </w:tc>
      </w:tr>
      <w:tr>
        <w:trPr>
          <w:trHeight w:val="210"/>
        </w:trPr>
        <w:tc>
          <w:tcPr>
            <w:tcW w:w="20" w:type="dxa"/>
            <w:vAlign w:val="bottom"/>
          </w:tcPr>
          <w:p>
            <w:pPr>
              <w:spacing w:after="0"/>
              <w:rPr>
                <w:sz w:val="18"/>
                <w:szCs w:val="18"/>
                <w:color w:val="auto"/>
              </w:rPr>
            </w:pPr>
          </w:p>
        </w:tc>
        <w:tc>
          <w:tcPr>
            <w:tcW w:w="69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Fair value method</w:t>
            </w:r>
          </w:p>
        </w:tc>
        <w:tc>
          <w:tcPr>
            <w:tcW w:w="1020" w:type="dxa"/>
            <w:vAlign w:val="bottom"/>
            <w:tcBorders>
              <w:top w:val="single" w:sz="8" w:color="auto"/>
            </w:tcBorders>
            <w:shd w:val="clear" w:color="auto" w:fill="E5E5E5"/>
          </w:tcPr>
          <w:p>
            <w:pPr>
              <w:spacing w:after="0"/>
              <w:rPr>
                <w:sz w:val="18"/>
                <w:szCs w:val="18"/>
                <w:color w:val="auto"/>
              </w:rPr>
            </w:pPr>
          </w:p>
        </w:tc>
        <w:tc>
          <w:tcPr>
            <w:tcW w:w="108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420"/>
              <w:spacing w:after="0"/>
              <w:rPr>
                <w:sz w:val="20"/>
                <w:szCs w:val="20"/>
                <w:color w:val="auto"/>
              </w:rPr>
            </w:pPr>
            <w:r>
              <w:rPr>
                <w:rFonts w:ascii="Arial" w:cs="Arial" w:eastAsia="Arial" w:hAnsi="Arial"/>
                <w:sz w:val="18"/>
                <w:szCs w:val="18"/>
                <w:color w:val="auto"/>
              </w:rPr>
              <w:t>Cablevision Systems Corporation</w:t>
            </w:r>
          </w:p>
        </w:tc>
        <w:tc>
          <w:tcPr>
            <w:tcW w:w="1020" w:type="dxa"/>
            <w:vAlign w:val="bottom"/>
          </w:tcPr>
          <w:p>
            <w:pPr>
              <w:ind w:left="8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53"/>
              <w:spacing w:after="0"/>
              <w:rPr>
                <w:sz w:val="20"/>
                <w:szCs w:val="20"/>
                <w:color w:val="auto"/>
              </w:rPr>
            </w:pPr>
            <w:r>
              <w:rPr>
                <w:rFonts w:ascii="Arial" w:cs="Arial" w:eastAsia="Arial" w:hAnsi="Arial"/>
                <w:sz w:val="18"/>
                <w:szCs w:val="18"/>
                <w:color w:val="auto"/>
              </w:rPr>
              <w:t>179</w:t>
            </w:r>
          </w:p>
        </w:tc>
        <w:tc>
          <w:tcPr>
            <w:tcW w:w="600" w:type="dxa"/>
            <w:vAlign w:val="bottom"/>
          </w:tcPr>
          <w:p>
            <w:pPr>
              <w:ind w:left="4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16"/>
        </w:trPr>
        <w:tc>
          <w:tcPr>
            <w:tcW w:w="20" w:type="dxa"/>
            <w:vAlign w:val="bottom"/>
          </w:tcPr>
          <w:p>
            <w:pPr>
              <w:spacing w:after="0"/>
              <w:rPr>
                <w:sz w:val="18"/>
                <w:szCs w:val="18"/>
                <w:color w:val="auto"/>
              </w:rPr>
            </w:pPr>
          </w:p>
        </w:tc>
        <w:tc>
          <w:tcPr>
            <w:tcW w:w="69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Discovery Holding Company</w:t>
            </w:r>
          </w:p>
        </w:tc>
        <w:tc>
          <w:tcPr>
            <w:tcW w:w="1020" w:type="dxa"/>
            <w:vAlign w:val="bottom"/>
            <w:shd w:val="clear" w:color="auto" w:fill="E5E5E5"/>
          </w:tcPr>
          <w:p>
            <w:pPr>
              <w:spacing w:after="0"/>
              <w:rPr>
                <w:sz w:val="18"/>
                <w:szCs w:val="18"/>
                <w:color w:val="auto"/>
              </w:rPr>
            </w:pPr>
          </w:p>
        </w:tc>
        <w:tc>
          <w:tcPr>
            <w:tcW w:w="1080" w:type="dxa"/>
            <w:vAlign w:val="bottom"/>
            <w:shd w:val="clear" w:color="auto" w:fill="E5E5E5"/>
          </w:tcPr>
          <w:p>
            <w:pPr>
              <w:jc w:val="right"/>
              <w:ind w:right="353"/>
              <w:spacing w:after="0"/>
              <w:rPr>
                <w:sz w:val="20"/>
                <w:szCs w:val="20"/>
                <w:color w:val="auto"/>
              </w:rPr>
            </w:pPr>
            <w:r>
              <w:rPr>
                <w:rFonts w:ascii="Arial" w:cs="Arial" w:eastAsia="Arial" w:hAnsi="Arial"/>
                <w:sz w:val="18"/>
                <w:szCs w:val="18"/>
                <w:color w:val="auto"/>
              </w:rPr>
              <w:t>289</w:t>
            </w:r>
          </w:p>
        </w:tc>
        <w:tc>
          <w:tcPr>
            <w:tcW w:w="60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161</w:t>
            </w:r>
          </w:p>
        </w:tc>
      </w:tr>
      <w:tr>
        <w:trPr>
          <w:trHeight w:val="216"/>
        </w:trPr>
        <w:tc>
          <w:tcPr>
            <w:tcW w:w="20" w:type="dxa"/>
            <w:vAlign w:val="bottom"/>
          </w:tcPr>
          <w:p>
            <w:pPr>
              <w:spacing w:after="0"/>
              <w:rPr>
                <w:sz w:val="18"/>
                <w:szCs w:val="18"/>
                <w:color w:val="auto"/>
              </w:rPr>
            </w:pPr>
          </w:p>
        </w:tc>
        <w:tc>
          <w:tcPr>
            <w:tcW w:w="6920" w:type="dxa"/>
            <w:vAlign w:val="bottom"/>
          </w:tcPr>
          <w:p>
            <w:pPr>
              <w:ind w:left="420"/>
              <w:spacing w:after="0"/>
              <w:rPr>
                <w:sz w:val="20"/>
                <w:szCs w:val="20"/>
                <w:color w:val="auto"/>
              </w:rPr>
            </w:pPr>
            <w:r>
              <w:rPr>
                <w:rFonts w:ascii="Arial" w:cs="Arial" w:eastAsia="Arial" w:hAnsi="Arial"/>
                <w:sz w:val="18"/>
                <w:szCs w:val="18"/>
                <w:color w:val="auto"/>
              </w:rPr>
              <w:t>Embarq Corporation</w:t>
            </w:r>
          </w:p>
        </w:tc>
        <w:tc>
          <w:tcPr>
            <w:tcW w:w="1020" w:type="dxa"/>
            <w:vAlign w:val="bottom"/>
          </w:tcPr>
          <w:p>
            <w:pPr>
              <w:spacing w:after="0"/>
              <w:rPr>
                <w:sz w:val="18"/>
                <w:szCs w:val="18"/>
                <w:color w:val="auto"/>
              </w:rPr>
            </w:pPr>
          </w:p>
        </w:tc>
        <w:tc>
          <w:tcPr>
            <w:tcW w:w="1080" w:type="dxa"/>
            <w:vAlign w:val="bottom"/>
          </w:tcPr>
          <w:p>
            <w:pPr>
              <w:jc w:val="right"/>
              <w:ind w:right="353"/>
              <w:spacing w:after="0"/>
              <w:rPr>
                <w:sz w:val="20"/>
                <w:szCs w:val="20"/>
                <w:color w:val="auto"/>
              </w:rPr>
            </w:pPr>
            <w:r>
              <w:rPr>
                <w:rFonts w:ascii="Arial" w:cs="Arial" w:eastAsia="Arial" w:hAnsi="Arial"/>
                <w:sz w:val="18"/>
                <w:szCs w:val="18"/>
                <w:color w:val="auto"/>
              </w:rPr>
              <w:t>6</w:t>
            </w:r>
          </w:p>
        </w:tc>
        <w:tc>
          <w:tcPr>
            <w:tcW w:w="6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20" w:type="dxa"/>
            <w:vAlign w:val="bottom"/>
          </w:tcPr>
          <w:p>
            <w:pPr>
              <w:spacing w:after="0"/>
              <w:rPr>
                <w:sz w:val="18"/>
                <w:szCs w:val="18"/>
                <w:color w:val="auto"/>
              </w:rPr>
            </w:pPr>
          </w:p>
        </w:tc>
        <w:tc>
          <w:tcPr>
            <w:tcW w:w="69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GSI Commerce</w:t>
            </w:r>
          </w:p>
        </w:tc>
        <w:tc>
          <w:tcPr>
            <w:tcW w:w="1020" w:type="dxa"/>
            <w:vAlign w:val="bottom"/>
            <w:shd w:val="clear" w:color="auto" w:fill="E5E5E5"/>
          </w:tcPr>
          <w:p>
            <w:pPr>
              <w:spacing w:after="0"/>
              <w:rPr>
                <w:sz w:val="18"/>
                <w:szCs w:val="18"/>
                <w:color w:val="auto"/>
              </w:rPr>
            </w:pPr>
          </w:p>
        </w:tc>
        <w:tc>
          <w:tcPr>
            <w:tcW w:w="1080" w:type="dxa"/>
            <w:vAlign w:val="bottom"/>
            <w:shd w:val="clear" w:color="auto" w:fill="E5E5E5"/>
          </w:tcPr>
          <w:p>
            <w:pPr>
              <w:jc w:val="right"/>
              <w:ind w:right="353"/>
              <w:spacing w:after="0"/>
              <w:rPr>
                <w:sz w:val="20"/>
                <w:szCs w:val="20"/>
                <w:color w:val="auto"/>
              </w:rPr>
            </w:pPr>
            <w:r>
              <w:rPr>
                <w:rFonts w:ascii="Arial" w:cs="Arial" w:eastAsia="Arial" w:hAnsi="Arial"/>
                <w:sz w:val="18"/>
                <w:szCs w:val="18"/>
                <w:color w:val="auto"/>
              </w:rPr>
              <w:t>—</w:t>
            </w:r>
          </w:p>
        </w:tc>
        <w:tc>
          <w:tcPr>
            <w:tcW w:w="60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20" w:type="dxa"/>
            <w:vAlign w:val="bottom"/>
          </w:tcPr>
          <w:p>
            <w:pPr>
              <w:spacing w:after="0"/>
              <w:rPr>
                <w:sz w:val="18"/>
                <w:szCs w:val="18"/>
                <w:color w:val="auto"/>
              </w:rPr>
            </w:pPr>
          </w:p>
        </w:tc>
        <w:tc>
          <w:tcPr>
            <w:tcW w:w="6920" w:type="dxa"/>
            <w:vAlign w:val="bottom"/>
          </w:tcPr>
          <w:p>
            <w:pPr>
              <w:ind w:left="420"/>
              <w:spacing w:after="0"/>
              <w:rPr>
                <w:sz w:val="20"/>
                <w:szCs w:val="20"/>
                <w:color w:val="auto"/>
              </w:rPr>
            </w:pPr>
            <w:r>
              <w:rPr>
                <w:rFonts w:ascii="Arial" w:cs="Arial" w:eastAsia="Arial" w:hAnsi="Arial"/>
                <w:sz w:val="18"/>
                <w:szCs w:val="18"/>
                <w:color w:val="auto"/>
              </w:rPr>
              <w:t>Liberty Capital</w:t>
            </w:r>
          </w:p>
        </w:tc>
        <w:tc>
          <w:tcPr>
            <w:tcW w:w="1020" w:type="dxa"/>
            <w:vAlign w:val="bottom"/>
          </w:tcPr>
          <w:p>
            <w:pPr>
              <w:spacing w:after="0"/>
              <w:rPr>
                <w:sz w:val="18"/>
                <w:szCs w:val="18"/>
                <w:color w:val="auto"/>
              </w:rPr>
            </w:pPr>
          </w:p>
        </w:tc>
        <w:tc>
          <w:tcPr>
            <w:tcW w:w="1080" w:type="dxa"/>
            <w:vAlign w:val="bottom"/>
          </w:tcPr>
          <w:p>
            <w:pPr>
              <w:jc w:val="right"/>
              <w:ind w:right="353"/>
              <w:spacing w:after="0"/>
              <w:rPr>
                <w:sz w:val="20"/>
                <w:szCs w:val="20"/>
                <w:color w:val="auto"/>
              </w:rPr>
            </w:pPr>
            <w:r>
              <w:rPr>
                <w:rFonts w:ascii="Arial" w:cs="Arial" w:eastAsia="Arial" w:hAnsi="Arial"/>
                <w:sz w:val="18"/>
                <w:szCs w:val="18"/>
                <w:color w:val="auto"/>
              </w:rPr>
              <w:t>624</w:t>
            </w:r>
          </w:p>
        </w:tc>
        <w:tc>
          <w:tcPr>
            <w:tcW w:w="6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490</w:t>
            </w:r>
          </w:p>
        </w:tc>
      </w:tr>
      <w:tr>
        <w:trPr>
          <w:trHeight w:val="216"/>
        </w:trPr>
        <w:tc>
          <w:tcPr>
            <w:tcW w:w="20" w:type="dxa"/>
            <w:vAlign w:val="bottom"/>
          </w:tcPr>
          <w:p>
            <w:pPr>
              <w:spacing w:after="0"/>
              <w:rPr>
                <w:sz w:val="18"/>
                <w:szCs w:val="18"/>
                <w:color w:val="auto"/>
              </w:rPr>
            </w:pPr>
          </w:p>
        </w:tc>
        <w:tc>
          <w:tcPr>
            <w:tcW w:w="69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Liberty Global</w:t>
            </w:r>
          </w:p>
        </w:tc>
        <w:tc>
          <w:tcPr>
            <w:tcW w:w="1020" w:type="dxa"/>
            <w:vAlign w:val="bottom"/>
            <w:shd w:val="clear" w:color="auto" w:fill="E5E5E5"/>
          </w:tcPr>
          <w:p>
            <w:pPr>
              <w:spacing w:after="0"/>
              <w:rPr>
                <w:sz w:val="18"/>
                <w:szCs w:val="18"/>
                <w:color w:val="auto"/>
              </w:rPr>
            </w:pPr>
          </w:p>
        </w:tc>
        <w:tc>
          <w:tcPr>
            <w:tcW w:w="1080" w:type="dxa"/>
            <w:vAlign w:val="bottom"/>
            <w:shd w:val="clear" w:color="auto" w:fill="E5E5E5"/>
          </w:tcPr>
          <w:p>
            <w:pPr>
              <w:jc w:val="right"/>
              <w:ind w:right="353"/>
              <w:spacing w:after="0"/>
              <w:rPr>
                <w:sz w:val="20"/>
                <w:szCs w:val="20"/>
                <w:color w:val="auto"/>
              </w:rPr>
            </w:pPr>
            <w:r>
              <w:rPr>
                <w:rFonts w:ascii="Arial" w:cs="Arial" w:eastAsia="Arial" w:hAnsi="Arial"/>
                <w:sz w:val="18"/>
                <w:szCs w:val="18"/>
                <w:color w:val="auto"/>
              </w:rPr>
              <w:t>612</w:t>
            </w:r>
          </w:p>
        </w:tc>
        <w:tc>
          <w:tcPr>
            <w:tcW w:w="60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439</w:t>
            </w:r>
          </w:p>
        </w:tc>
      </w:tr>
      <w:tr>
        <w:trPr>
          <w:trHeight w:val="216"/>
        </w:trPr>
        <w:tc>
          <w:tcPr>
            <w:tcW w:w="20" w:type="dxa"/>
            <w:vAlign w:val="bottom"/>
          </w:tcPr>
          <w:p>
            <w:pPr>
              <w:spacing w:after="0"/>
              <w:rPr>
                <w:sz w:val="18"/>
                <w:szCs w:val="18"/>
                <w:color w:val="auto"/>
              </w:rPr>
            </w:pPr>
          </w:p>
        </w:tc>
        <w:tc>
          <w:tcPr>
            <w:tcW w:w="6920" w:type="dxa"/>
            <w:vAlign w:val="bottom"/>
          </w:tcPr>
          <w:p>
            <w:pPr>
              <w:ind w:left="420"/>
              <w:spacing w:after="0"/>
              <w:rPr>
                <w:sz w:val="20"/>
                <w:szCs w:val="20"/>
                <w:color w:val="auto"/>
              </w:rPr>
            </w:pPr>
            <w:r>
              <w:rPr>
                <w:rFonts w:ascii="Arial" w:cs="Arial" w:eastAsia="Arial" w:hAnsi="Arial"/>
                <w:sz w:val="18"/>
                <w:szCs w:val="18"/>
                <w:color w:val="auto"/>
              </w:rPr>
              <w:t>Liberty Interactive</w:t>
            </w:r>
          </w:p>
        </w:tc>
        <w:tc>
          <w:tcPr>
            <w:tcW w:w="1020" w:type="dxa"/>
            <w:vAlign w:val="bottom"/>
          </w:tcPr>
          <w:p>
            <w:pPr>
              <w:spacing w:after="0"/>
              <w:rPr>
                <w:sz w:val="18"/>
                <w:szCs w:val="18"/>
                <w:color w:val="auto"/>
              </w:rPr>
            </w:pPr>
          </w:p>
        </w:tc>
        <w:tc>
          <w:tcPr>
            <w:tcW w:w="1080" w:type="dxa"/>
            <w:vAlign w:val="bottom"/>
          </w:tcPr>
          <w:p>
            <w:pPr>
              <w:jc w:val="right"/>
              <w:ind w:right="353"/>
              <w:spacing w:after="0"/>
              <w:rPr>
                <w:sz w:val="20"/>
                <w:szCs w:val="20"/>
                <w:color w:val="auto"/>
              </w:rPr>
            </w:pPr>
            <w:r>
              <w:rPr>
                <w:rFonts w:ascii="Arial" w:cs="Arial" w:eastAsia="Arial" w:hAnsi="Arial"/>
                <w:sz w:val="18"/>
                <w:szCs w:val="18"/>
                <w:color w:val="auto"/>
              </w:rPr>
              <w:t>480</w:t>
            </w:r>
          </w:p>
        </w:tc>
        <w:tc>
          <w:tcPr>
            <w:tcW w:w="6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539</w:t>
            </w:r>
          </w:p>
        </w:tc>
      </w:tr>
      <w:tr>
        <w:trPr>
          <w:trHeight w:val="216"/>
        </w:trPr>
        <w:tc>
          <w:tcPr>
            <w:tcW w:w="20" w:type="dxa"/>
            <w:vAlign w:val="bottom"/>
          </w:tcPr>
          <w:p>
            <w:pPr>
              <w:spacing w:after="0"/>
              <w:rPr>
                <w:sz w:val="18"/>
                <w:szCs w:val="18"/>
                <w:color w:val="auto"/>
              </w:rPr>
            </w:pPr>
          </w:p>
        </w:tc>
        <w:tc>
          <w:tcPr>
            <w:tcW w:w="69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Sprint Nextel</w:t>
            </w:r>
          </w:p>
        </w:tc>
        <w:tc>
          <w:tcPr>
            <w:tcW w:w="1020" w:type="dxa"/>
            <w:vAlign w:val="bottom"/>
            <w:shd w:val="clear" w:color="auto" w:fill="E5E5E5"/>
          </w:tcPr>
          <w:p>
            <w:pPr>
              <w:spacing w:after="0"/>
              <w:rPr>
                <w:sz w:val="18"/>
                <w:szCs w:val="18"/>
                <w:color w:val="auto"/>
              </w:rPr>
            </w:pPr>
          </w:p>
        </w:tc>
        <w:tc>
          <w:tcPr>
            <w:tcW w:w="1080" w:type="dxa"/>
            <w:vAlign w:val="bottom"/>
            <w:shd w:val="clear" w:color="auto" w:fill="E5E5E5"/>
          </w:tcPr>
          <w:p>
            <w:pPr>
              <w:jc w:val="right"/>
              <w:ind w:right="353"/>
              <w:spacing w:after="0"/>
              <w:rPr>
                <w:sz w:val="20"/>
                <w:szCs w:val="20"/>
                <w:color w:val="auto"/>
              </w:rPr>
            </w:pPr>
            <w:r>
              <w:rPr>
                <w:rFonts w:ascii="Arial" w:cs="Arial" w:eastAsia="Arial" w:hAnsi="Arial"/>
                <w:sz w:val="18"/>
                <w:szCs w:val="18"/>
                <w:color w:val="auto"/>
              </w:rPr>
              <w:t>38</w:t>
            </w:r>
          </w:p>
        </w:tc>
        <w:tc>
          <w:tcPr>
            <w:tcW w:w="60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493</w:t>
            </w:r>
          </w:p>
        </w:tc>
      </w:tr>
      <w:tr>
        <w:trPr>
          <w:trHeight w:val="216"/>
        </w:trPr>
        <w:tc>
          <w:tcPr>
            <w:tcW w:w="20" w:type="dxa"/>
            <w:vAlign w:val="bottom"/>
          </w:tcPr>
          <w:p>
            <w:pPr>
              <w:spacing w:after="0"/>
              <w:rPr>
                <w:sz w:val="18"/>
                <w:szCs w:val="18"/>
                <w:color w:val="auto"/>
              </w:rPr>
            </w:pPr>
          </w:p>
        </w:tc>
        <w:tc>
          <w:tcPr>
            <w:tcW w:w="6920" w:type="dxa"/>
            <w:vAlign w:val="bottom"/>
          </w:tcPr>
          <w:p>
            <w:pPr>
              <w:ind w:left="420"/>
              <w:spacing w:after="0"/>
              <w:rPr>
                <w:sz w:val="20"/>
                <w:szCs w:val="20"/>
                <w:color w:val="auto"/>
              </w:rPr>
            </w:pPr>
            <w:r>
              <w:rPr>
                <w:rFonts w:ascii="Arial" w:cs="Arial" w:eastAsia="Arial" w:hAnsi="Arial"/>
                <w:sz w:val="18"/>
                <w:szCs w:val="18"/>
                <w:color w:val="auto"/>
              </w:rPr>
              <w:t>Time Warner Inc.</w:t>
            </w:r>
          </w:p>
        </w:tc>
        <w:tc>
          <w:tcPr>
            <w:tcW w:w="1020" w:type="dxa"/>
            <w:vAlign w:val="bottom"/>
          </w:tcPr>
          <w:p>
            <w:pPr>
              <w:spacing w:after="0"/>
              <w:rPr>
                <w:sz w:val="18"/>
                <w:szCs w:val="18"/>
                <w:color w:val="auto"/>
              </w:rPr>
            </w:pPr>
          </w:p>
        </w:tc>
        <w:tc>
          <w:tcPr>
            <w:tcW w:w="1080" w:type="dxa"/>
            <w:vAlign w:val="bottom"/>
          </w:tcPr>
          <w:p>
            <w:pPr>
              <w:jc w:val="right"/>
              <w:ind w:right="353"/>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1,052</w:t>
            </w:r>
          </w:p>
        </w:tc>
      </w:tr>
      <w:tr>
        <w:trPr>
          <w:trHeight w:val="216"/>
        </w:trPr>
        <w:tc>
          <w:tcPr>
            <w:tcW w:w="20" w:type="dxa"/>
            <w:vAlign w:val="bottom"/>
          </w:tcPr>
          <w:p>
            <w:pPr>
              <w:spacing w:after="0"/>
              <w:rPr>
                <w:sz w:val="18"/>
                <w:szCs w:val="18"/>
                <w:color w:val="auto"/>
              </w:rPr>
            </w:pPr>
          </w:p>
        </w:tc>
        <w:tc>
          <w:tcPr>
            <w:tcW w:w="69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Vodafone</w:t>
            </w:r>
          </w:p>
        </w:tc>
        <w:tc>
          <w:tcPr>
            <w:tcW w:w="1020" w:type="dxa"/>
            <w:vAlign w:val="bottom"/>
            <w:shd w:val="clear" w:color="auto" w:fill="E5E5E5"/>
          </w:tcPr>
          <w:p>
            <w:pPr>
              <w:spacing w:after="0"/>
              <w:rPr>
                <w:sz w:val="18"/>
                <w:szCs w:val="18"/>
                <w:color w:val="auto"/>
              </w:rPr>
            </w:pPr>
          </w:p>
        </w:tc>
        <w:tc>
          <w:tcPr>
            <w:tcW w:w="1080" w:type="dxa"/>
            <w:vAlign w:val="bottom"/>
            <w:shd w:val="clear" w:color="auto" w:fill="E5E5E5"/>
          </w:tcPr>
          <w:p>
            <w:pPr>
              <w:jc w:val="right"/>
              <w:ind w:right="353"/>
              <w:spacing w:after="0"/>
              <w:rPr>
                <w:sz w:val="20"/>
                <w:szCs w:val="20"/>
                <w:color w:val="auto"/>
              </w:rPr>
            </w:pPr>
            <w:r>
              <w:rPr>
                <w:rFonts w:ascii="Arial" w:cs="Arial" w:eastAsia="Arial" w:hAnsi="Arial"/>
                <w:sz w:val="18"/>
                <w:szCs w:val="18"/>
                <w:color w:val="auto"/>
              </w:rPr>
              <w:t>—</w:t>
            </w:r>
          </w:p>
        </w:tc>
        <w:tc>
          <w:tcPr>
            <w:tcW w:w="60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20" w:type="dxa"/>
            <w:vAlign w:val="bottom"/>
          </w:tcPr>
          <w:p>
            <w:pPr>
              <w:spacing w:after="0"/>
              <w:rPr>
                <w:sz w:val="18"/>
                <w:szCs w:val="18"/>
                <w:color w:val="auto"/>
              </w:rPr>
            </w:pPr>
          </w:p>
        </w:tc>
        <w:tc>
          <w:tcPr>
            <w:tcW w:w="6920" w:type="dxa"/>
            <w:vAlign w:val="bottom"/>
          </w:tcPr>
          <w:p>
            <w:pPr>
              <w:ind w:left="420"/>
              <w:spacing w:after="0"/>
              <w:rPr>
                <w:sz w:val="20"/>
                <w:szCs w:val="20"/>
                <w:color w:val="auto"/>
              </w:rPr>
            </w:pPr>
            <w:r>
              <w:rPr>
                <w:rFonts w:ascii="Arial" w:cs="Arial" w:eastAsia="Arial" w:hAnsi="Arial"/>
                <w:sz w:val="18"/>
                <w:szCs w:val="18"/>
                <w:color w:val="auto"/>
              </w:rPr>
              <w:t>Other</w:t>
            </w:r>
          </w:p>
        </w:tc>
        <w:tc>
          <w:tcPr>
            <w:tcW w:w="10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3"/>
              <w:spacing w:after="0"/>
              <w:rPr>
                <w:sz w:val="20"/>
                <w:szCs w:val="20"/>
                <w:color w:val="auto"/>
              </w:rPr>
            </w:pPr>
            <w:r>
              <w:rPr>
                <w:rFonts w:ascii="Arial" w:cs="Arial" w:eastAsia="Arial" w:hAnsi="Arial"/>
                <w:sz w:val="18"/>
                <w:szCs w:val="18"/>
                <w:color w:val="auto"/>
              </w:rPr>
              <w:t>7</w:t>
            </w:r>
          </w:p>
        </w:tc>
        <w:tc>
          <w:tcPr>
            <w:tcW w:w="6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10"/>
        </w:trPr>
        <w:tc>
          <w:tcPr>
            <w:tcW w:w="20" w:type="dxa"/>
            <w:vAlign w:val="bottom"/>
          </w:tcPr>
          <w:p>
            <w:pPr>
              <w:spacing w:after="0"/>
              <w:rPr>
                <w:sz w:val="18"/>
                <w:szCs w:val="18"/>
                <w:color w:val="auto"/>
              </w:rPr>
            </w:pPr>
          </w:p>
        </w:tc>
        <w:tc>
          <w:tcPr>
            <w:tcW w:w="6920" w:type="dxa"/>
            <w:vAlign w:val="bottom"/>
            <w:shd w:val="clear" w:color="auto" w:fill="E5E5E5"/>
          </w:tcPr>
          <w:p>
            <w:pPr>
              <w:spacing w:after="0"/>
              <w:rPr>
                <w:sz w:val="18"/>
                <w:szCs w:val="18"/>
                <w:color w:val="auto"/>
              </w:rPr>
            </w:pPr>
          </w:p>
        </w:tc>
        <w:tc>
          <w:tcPr>
            <w:tcW w:w="1020" w:type="dxa"/>
            <w:vAlign w:val="bottom"/>
            <w:shd w:val="clear" w:color="auto" w:fill="E5E5E5"/>
          </w:tcPr>
          <w:p>
            <w:pPr>
              <w:spacing w:after="0"/>
              <w:rPr>
                <w:sz w:val="18"/>
                <w:szCs w:val="18"/>
                <w:color w:val="auto"/>
              </w:rPr>
            </w:pPr>
          </w:p>
        </w:tc>
        <w:tc>
          <w:tcPr>
            <w:tcW w:w="1080" w:type="dxa"/>
            <w:vAlign w:val="bottom"/>
            <w:shd w:val="clear" w:color="auto" w:fill="E5E5E5"/>
          </w:tcPr>
          <w:p>
            <w:pPr>
              <w:jc w:val="right"/>
              <w:ind w:right="353"/>
              <w:spacing w:after="0"/>
              <w:rPr>
                <w:sz w:val="20"/>
                <w:szCs w:val="20"/>
                <w:color w:val="auto"/>
              </w:rPr>
            </w:pPr>
            <w:r>
              <w:rPr>
                <w:rFonts w:ascii="Arial" w:cs="Arial" w:eastAsia="Arial" w:hAnsi="Arial"/>
                <w:sz w:val="18"/>
                <w:szCs w:val="18"/>
                <w:color w:val="auto"/>
              </w:rPr>
              <w:t>2,235</w:t>
            </w:r>
          </w:p>
        </w:tc>
        <w:tc>
          <w:tcPr>
            <w:tcW w:w="60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3,513</w:t>
            </w: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Equity method, primarily cable-related and SpectrumCo, LLC</w:t>
            </w:r>
          </w:p>
        </w:tc>
        <w:tc>
          <w:tcPr>
            <w:tcW w:w="1020" w:type="dxa"/>
            <w:vAlign w:val="bottom"/>
          </w:tcPr>
          <w:p>
            <w:pPr>
              <w:spacing w:after="0"/>
              <w:rPr>
                <w:sz w:val="18"/>
                <w:szCs w:val="18"/>
                <w:color w:val="auto"/>
              </w:rPr>
            </w:pPr>
          </w:p>
        </w:tc>
        <w:tc>
          <w:tcPr>
            <w:tcW w:w="1080" w:type="dxa"/>
            <w:vAlign w:val="bottom"/>
          </w:tcPr>
          <w:p>
            <w:pPr>
              <w:jc w:val="right"/>
              <w:ind w:right="353"/>
              <w:spacing w:after="0"/>
              <w:rPr>
                <w:sz w:val="20"/>
                <w:szCs w:val="20"/>
                <w:color w:val="auto"/>
              </w:rPr>
            </w:pPr>
            <w:r>
              <w:rPr>
                <w:rFonts w:ascii="Arial" w:cs="Arial" w:eastAsia="Arial" w:hAnsi="Arial"/>
                <w:sz w:val="18"/>
                <w:szCs w:val="18"/>
                <w:color w:val="auto"/>
              </w:rPr>
              <w:t>2,375</w:t>
            </w:r>
          </w:p>
        </w:tc>
        <w:tc>
          <w:tcPr>
            <w:tcW w:w="6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5,394</w:t>
            </w:r>
          </w:p>
        </w:tc>
      </w:tr>
      <w:tr>
        <w:trPr>
          <w:trHeight w:val="216"/>
        </w:trPr>
        <w:tc>
          <w:tcPr>
            <w:tcW w:w="20" w:type="dxa"/>
            <w:vAlign w:val="bottom"/>
          </w:tcPr>
          <w:p>
            <w:pPr>
              <w:spacing w:after="0"/>
              <w:rPr>
                <w:sz w:val="18"/>
                <w:szCs w:val="18"/>
                <w:color w:val="auto"/>
              </w:rPr>
            </w:pPr>
          </w:p>
        </w:tc>
        <w:tc>
          <w:tcPr>
            <w:tcW w:w="692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Cost method, primarily AirTouch</w:t>
            </w:r>
          </w:p>
        </w:tc>
        <w:tc>
          <w:tcPr>
            <w:tcW w:w="1020" w:type="dxa"/>
            <w:vAlign w:val="bottom"/>
            <w:tcBorders>
              <w:bottom w:val="single" w:sz="8" w:color="auto"/>
            </w:tcBorders>
            <w:shd w:val="clear" w:color="auto" w:fill="E5E5E5"/>
          </w:tcPr>
          <w:p>
            <w:pPr>
              <w:spacing w:after="0"/>
              <w:rPr>
                <w:sz w:val="18"/>
                <w:szCs w:val="18"/>
                <w:color w:val="auto"/>
              </w:rPr>
            </w:pPr>
          </w:p>
        </w:tc>
        <w:tc>
          <w:tcPr>
            <w:tcW w:w="1080" w:type="dxa"/>
            <w:vAlign w:val="bottom"/>
            <w:tcBorders>
              <w:bottom w:val="single" w:sz="8" w:color="auto"/>
            </w:tcBorders>
            <w:shd w:val="clear" w:color="auto" w:fill="E5E5E5"/>
          </w:tcPr>
          <w:p>
            <w:pPr>
              <w:jc w:val="right"/>
              <w:ind w:right="353"/>
              <w:spacing w:after="0"/>
              <w:rPr>
                <w:sz w:val="20"/>
                <w:szCs w:val="20"/>
                <w:color w:val="auto"/>
              </w:rPr>
            </w:pPr>
            <w:r>
              <w:rPr>
                <w:rFonts w:ascii="Arial" w:cs="Arial" w:eastAsia="Arial" w:hAnsi="Arial"/>
                <w:sz w:val="18"/>
                <w:szCs w:val="18"/>
                <w:color w:val="auto"/>
              </w:rPr>
              <w:t>1,678</w:t>
            </w:r>
          </w:p>
        </w:tc>
        <w:tc>
          <w:tcPr>
            <w:tcW w:w="60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1,675</w:t>
            </w:r>
          </w:p>
        </w:tc>
      </w:tr>
      <w:tr>
        <w:trPr>
          <w:trHeight w:val="210"/>
        </w:trPr>
        <w:tc>
          <w:tcPr>
            <w:tcW w:w="20" w:type="dxa"/>
            <w:vAlign w:val="bottom"/>
          </w:tcPr>
          <w:p>
            <w:pPr>
              <w:spacing w:after="0"/>
              <w:rPr>
                <w:sz w:val="18"/>
                <w:szCs w:val="18"/>
                <w:color w:val="auto"/>
              </w:rPr>
            </w:pPr>
          </w:p>
        </w:tc>
        <w:tc>
          <w:tcPr>
            <w:tcW w:w="6920" w:type="dxa"/>
            <w:vAlign w:val="bottom"/>
          </w:tcPr>
          <w:p>
            <w:pPr>
              <w:ind w:left="420"/>
              <w:spacing w:after="0"/>
              <w:rPr>
                <w:sz w:val="20"/>
                <w:szCs w:val="20"/>
                <w:color w:val="auto"/>
              </w:rPr>
            </w:pPr>
            <w:r>
              <w:rPr>
                <w:rFonts w:ascii="Arial" w:cs="Arial" w:eastAsia="Arial" w:hAnsi="Arial"/>
                <w:sz w:val="18"/>
                <w:szCs w:val="18"/>
                <w:color w:val="auto"/>
              </w:rPr>
              <w:t>Total investments</w:t>
            </w:r>
          </w:p>
        </w:tc>
        <w:tc>
          <w:tcPr>
            <w:tcW w:w="1020" w:type="dxa"/>
            <w:vAlign w:val="bottom"/>
          </w:tcPr>
          <w:p>
            <w:pPr>
              <w:spacing w:after="0"/>
              <w:rPr>
                <w:sz w:val="18"/>
                <w:szCs w:val="18"/>
                <w:color w:val="auto"/>
              </w:rPr>
            </w:pPr>
          </w:p>
        </w:tc>
        <w:tc>
          <w:tcPr>
            <w:tcW w:w="1080" w:type="dxa"/>
            <w:vAlign w:val="bottom"/>
          </w:tcPr>
          <w:p>
            <w:pPr>
              <w:jc w:val="right"/>
              <w:ind w:right="353"/>
              <w:spacing w:after="0"/>
              <w:rPr>
                <w:sz w:val="20"/>
                <w:szCs w:val="20"/>
                <w:color w:val="auto"/>
              </w:rPr>
            </w:pPr>
            <w:r>
              <w:rPr>
                <w:rFonts w:ascii="Arial" w:cs="Arial" w:eastAsia="Arial" w:hAnsi="Arial"/>
                <w:sz w:val="18"/>
                <w:szCs w:val="18"/>
                <w:color w:val="auto"/>
              </w:rPr>
              <w:t>6,288</w:t>
            </w:r>
          </w:p>
        </w:tc>
        <w:tc>
          <w:tcPr>
            <w:tcW w:w="6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10,582</w:t>
            </w:r>
          </w:p>
        </w:tc>
      </w:tr>
      <w:tr>
        <w:trPr>
          <w:trHeight w:val="216"/>
        </w:trPr>
        <w:tc>
          <w:tcPr>
            <w:tcW w:w="20" w:type="dxa"/>
            <w:vAlign w:val="bottom"/>
          </w:tcPr>
          <w:p>
            <w:pPr>
              <w:spacing w:after="0"/>
              <w:rPr>
                <w:sz w:val="18"/>
                <w:szCs w:val="18"/>
                <w:color w:val="auto"/>
              </w:rPr>
            </w:pPr>
          </w:p>
        </w:tc>
        <w:tc>
          <w:tcPr>
            <w:tcW w:w="692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Less: current investments</w:t>
            </w:r>
          </w:p>
        </w:tc>
        <w:tc>
          <w:tcPr>
            <w:tcW w:w="1020" w:type="dxa"/>
            <w:vAlign w:val="bottom"/>
            <w:tcBorders>
              <w:bottom w:val="single" w:sz="8" w:color="auto"/>
            </w:tcBorders>
            <w:shd w:val="clear" w:color="auto" w:fill="E5E5E5"/>
          </w:tcPr>
          <w:p>
            <w:pPr>
              <w:spacing w:after="0"/>
              <w:rPr>
                <w:sz w:val="18"/>
                <w:szCs w:val="18"/>
                <w:color w:val="auto"/>
              </w:rPr>
            </w:pPr>
          </w:p>
        </w:tc>
        <w:tc>
          <w:tcPr>
            <w:tcW w:w="1080" w:type="dxa"/>
            <w:vAlign w:val="bottom"/>
            <w:tcBorders>
              <w:bottom w:val="single" w:sz="8" w:color="auto"/>
            </w:tcBorders>
            <w:shd w:val="clear" w:color="auto" w:fill="E5E5E5"/>
          </w:tcPr>
          <w:p>
            <w:pPr>
              <w:jc w:val="right"/>
              <w:ind w:right="353"/>
              <w:spacing w:after="0"/>
              <w:rPr>
                <w:sz w:val="20"/>
                <w:szCs w:val="20"/>
                <w:color w:val="auto"/>
              </w:rPr>
            </w:pPr>
            <w:r>
              <w:rPr>
                <w:rFonts w:ascii="Arial" w:cs="Arial" w:eastAsia="Arial" w:hAnsi="Arial"/>
                <w:sz w:val="18"/>
                <w:szCs w:val="18"/>
                <w:color w:val="auto"/>
              </w:rPr>
              <w:t>65</w:t>
            </w:r>
          </w:p>
        </w:tc>
        <w:tc>
          <w:tcPr>
            <w:tcW w:w="60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1,735</w:t>
            </w:r>
          </w:p>
        </w:tc>
      </w:tr>
      <w:tr>
        <w:trPr>
          <w:trHeight w:val="217"/>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b w:val="1"/>
                <w:bCs w:val="1"/>
                <w:color w:val="auto"/>
              </w:rPr>
              <w:t>Noncurrent investments</w:t>
            </w:r>
          </w:p>
        </w:tc>
        <w:tc>
          <w:tcPr>
            <w:tcW w:w="1020" w:type="dxa"/>
            <w:vAlign w:val="bottom"/>
            <w:tcBorders>
              <w:bottom w:val="single" w:sz="8" w:color="auto"/>
            </w:tcBorders>
          </w:tcPr>
          <w:p>
            <w:pPr>
              <w:ind w:left="84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ind w:right="353"/>
              <w:spacing w:after="0"/>
              <w:rPr>
                <w:sz w:val="20"/>
                <w:szCs w:val="20"/>
                <w:color w:val="auto"/>
              </w:rPr>
            </w:pPr>
            <w:r>
              <w:rPr>
                <w:rFonts w:ascii="Arial" w:cs="Arial" w:eastAsia="Arial" w:hAnsi="Arial"/>
                <w:sz w:val="18"/>
                <w:szCs w:val="18"/>
                <w:b w:val="1"/>
                <w:bCs w:val="1"/>
                <w:color w:val="auto"/>
              </w:rPr>
              <w:t>6,223</w:t>
            </w:r>
          </w:p>
        </w:tc>
        <w:tc>
          <w:tcPr>
            <w:tcW w:w="60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8,847</w:t>
            </w:r>
          </w:p>
        </w:tc>
      </w:tr>
    </w:tbl>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cost, fair value and unrealized gains related to our available-for-sale securities are presented in the table below. The decreases from December 31, 2006 to September 30, 2007 are primarily the result of the sale of all of the remaining shares in Time Warner Inc. held by us during the nine months ended September 30, 2007.</w:t>
      </w:r>
    </w:p>
    <w:p>
      <w:pPr>
        <w:spacing w:after="0" w:line="9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2220" w:type="dxa"/>
            <w:vAlign w:val="bottom"/>
            <w:gridSpan w:val="2"/>
          </w:tcPr>
          <w:p>
            <w:pPr>
              <w:jc w:val="right"/>
              <w:ind w:right="377"/>
              <w:spacing w:after="0"/>
              <w:rPr>
                <w:sz w:val="20"/>
                <w:szCs w:val="20"/>
                <w:color w:val="auto"/>
              </w:rPr>
            </w:pPr>
            <w:r>
              <w:rPr>
                <w:rFonts w:ascii="Arial" w:cs="Arial" w:eastAsia="Arial" w:hAnsi="Arial"/>
                <w:sz w:val="14"/>
                <w:szCs w:val="14"/>
                <w:b w:val="1"/>
                <w:bCs w:val="1"/>
                <w:color w:val="auto"/>
              </w:rPr>
              <w:t>September 30,</w:t>
            </w:r>
          </w:p>
        </w:tc>
        <w:tc>
          <w:tcPr>
            <w:tcW w:w="1280" w:type="dxa"/>
            <w:vAlign w:val="bottom"/>
            <w:gridSpan w:val="2"/>
          </w:tcPr>
          <w:p>
            <w:pPr>
              <w:ind w:left="480"/>
              <w:spacing w:after="0"/>
              <w:rPr>
                <w:sz w:val="20"/>
                <w:szCs w:val="20"/>
                <w:color w:val="auto"/>
              </w:rPr>
            </w:pPr>
            <w:r>
              <w:rPr>
                <w:rFonts w:ascii="Arial" w:cs="Arial" w:eastAsia="Arial" w:hAnsi="Arial"/>
                <w:sz w:val="14"/>
                <w:szCs w:val="14"/>
                <w:b w:val="1"/>
                <w:bCs w:val="1"/>
                <w:color w:val="auto"/>
                <w:w w:val="85"/>
              </w:rPr>
              <w:t>December 31,</w:t>
            </w:r>
          </w:p>
        </w:tc>
      </w:tr>
      <w:tr>
        <w:trPr>
          <w:trHeight w:val="161"/>
        </w:trPr>
        <w:tc>
          <w:tcPr>
            <w:tcW w:w="678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120" w:type="dxa"/>
            <w:vAlign w:val="bottom"/>
          </w:tcPr>
          <w:p>
            <w:pPr>
              <w:spacing w:after="0"/>
              <w:rPr>
                <w:sz w:val="14"/>
                <w:szCs w:val="14"/>
                <w:color w:val="auto"/>
              </w:rPr>
            </w:pPr>
          </w:p>
        </w:tc>
        <w:tc>
          <w:tcPr>
            <w:tcW w:w="1100" w:type="dxa"/>
            <w:vAlign w:val="bottom"/>
          </w:tcPr>
          <w:p>
            <w:pPr>
              <w:jc w:val="right"/>
              <w:ind w:right="657"/>
              <w:spacing w:after="0"/>
              <w:rPr>
                <w:sz w:val="20"/>
                <w:szCs w:val="20"/>
                <w:color w:val="auto"/>
              </w:rPr>
            </w:pPr>
            <w:r>
              <w:rPr>
                <w:rFonts w:ascii="Arial" w:cs="Arial" w:eastAsia="Arial" w:hAnsi="Arial"/>
                <w:sz w:val="14"/>
                <w:szCs w:val="14"/>
                <w:b w:val="1"/>
                <w:bCs w:val="1"/>
                <w:color w:val="auto"/>
              </w:rPr>
              <w:t>2007</w:t>
            </w:r>
          </w:p>
        </w:tc>
        <w:tc>
          <w:tcPr>
            <w:tcW w:w="640" w:type="dxa"/>
            <w:vAlign w:val="bottom"/>
          </w:tcPr>
          <w:p>
            <w:pPr>
              <w:spacing w:after="0"/>
              <w:rPr>
                <w:sz w:val="14"/>
                <w:szCs w:val="14"/>
                <w:color w:val="auto"/>
              </w:rPr>
            </w:pPr>
          </w:p>
        </w:tc>
        <w:tc>
          <w:tcPr>
            <w:tcW w:w="640" w:type="dxa"/>
            <w:vAlign w:val="bottom"/>
          </w:tcPr>
          <w:p>
            <w:pPr>
              <w:jc w:val="right"/>
              <w:ind w:right="197"/>
              <w:spacing w:after="0"/>
              <w:rPr>
                <w:sz w:val="20"/>
                <w:szCs w:val="20"/>
                <w:color w:val="auto"/>
              </w:rPr>
            </w:pPr>
            <w:r>
              <w:rPr>
                <w:rFonts w:ascii="Arial" w:cs="Arial" w:eastAsia="Arial" w:hAnsi="Arial"/>
                <w:sz w:val="14"/>
                <w:szCs w:val="14"/>
                <w:b w:val="1"/>
                <w:bCs w:val="1"/>
                <w:color w:val="auto"/>
              </w:rPr>
              <w:t>2006</w:t>
            </w:r>
          </w:p>
        </w:tc>
      </w:tr>
      <w:tr>
        <w:trPr>
          <w:trHeight w:val="210"/>
        </w:trPr>
        <w:tc>
          <w:tcPr>
            <w:tcW w:w="20" w:type="dxa"/>
            <w:vAlign w:val="bottom"/>
          </w:tcPr>
          <w:p>
            <w:pPr>
              <w:spacing w:after="0"/>
              <w:rPr>
                <w:sz w:val="18"/>
                <w:szCs w:val="18"/>
                <w:color w:val="auto"/>
              </w:rPr>
            </w:pPr>
          </w:p>
        </w:tc>
        <w:tc>
          <w:tcPr>
            <w:tcW w:w="67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Cost</w:t>
            </w:r>
          </w:p>
        </w:tc>
        <w:tc>
          <w:tcPr>
            <w:tcW w:w="1120" w:type="dxa"/>
            <w:vAlign w:val="bottom"/>
            <w:tcBorders>
              <w:top w:val="single" w:sz="8" w:color="auto"/>
            </w:tcBorders>
            <w:shd w:val="clear" w:color="auto" w:fill="E5E5E5"/>
          </w:tcPr>
          <w:p>
            <w:pPr>
              <w:jc w:val="right"/>
              <w:ind w:right="19"/>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E5E5E5"/>
          </w:tcPr>
          <w:p>
            <w:pPr>
              <w:jc w:val="right"/>
              <w:ind w:right="377"/>
              <w:spacing w:after="0"/>
              <w:rPr>
                <w:sz w:val="20"/>
                <w:szCs w:val="20"/>
                <w:color w:val="auto"/>
              </w:rPr>
            </w:pPr>
            <w:r>
              <w:rPr>
                <w:rFonts w:ascii="Arial" w:cs="Arial" w:eastAsia="Arial" w:hAnsi="Arial"/>
                <w:sz w:val="18"/>
                <w:szCs w:val="18"/>
                <w:color w:val="auto"/>
              </w:rPr>
              <w:t>49</w:t>
            </w:r>
          </w:p>
        </w:tc>
        <w:tc>
          <w:tcPr>
            <w:tcW w:w="640" w:type="dxa"/>
            <w:vAlign w:val="bottom"/>
            <w:tcBorders>
              <w:top w:val="single" w:sz="8" w:color="auto"/>
            </w:tcBorders>
            <w:shd w:val="clear" w:color="auto" w:fill="E5E5E5"/>
          </w:tcPr>
          <w:p>
            <w:pPr>
              <w:ind w:left="46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936</w:t>
            </w: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Unrealized gains</w:t>
            </w:r>
          </w:p>
        </w:tc>
        <w:tc>
          <w:tcPr>
            <w:tcW w:w="1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77"/>
              <w:spacing w:after="0"/>
              <w:rPr>
                <w:sz w:val="20"/>
                <w:szCs w:val="20"/>
                <w:color w:val="auto"/>
              </w:rPr>
            </w:pPr>
            <w:r>
              <w:rPr>
                <w:rFonts w:ascii="Arial" w:cs="Arial" w:eastAsia="Arial" w:hAnsi="Arial"/>
                <w:sz w:val="18"/>
                <w:szCs w:val="18"/>
                <w:color w:val="auto"/>
              </w:rPr>
              <w:t>33</w:t>
            </w:r>
          </w:p>
        </w:tc>
        <w:tc>
          <w:tcPr>
            <w:tcW w:w="6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r>
      <w:tr>
        <w:trPr>
          <w:trHeight w:val="217"/>
        </w:trPr>
        <w:tc>
          <w:tcPr>
            <w:tcW w:w="20" w:type="dxa"/>
            <w:vAlign w:val="bottom"/>
          </w:tcPr>
          <w:p>
            <w:pPr>
              <w:spacing w:after="0"/>
              <w:rPr>
                <w:sz w:val="18"/>
                <w:szCs w:val="18"/>
                <w:color w:val="auto"/>
              </w:rPr>
            </w:pPr>
          </w:p>
        </w:tc>
        <w:tc>
          <w:tcPr>
            <w:tcW w:w="676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b w:val="1"/>
                <w:bCs w:val="1"/>
                <w:color w:val="auto"/>
              </w:rPr>
              <w:t>Fair value</w:t>
            </w:r>
          </w:p>
        </w:tc>
        <w:tc>
          <w:tcPr>
            <w:tcW w:w="1120" w:type="dxa"/>
            <w:vAlign w:val="bottom"/>
            <w:tcBorders>
              <w:bottom w:val="single" w:sz="8" w:color="auto"/>
            </w:tcBorders>
            <w:shd w:val="clear" w:color="auto" w:fill="E5E5E5"/>
          </w:tcPr>
          <w:p>
            <w:pPr>
              <w:jc w:val="right"/>
              <w:ind w:right="19"/>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shd w:val="clear" w:color="auto" w:fill="E5E5E5"/>
          </w:tcPr>
          <w:p>
            <w:pPr>
              <w:jc w:val="right"/>
              <w:ind w:right="377"/>
              <w:spacing w:after="0"/>
              <w:rPr>
                <w:sz w:val="20"/>
                <w:szCs w:val="20"/>
                <w:color w:val="auto"/>
              </w:rPr>
            </w:pPr>
            <w:r>
              <w:rPr>
                <w:rFonts w:ascii="Arial" w:cs="Arial" w:eastAsia="Arial" w:hAnsi="Arial"/>
                <w:sz w:val="18"/>
                <w:szCs w:val="18"/>
                <w:b w:val="1"/>
                <w:bCs w:val="1"/>
                <w:color w:val="auto"/>
              </w:rPr>
              <w:t>82</w:t>
            </w:r>
          </w:p>
        </w:tc>
        <w:tc>
          <w:tcPr>
            <w:tcW w:w="640" w:type="dxa"/>
            <w:vAlign w:val="bottom"/>
            <w:tcBorders>
              <w:bottom w:val="single" w:sz="8" w:color="auto"/>
            </w:tcBorders>
            <w:shd w:val="clear" w:color="auto" w:fill="E5E5E5"/>
          </w:tcPr>
          <w:p>
            <w:pPr>
              <w:ind w:left="46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1,190</w:t>
            </w: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Texas and Kansas City Cable Partnership</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accounted for our interest in TKCCP, totaling approximately $3.0 billion, as an equity method investment through January 1, 2007, the date the Houston Asset Pool was distributed to us (see Note 4).</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Insight Midwest Partnership</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April 2007, we and Insight Communications (“Insight”) agreed to divide the assets and liabilities of Insight Midwest, LP (“Insight Midwest”), a 50%-50% cable system partnership with Insight. Under the terms of the agreement, we will receive cable systems serving approximately 690,000 video subscribers in Illinois and Indiana, together with approximately $1.34 billion of debt allocated to those cable systems (“Comcast Asset Pool”). Insight will receive cable systems serving approximately 650,000 video subscribers, together with approximately $1.26 billion of debt allocated to those cable systems (“Insight Asset Pool”). We will continue to account for our interest in Insight Midwest as an equity method investment until the Comcast Asset Pool is distributed to us. Closing of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SEPTEMBER 30, 2007</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transaction is subject to customary government and other approvals and is expected on or about January 1, 2008. The debt allocated to us will be repaid upon closing of the transaction. Effective April 1, 2007, we are reporting our share of the earnings and losses of Insight Midwest based solely on the operating results of the Comcast Asset Pool.</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 (Loss), Net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components of investment income (loss), net: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0" w:type="dxa"/>
            <w:vAlign w:val="bottom"/>
            <w:gridSpan w:val="3"/>
          </w:tcPr>
          <w:p>
            <w:pPr>
              <w:jc w:val="right"/>
              <w:ind w:right="535"/>
              <w:spacing w:after="0"/>
              <w:rPr>
                <w:sz w:val="20"/>
                <w:szCs w:val="20"/>
                <w:color w:val="auto"/>
              </w:rPr>
            </w:pPr>
            <w:r>
              <w:rPr>
                <w:rFonts w:ascii="Arial" w:cs="Arial" w:eastAsia="Arial" w:hAnsi="Arial"/>
                <w:sz w:val="14"/>
                <w:szCs w:val="14"/>
                <w:b w:val="1"/>
                <w:bCs w:val="1"/>
                <w:color w:val="auto"/>
                <w:w w:val="98"/>
              </w:rPr>
              <w:t>Three Months Ended</w:t>
            </w:r>
          </w:p>
        </w:tc>
        <w:tc>
          <w:tcPr>
            <w:tcW w:w="420" w:type="dxa"/>
            <w:vAlign w:val="bottom"/>
          </w:tcPr>
          <w:p>
            <w:pPr>
              <w:spacing w:after="0"/>
              <w:rPr>
                <w:sz w:val="14"/>
                <w:szCs w:val="14"/>
                <w:color w:val="auto"/>
              </w:rPr>
            </w:pPr>
          </w:p>
        </w:tc>
        <w:tc>
          <w:tcPr>
            <w:tcW w:w="1680" w:type="dxa"/>
            <w:vAlign w:val="bottom"/>
            <w:gridSpan w:val="3"/>
          </w:tcPr>
          <w:p>
            <w:pPr>
              <w:jc w:val="right"/>
              <w:ind w:right="275"/>
              <w:spacing w:after="0"/>
              <w:rPr>
                <w:sz w:val="20"/>
                <w:szCs w:val="20"/>
                <w:color w:val="auto"/>
              </w:rPr>
            </w:pPr>
            <w:r>
              <w:rPr>
                <w:rFonts w:ascii="Arial" w:cs="Arial" w:eastAsia="Arial" w:hAnsi="Arial"/>
                <w:sz w:val="14"/>
                <w:szCs w:val="14"/>
                <w:b w:val="1"/>
                <w:bCs w:val="1"/>
                <w:color w:val="auto"/>
                <w:w w:val="99"/>
              </w:rPr>
              <w:t>Nine Months Ended</w:t>
            </w:r>
          </w:p>
        </w:tc>
        <w:tc>
          <w:tcPr>
            <w:tcW w:w="0" w:type="dxa"/>
            <w:vAlign w:val="bottom"/>
          </w:tcPr>
          <w:p>
            <w:pPr>
              <w:spacing w:after="0"/>
              <w:rPr>
                <w:sz w:val="1"/>
                <w:szCs w:val="1"/>
                <w:color w:val="auto"/>
              </w:rPr>
            </w:pPr>
          </w:p>
        </w:tc>
      </w:tr>
      <w:tr>
        <w:trPr>
          <w:trHeight w:val="161"/>
        </w:trPr>
        <w:tc>
          <w:tcPr>
            <w:tcW w:w="662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7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2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jc w:val="right"/>
              <w:ind w:right="418"/>
              <w:spacing w:after="0" w:line="142" w:lineRule="exact"/>
              <w:rPr>
                <w:sz w:val="20"/>
                <w:szCs w:val="20"/>
                <w:color w:val="auto"/>
              </w:rPr>
            </w:pPr>
            <w:r>
              <w:rPr>
                <w:rFonts w:ascii="Arial" w:cs="Arial" w:eastAsia="Arial" w:hAnsi="Arial"/>
                <w:sz w:val="14"/>
                <w:szCs w:val="14"/>
                <w:b w:val="1"/>
                <w:bCs w:val="1"/>
                <w:color w:val="auto"/>
                <w:w w:val="89"/>
              </w:rPr>
              <w:t>2007</w:t>
            </w:r>
          </w:p>
        </w:tc>
        <w:tc>
          <w:tcPr>
            <w:tcW w:w="420" w:type="dxa"/>
            <w:vAlign w:val="bottom"/>
          </w:tcPr>
          <w:p>
            <w:pPr>
              <w:spacing w:after="0"/>
              <w:rPr>
                <w:sz w:val="12"/>
                <w:szCs w:val="12"/>
                <w:color w:val="auto"/>
              </w:rPr>
            </w:pPr>
          </w:p>
        </w:tc>
        <w:tc>
          <w:tcPr>
            <w:tcW w:w="780" w:type="dxa"/>
            <w:vAlign w:val="bottom"/>
          </w:tcPr>
          <w:p>
            <w:pPr>
              <w:jc w:val="right"/>
              <w:ind w:right="415"/>
              <w:spacing w:after="0" w:line="142" w:lineRule="exact"/>
              <w:rPr>
                <w:sz w:val="20"/>
                <w:szCs w:val="20"/>
                <w:color w:val="auto"/>
              </w:rPr>
            </w:pPr>
            <w:r>
              <w:rPr>
                <w:rFonts w:ascii="Arial" w:cs="Arial" w:eastAsia="Arial" w:hAnsi="Arial"/>
                <w:sz w:val="14"/>
                <w:szCs w:val="14"/>
                <w:b w:val="1"/>
                <w:bCs w:val="1"/>
                <w:color w:val="auto"/>
                <w:w w:val="83"/>
              </w:rPr>
              <w:t>2006</w:t>
            </w:r>
          </w:p>
        </w:tc>
        <w:tc>
          <w:tcPr>
            <w:tcW w:w="420" w:type="dxa"/>
            <w:vAlign w:val="bottom"/>
          </w:tcPr>
          <w:p>
            <w:pPr>
              <w:spacing w:after="0"/>
              <w:rPr>
                <w:sz w:val="12"/>
                <w:szCs w:val="12"/>
                <w:color w:val="auto"/>
              </w:rPr>
            </w:pPr>
          </w:p>
        </w:tc>
        <w:tc>
          <w:tcPr>
            <w:tcW w:w="780" w:type="dxa"/>
            <w:vAlign w:val="bottom"/>
          </w:tcPr>
          <w:p>
            <w:pPr>
              <w:jc w:val="right"/>
              <w:ind w:right="418"/>
              <w:spacing w:after="0" w:line="142" w:lineRule="exact"/>
              <w:rPr>
                <w:sz w:val="20"/>
                <w:szCs w:val="20"/>
                <w:color w:val="auto"/>
              </w:rPr>
            </w:pPr>
            <w:r>
              <w:rPr>
                <w:rFonts w:ascii="Arial" w:cs="Arial" w:eastAsia="Arial" w:hAnsi="Arial"/>
                <w:sz w:val="14"/>
                <w:szCs w:val="14"/>
                <w:b w:val="1"/>
                <w:bCs w:val="1"/>
                <w:color w:val="auto"/>
                <w:w w:val="83"/>
              </w:rPr>
              <w:t>2007</w:t>
            </w:r>
          </w:p>
        </w:tc>
        <w:tc>
          <w:tcPr>
            <w:tcW w:w="400" w:type="dxa"/>
            <w:vAlign w:val="bottom"/>
          </w:tcPr>
          <w:p>
            <w:pPr>
              <w:spacing w:after="0"/>
              <w:rPr>
                <w:sz w:val="12"/>
                <w:szCs w:val="12"/>
                <w:color w:val="auto"/>
              </w:rPr>
            </w:pPr>
          </w:p>
        </w:tc>
        <w:tc>
          <w:tcPr>
            <w:tcW w:w="500" w:type="dxa"/>
            <w:vAlign w:val="bottom"/>
          </w:tcPr>
          <w:p>
            <w:pPr>
              <w:jc w:val="right"/>
              <w:ind w:right="115"/>
              <w:spacing w:after="0" w:line="142" w:lineRule="exact"/>
              <w:rPr>
                <w:sz w:val="20"/>
                <w:szCs w:val="20"/>
                <w:color w:val="auto"/>
              </w:rPr>
            </w:pPr>
            <w:r>
              <w:rPr>
                <w:rFonts w:ascii="Arial" w:cs="Arial" w:eastAsia="Arial" w:hAnsi="Arial"/>
                <w:sz w:val="14"/>
                <w:szCs w:val="14"/>
                <w:b w:val="1"/>
                <w:bCs w:val="1"/>
                <w:color w:val="auto"/>
                <w:w w:val="89"/>
              </w:rPr>
              <w:t>2006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Interest and dividend income</w:t>
            </w:r>
          </w:p>
        </w:tc>
        <w:tc>
          <w:tcPr>
            <w:tcW w:w="7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E5E5E5"/>
          </w:tcPr>
          <w:p>
            <w:pPr>
              <w:jc w:val="right"/>
              <w:ind w:right="278"/>
              <w:spacing w:after="0"/>
              <w:rPr>
                <w:sz w:val="20"/>
                <w:szCs w:val="20"/>
                <w:color w:val="auto"/>
              </w:rPr>
            </w:pPr>
            <w:r>
              <w:rPr>
                <w:rFonts w:ascii="Arial" w:cs="Arial" w:eastAsia="Arial" w:hAnsi="Arial"/>
                <w:sz w:val="18"/>
                <w:szCs w:val="18"/>
                <w:color w:val="auto"/>
              </w:rPr>
              <w:t>35</w:t>
            </w:r>
          </w:p>
        </w:tc>
        <w:tc>
          <w:tcPr>
            <w:tcW w:w="4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E5E5E5"/>
          </w:tcPr>
          <w:p>
            <w:pPr>
              <w:jc w:val="right"/>
              <w:ind w:right="255"/>
              <w:spacing w:after="0"/>
              <w:rPr>
                <w:sz w:val="20"/>
                <w:szCs w:val="20"/>
                <w:color w:val="auto"/>
              </w:rPr>
            </w:pPr>
            <w:r>
              <w:rPr>
                <w:rFonts w:ascii="Arial" w:cs="Arial" w:eastAsia="Arial" w:hAnsi="Arial"/>
                <w:sz w:val="18"/>
                <w:szCs w:val="18"/>
                <w:color w:val="auto"/>
              </w:rPr>
              <w:t>55</w:t>
            </w:r>
          </w:p>
        </w:tc>
        <w:tc>
          <w:tcPr>
            <w:tcW w:w="4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E5E5E5"/>
          </w:tcPr>
          <w:p>
            <w:pPr>
              <w:jc w:val="right"/>
              <w:ind w:right="278"/>
              <w:spacing w:after="0"/>
              <w:rPr>
                <w:sz w:val="20"/>
                <w:szCs w:val="20"/>
                <w:color w:val="auto"/>
              </w:rPr>
            </w:pPr>
            <w:r>
              <w:rPr>
                <w:rFonts w:ascii="Arial" w:cs="Arial" w:eastAsia="Arial" w:hAnsi="Arial"/>
                <w:sz w:val="18"/>
                <w:szCs w:val="18"/>
                <w:color w:val="auto"/>
              </w:rPr>
              <w:t>126</w:t>
            </w:r>
          </w:p>
        </w:tc>
        <w:tc>
          <w:tcPr>
            <w:tcW w:w="4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Gains on sales and exchanges of investments, net</w:t>
            </w:r>
          </w:p>
        </w:tc>
        <w:tc>
          <w:tcPr>
            <w:tcW w:w="700" w:type="dxa"/>
            <w:vAlign w:val="bottom"/>
          </w:tcPr>
          <w:p>
            <w:pPr>
              <w:spacing w:after="0"/>
              <w:rPr>
                <w:sz w:val="18"/>
                <w:szCs w:val="18"/>
                <w:color w:val="auto"/>
              </w:rPr>
            </w:pPr>
          </w:p>
        </w:tc>
        <w:tc>
          <w:tcPr>
            <w:tcW w:w="800" w:type="dxa"/>
            <w:vAlign w:val="bottom"/>
          </w:tcPr>
          <w:p>
            <w:pPr>
              <w:jc w:val="right"/>
              <w:ind w:right="278"/>
              <w:spacing w:after="0"/>
              <w:rPr>
                <w:sz w:val="20"/>
                <w:szCs w:val="20"/>
                <w:color w:val="auto"/>
              </w:rPr>
            </w:pPr>
            <w:r>
              <w:rPr>
                <w:rFonts w:ascii="Arial" w:cs="Arial" w:eastAsia="Arial" w:hAnsi="Arial"/>
                <w:sz w:val="18"/>
                <w:szCs w:val="18"/>
                <w:color w:val="auto"/>
              </w:rPr>
              <w:t>49</w:t>
            </w:r>
          </w:p>
        </w:tc>
        <w:tc>
          <w:tcPr>
            <w:tcW w:w="420" w:type="dxa"/>
            <w:vAlign w:val="bottom"/>
          </w:tcPr>
          <w:p>
            <w:pPr>
              <w:spacing w:after="0"/>
              <w:rPr>
                <w:sz w:val="18"/>
                <w:szCs w:val="18"/>
                <w:color w:val="auto"/>
              </w:rPr>
            </w:pPr>
          </w:p>
        </w:tc>
        <w:tc>
          <w:tcPr>
            <w:tcW w:w="780" w:type="dxa"/>
            <w:vAlign w:val="bottom"/>
          </w:tcPr>
          <w:p>
            <w:pPr>
              <w:jc w:val="right"/>
              <w:ind w:right="255"/>
              <w:spacing w:after="0"/>
              <w:rPr>
                <w:sz w:val="20"/>
                <w:szCs w:val="20"/>
                <w:color w:val="auto"/>
              </w:rPr>
            </w:pPr>
            <w:r>
              <w:rPr>
                <w:rFonts w:ascii="Arial" w:cs="Arial" w:eastAsia="Arial" w:hAnsi="Arial"/>
                <w:sz w:val="18"/>
                <w:szCs w:val="18"/>
                <w:color w:val="auto"/>
              </w:rPr>
              <w:t>745</w:t>
            </w:r>
          </w:p>
        </w:tc>
        <w:tc>
          <w:tcPr>
            <w:tcW w:w="420" w:type="dxa"/>
            <w:vAlign w:val="bottom"/>
          </w:tcPr>
          <w:p>
            <w:pPr>
              <w:spacing w:after="0"/>
              <w:rPr>
                <w:sz w:val="18"/>
                <w:szCs w:val="18"/>
                <w:color w:val="auto"/>
              </w:rPr>
            </w:pPr>
          </w:p>
        </w:tc>
        <w:tc>
          <w:tcPr>
            <w:tcW w:w="780" w:type="dxa"/>
            <w:vAlign w:val="bottom"/>
          </w:tcPr>
          <w:p>
            <w:pPr>
              <w:jc w:val="right"/>
              <w:ind w:right="278"/>
              <w:spacing w:after="0"/>
              <w:rPr>
                <w:sz w:val="20"/>
                <w:szCs w:val="20"/>
                <w:color w:val="auto"/>
              </w:rPr>
            </w:pPr>
            <w:r>
              <w:rPr>
                <w:rFonts w:ascii="Arial" w:cs="Arial" w:eastAsia="Arial" w:hAnsi="Arial"/>
                <w:sz w:val="18"/>
                <w:szCs w:val="18"/>
                <w:color w:val="auto"/>
              </w:rPr>
              <w:t>148</w:t>
            </w:r>
          </w:p>
        </w:tc>
        <w:tc>
          <w:tcPr>
            <w:tcW w:w="4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E5E5E5"/>
          </w:tcPr>
          <w:p>
            <w:pPr>
              <w:spacing w:after="0"/>
              <w:rPr>
                <w:sz w:val="20"/>
                <w:szCs w:val="20"/>
                <w:color w:val="auto"/>
              </w:rPr>
            </w:pPr>
            <w:r>
              <w:rPr>
                <w:rFonts w:ascii="Arial" w:cs="Arial" w:eastAsia="Arial" w:hAnsi="Arial"/>
                <w:sz w:val="18"/>
                <w:szCs w:val="18"/>
                <w:color w:val="auto"/>
              </w:rPr>
              <w:t>Investment impairment losses</w:t>
            </w:r>
          </w:p>
        </w:tc>
        <w:tc>
          <w:tcPr>
            <w:tcW w:w="70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18"/>
              <w:spacing w:after="0"/>
              <w:rPr>
                <w:sz w:val="20"/>
                <w:szCs w:val="20"/>
                <w:color w:val="auto"/>
              </w:rPr>
            </w:pPr>
            <w:r>
              <w:rPr>
                <w:rFonts w:ascii="Arial" w:cs="Arial" w:eastAsia="Arial" w:hAnsi="Arial"/>
                <w:sz w:val="18"/>
                <w:szCs w:val="18"/>
                <w:color w:val="auto"/>
              </w:rPr>
              <w:t>(1)</w:t>
            </w:r>
          </w:p>
        </w:tc>
        <w:tc>
          <w:tcPr>
            <w:tcW w:w="4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255"/>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218"/>
              <w:spacing w:after="0"/>
              <w:rPr>
                <w:sz w:val="20"/>
                <w:szCs w:val="20"/>
                <w:color w:val="auto"/>
              </w:rPr>
            </w:pPr>
            <w:r>
              <w:rPr>
                <w:rFonts w:ascii="Arial" w:cs="Arial" w:eastAsia="Arial" w:hAnsi="Arial"/>
                <w:sz w:val="18"/>
                <w:szCs w:val="18"/>
                <w:color w:val="auto"/>
              </w:rPr>
              <w:t>(4)</w:t>
            </w:r>
          </w:p>
        </w:tc>
        <w:tc>
          <w:tcPr>
            <w:tcW w:w="40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Unrealized gains (losses) on trading securities and hedged items</w:t>
            </w:r>
          </w:p>
        </w:tc>
        <w:tc>
          <w:tcPr>
            <w:tcW w:w="700" w:type="dxa"/>
            <w:vAlign w:val="bottom"/>
          </w:tcPr>
          <w:p>
            <w:pPr>
              <w:spacing w:after="0"/>
              <w:rPr>
                <w:sz w:val="18"/>
                <w:szCs w:val="18"/>
                <w:color w:val="auto"/>
              </w:rPr>
            </w:pPr>
          </w:p>
        </w:tc>
        <w:tc>
          <w:tcPr>
            <w:tcW w:w="800" w:type="dxa"/>
            <w:vAlign w:val="bottom"/>
          </w:tcPr>
          <w:p>
            <w:pPr>
              <w:jc w:val="right"/>
              <w:ind w:right="278"/>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8"/>
                <w:szCs w:val="18"/>
                <w:color w:val="auto"/>
              </w:rPr>
            </w:pPr>
          </w:p>
        </w:tc>
        <w:tc>
          <w:tcPr>
            <w:tcW w:w="780" w:type="dxa"/>
            <w:vAlign w:val="bottom"/>
          </w:tcPr>
          <w:p>
            <w:pPr>
              <w:jc w:val="right"/>
              <w:ind w:right="255"/>
              <w:spacing w:after="0"/>
              <w:rPr>
                <w:sz w:val="20"/>
                <w:szCs w:val="20"/>
                <w:color w:val="auto"/>
              </w:rPr>
            </w:pPr>
            <w:r>
              <w:rPr>
                <w:rFonts w:ascii="Arial" w:cs="Arial" w:eastAsia="Arial" w:hAnsi="Arial"/>
                <w:sz w:val="18"/>
                <w:szCs w:val="18"/>
                <w:color w:val="auto"/>
              </w:rPr>
              <w:t>81</w:t>
            </w:r>
          </w:p>
        </w:tc>
        <w:tc>
          <w:tcPr>
            <w:tcW w:w="420" w:type="dxa"/>
            <w:vAlign w:val="bottom"/>
          </w:tcPr>
          <w:p>
            <w:pPr>
              <w:spacing w:after="0"/>
              <w:rPr>
                <w:sz w:val="18"/>
                <w:szCs w:val="18"/>
                <w:color w:val="auto"/>
              </w:rPr>
            </w:pPr>
          </w:p>
        </w:tc>
        <w:tc>
          <w:tcPr>
            <w:tcW w:w="780" w:type="dxa"/>
            <w:vAlign w:val="bottom"/>
          </w:tcPr>
          <w:p>
            <w:pPr>
              <w:jc w:val="right"/>
              <w:ind w:right="278"/>
              <w:spacing w:after="0"/>
              <w:rPr>
                <w:sz w:val="20"/>
                <w:szCs w:val="20"/>
                <w:color w:val="auto"/>
              </w:rPr>
            </w:pPr>
            <w:r>
              <w:rPr>
                <w:rFonts w:ascii="Arial" w:cs="Arial" w:eastAsia="Arial" w:hAnsi="Arial"/>
                <w:sz w:val="18"/>
                <w:szCs w:val="18"/>
                <w:color w:val="auto"/>
              </w:rPr>
              <w:t>493</w:t>
            </w:r>
          </w:p>
        </w:tc>
        <w:tc>
          <w:tcPr>
            <w:tcW w:w="4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E5E5E5"/>
          </w:tcPr>
          <w:p>
            <w:pPr>
              <w:spacing w:after="0"/>
              <w:rPr>
                <w:sz w:val="20"/>
                <w:szCs w:val="20"/>
                <w:color w:val="auto"/>
              </w:rPr>
            </w:pPr>
            <w:r>
              <w:rPr>
                <w:rFonts w:ascii="Arial" w:cs="Arial" w:eastAsia="Arial" w:hAnsi="Arial"/>
                <w:sz w:val="18"/>
                <w:szCs w:val="18"/>
                <w:color w:val="auto"/>
                <w:w w:val="93"/>
              </w:rPr>
              <w:t>Mark to market adjustments on derivatives related to trading securities and hedged items</w:t>
            </w:r>
          </w:p>
        </w:tc>
        <w:tc>
          <w:tcPr>
            <w:tcW w:w="70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78"/>
              <w:spacing w:after="0"/>
              <w:rPr>
                <w:sz w:val="20"/>
                <w:szCs w:val="20"/>
                <w:color w:val="auto"/>
              </w:rPr>
            </w:pPr>
            <w:r>
              <w:rPr>
                <w:rFonts w:ascii="Arial" w:cs="Arial" w:eastAsia="Arial" w:hAnsi="Arial"/>
                <w:sz w:val="18"/>
                <w:szCs w:val="18"/>
                <w:color w:val="auto"/>
              </w:rPr>
              <w:t>76</w:t>
            </w:r>
          </w:p>
        </w:tc>
        <w:tc>
          <w:tcPr>
            <w:tcW w:w="4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rPr>
              <w:t>(22)</w:t>
            </w:r>
          </w:p>
        </w:tc>
        <w:tc>
          <w:tcPr>
            <w:tcW w:w="4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218"/>
              <w:spacing w:after="0"/>
              <w:rPr>
                <w:sz w:val="20"/>
                <w:szCs w:val="20"/>
                <w:color w:val="auto"/>
              </w:rPr>
            </w:pPr>
            <w:r>
              <w:rPr>
                <w:rFonts w:ascii="Arial" w:cs="Arial" w:eastAsia="Arial" w:hAnsi="Arial"/>
                <w:sz w:val="18"/>
                <w:szCs w:val="18"/>
                <w:color w:val="auto"/>
              </w:rPr>
              <w:t>(343)</w:t>
            </w:r>
          </w:p>
        </w:tc>
        <w:tc>
          <w:tcPr>
            <w:tcW w:w="40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Mark to market adjustments on derivatives</w:t>
            </w:r>
          </w:p>
        </w:tc>
        <w:tc>
          <w:tcPr>
            <w:tcW w:w="7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18"/>
              <w:spacing w:after="0"/>
              <w:rPr>
                <w:sz w:val="20"/>
                <w:szCs w:val="20"/>
                <w:color w:val="auto"/>
              </w:rPr>
            </w:pPr>
            <w:r>
              <w:rPr>
                <w:rFonts w:ascii="Arial" w:cs="Arial" w:eastAsia="Arial" w:hAnsi="Arial"/>
                <w:sz w:val="18"/>
                <w:szCs w:val="18"/>
                <w:color w:val="auto"/>
              </w:rPr>
              <w:t>(2)</w:t>
            </w: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rPr>
              <w:t>(2)</w:t>
            </w: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8"/>
              <w:spacing w:after="0"/>
              <w:rPr>
                <w:sz w:val="20"/>
                <w:szCs w:val="20"/>
                <w:color w:val="auto"/>
              </w:rPr>
            </w:pPr>
            <w:r>
              <w:rPr>
                <w:rFonts w:ascii="Arial" w:cs="Arial" w:eastAsia="Arial" w:hAnsi="Arial"/>
                <w:sz w:val="18"/>
                <w:szCs w:val="18"/>
                <w:color w:val="auto"/>
              </w:rPr>
              <w:t>38</w:t>
            </w:r>
          </w:p>
        </w:tc>
        <w:tc>
          <w:tcPr>
            <w:tcW w:w="4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0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b w:val="1"/>
                <w:bCs w:val="1"/>
                <w:color w:val="auto"/>
              </w:rPr>
              <w:t>Investment income (loss), net</w:t>
            </w: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E5E5E5"/>
          </w:tcPr>
          <w:p>
            <w:pPr>
              <w:jc w:val="right"/>
              <w:ind w:right="278"/>
              <w:spacing w:after="0"/>
              <w:rPr>
                <w:sz w:val="20"/>
                <w:szCs w:val="20"/>
                <w:color w:val="auto"/>
              </w:rPr>
            </w:pPr>
            <w:r>
              <w:rPr>
                <w:rFonts w:ascii="Arial" w:cs="Arial" w:eastAsia="Arial" w:hAnsi="Arial"/>
                <w:sz w:val="18"/>
                <w:szCs w:val="18"/>
                <w:b w:val="1"/>
                <w:bCs w:val="1"/>
                <w:color w:val="auto"/>
              </w:rPr>
              <w:t>158</w:t>
            </w: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E5E5E5"/>
          </w:tcPr>
          <w:p>
            <w:pPr>
              <w:jc w:val="right"/>
              <w:ind w:right="255"/>
              <w:spacing w:after="0"/>
              <w:rPr>
                <w:sz w:val="20"/>
                <w:szCs w:val="20"/>
                <w:color w:val="auto"/>
              </w:rPr>
            </w:pPr>
            <w:r>
              <w:rPr>
                <w:rFonts w:ascii="Arial" w:cs="Arial" w:eastAsia="Arial" w:hAnsi="Arial"/>
                <w:sz w:val="18"/>
                <w:szCs w:val="18"/>
                <w:b w:val="1"/>
                <w:bCs w:val="1"/>
                <w:color w:val="auto"/>
              </w:rPr>
              <w:t>857</w:t>
            </w: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E5E5E5"/>
          </w:tcPr>
          <w:p>
            <w:pPr>
              <w:jc w:val="right"/>
              <w:ind w:right="278"/>
              <w:spacing w:after="0"/>
              <w:rPr>
                <w:sz w:val="20"/>
                <w:szCs w:val="20"/>
                <w:color w:val="auto"/>
              </w:rPr>
            </w:pPr>
            <w:r>
              <w:rPr>
                <w:rFonts w:ascii="Arial" w:cs="Arial" w:eastAsia="Arial" w:hAnsi="Arial"/>
                <w:sz w:val="18"/>
                <w:szCs w:val="18"/>
                <w:b w:val="1"/>
                <w:bCs w:val="1"/>
                <w:color w:val="auto"/>
              </w:rPr>
              <w:t>458</w:t>
            </w:r>
          </w:p>
        </w:tc>
        <w:tc>
          <w:tcPr>
            <w:tcW w:w="4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935</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Goodwill</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The changes in the carrying amount of goodwill by business segment for the nine months ended September 30, 2007 are presented in the table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gridSpan w:val="2"/>
          </w:tcPr>
          <w:p>
            <w:pPr>
              <w:ind w:left="280"/>
              <w:spacing w:after="0"/>
              <w:rPr>
                <w:sz w:val="20"/>
                <w:szCs w:val="20"/>
                <w:color w:val="auto"/>
              </w:rPr>
            </w:pPr>
            <w:r>
              <w:rPr>
                <w:rFonts w:ascii="Arial" w:cs="Arial" w:eastAsia="Arial" w:hAnsi="Arial"/>
                <w:sz w:val="14"/>
                <w:szCs w:val="14"/>
                <w:b w:val="1"/>
                <w:bCs w:val="1"/>
                <w:color w:val="auto"/>
              </w:rPr>
              <w:t>Corporate</w:t>
            </w: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66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360" w:type="dxa"/>
            <w:vAlign w:val="bottom"/>
          </w:tcPr>
          <w:p>
            <w:pPr>
              <w:jc w:val="right"/>
              <w:ind w:right="296"/>
              <w:spacing w:after="0"/>
              <w:rPr>
                <w:sz w:val="20"/>
                <w:szCs w:val="20"/>
                <w:color w:val="auto"/>
              </w:rPr>
            </w:pPr>
            <w:r>
              <w:rPr>
                <w:rFonts w:ascii="Arial" w:cs="Arial" w:eastAsia="Arial" w:hAnsi="Arial"/>
                <w:sz w:val="14"/>
                <w:szCs w:val="14"/>
                <w:b w:val="1"/>
                <w:bCs w:val="1"/>
                <w:color w:val="auto"/>
              </w:rPr>
              <w:t>Cable</w:t>
            </w:r>
          </w:p>
        </w:tc>
        <w:tc>
          <w:tcPr>
            <w:tcW w:w="1380" w:type="dxa"/>
            <w:vAlign w:val="bottom"/>
            <w:gridSpan w:val="2"/>
          </w:tcPr>
          <w:p>
            <w:pPr>
              <w:ind w:left="260"/>
              <w:spacing w:after="0"/>
              <w:rPr>
                <w:sz w:val="20"/>
                <w:szCs w:val="20"/>
                <w:color w:val="auto"/>
              </w:rPr>
            </w:pPr>
            <w:r>
              <w:rPr>
                <w:rFonts w:ascii="Arial" w:cs="Arial" w:eastAsia="Arial" w:hAnsi="Arial"/>
                <w:sz w:val="14"/>
                <w:szCs w:val="14"/>
                <w:b w:val="1"/>
                <w:bCs w:val="1"/>
                <w:color w:val="auto"/>
              </w:rPr>
              <w:t>Programming</w:t>
            </w:r>
          </w:p>
        </w:tc>
        <w:tc>
          <w:tcPr>
            <w:tcW w:w="1200" w:type="dxa"/>
            <w:vAlign w:val="bottom"/>
            <w:gridSpan w:val="2"/>
          </w:tcPr>
          <w:p>
            <w:pPr>
              <w:ind w:left="280"/>
              <w:spacing w:after="0"/>
              <w:rPr>
                <w:sz w:val="20"/>
                <w:szCs w:val="20"/>
                <w:color w:val="auto"/>
              </w:rPr>
            </w:pPr>
            <w:r>
              <w:rPr>
                <w:rFonts w:ascii="Arial" w:cs="Arial" w:eastAsia="Arial" w:hAnsi="Arial"/>
                <w:sz w:val="14"/>
                <w:szCs w:val="14"/>
                <w:b w:val="1"/>
                <w:bCs w:val="1"/>
                <w:color w:val="auto"/>
              </w:rPr>
              <w:t>and Other</w:t>
            </w:r>
          </w:p>
        </w:tc>
        <w:tc>
          <w:tcPr>
            <w:tcW w:w="860" w:type="dxa"/>
            <w:vAlign w:val="bottom"/>
            <w:gridSpan w:val="2"/>
          </w:tcPr>
          <w:p>
            <w:pPr>
              <w:ind w:left="400"/>
              <w:spacing w:after="0"/>
              <w:rPr>
                <w:sz w:val="20"/>
                <w:szCs w:val="20"/>
                <w:color w:val="auto"/>
              </w:rPr>
            </w:pPr>
            <w:r>
              <w:rPr>
                <w:rFonts w:ascii="Arial" w:cs="Arial" w:eastAsia="Arial" w:hAnsi="Arial"/>
                <w:sz w:val="14"/>
                <w:szCs w:val="14"/>
                <w:b w:val="1"/>
                <w:bCs w:val="1"/>
                <w:color w:val="auto"/>
              </w:rPr>
              <w:t>Total</w:t>
            </w:r>
          </w:p>
        </w:tc>
      </w:tr>
      <w:tr>
        <w:trPr>
          <w:trHeight w:val="210"/>
        </w:trPr>
        <w:tc>
          <w:tcPr>
            <w:tcW w:w="20" w:type="dxa"/>
            <w:vAlign w:val="bottom"/>
          </w:tcPr>
          <w:p>
            <w:pPr>
              <w:spacing w:after="0"/>
              <w:rPr>
                <w:sz w:val="18"/>
                <w:szCs w:val="18"/>
                <w:color w:val="auto"/>
              </w:rPr>
            </w:pPr>
          </w:p>
        </w:tc>
        <w:tc>
          <w:tcPr>
            <w:tcW w:w="66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Balance, December 31, 2006</w:t>
            </w:r>
          </w:p>
        </w:tc>
        <w:tc>
          <w:tcPr>
            <w:tcW w:w="1360" w:type="dxa"/>
            <w:vAlign w:val="bottom"/>
            <w:tcBorders>
              <w:top w:val="single" w:sz="8" w:color="auto"/>
            </w:tcBorders>
            <w:shd w:val="clear" w:color="auto" w:fill="E5E5E5"/>
          </w:tcPr>
          <w:p>
            <w:pPr>
              <w:jc w:val="right"/>
              <w:ind w:right="176"/>
              <w:spacing w:after="0"/>
              <w:rPr>
                <w:sz w:val="20"/>
                <w:szCs w:val="20"/>
                <w:color w:val="auto"/>
              </w:rPr>
            </w:pPr>
            <w:r>
              <w:rPr>
                <w:rFonts w:ascii="Arial" w:cs="Arial" w:eastAsia="Arial" w:hAnsi="Arial"/>
                <w:sz w:val="18"/>
                <w:szCs w:val="18"/>
                <w:color w:val="auto"/>
              </w:rPr>
              <w:t>$12,010</w:t>
            </w:r>
          </w:p>
        </w:tc>
        <w:tc>
          <w:tcPr>
            <w:tcW w:w="520" w:type="dxa"/>
            <w:vAlign w:val="bottom"/>
            <w:tcBorders>
              <w:top w:val="single" w:sz="8" w:color="auto"/>
            </w:tcBorders>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E5E5E5"/>
          </w:tcPr>
          <w:p>
            <w:pPr>
              <w:jc w:val="right"/>
              <w:ind w:right="212"/>
              <w:spacing w:after="0"/>
              <w:rPr>
                <w:sz w:val="20"/>
                <w:szCs w:val="20"/>
                <w:color w:val="auto"/>
              </w:rPr>
            </w:pPr>
            <w:r>
              <w:rPr>
                <w:rFonts w:ascii="Arial" w:cs="Arial" w:eastAsia="Arial" w:hAnsi="Arial"/>
                <w:sz w:val="18"/>
                <w:szCs w:val="18"/>
                <w:color w:val="auto"/>
              </w:rPr>
              <w:t>1,441</w:t>
            </w:r>
          </w:p>
        </w:tc>
        <w:tc>
          <w:tcPr>
            <w:tcW w:w="480" w:type="dxa"/>
            <w:vAlign w:val="bottom"/>
            <w:tcBorders>
              <w:top w:val="single" w:sz="8" w:color="auto"/>
            </w:tcBorders>
            <w:shd w:val="clear" w:color="auto" w:fill="E5E5E5"/>
          </w:tcPr>
          <w:p>
            <w:pPr>
              <w:ind w:left="28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E5E5E5"/>
          </w:tcPr>
          <w:p>
            <w:pPr>
              <w:jc w:val="right"/>
              <w:ind w:right="232"/>
              <w:spacing w:after="0"/>
              <w:rPr>
                <w:sz w:val="20"/>
                <w:szCs w:val="20"/>
                <w:color w:val="auto"/>
              </w:rPr>
            </w:pPr>
            <w:r>
              <w:rPr>
                <w:rFonts w:ascii="Arial" w:cs="Arial" w:eastAsia="Arial" w:hAnsi="Arial"/>
                <w:sz w:val="18"/>
                <w:szCs w:val="18"/>
                <w:color w:val="auto"/>
              </w:rPr>
              <w:t>317</w:t>
            </w:r>
          </w:p>
        </w:tc>
        <w:tc>
          <w:tcPr>
            <w:tcW w:w="8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$13,768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Settlements or adjustments</w:t>
            </w:r>
          </w:p>
        </w:tc>
        <w:tc>
          <w:tcPr>
            <w:tcW w:w="1360" w:type="dxa"/>
            <w:vAlign w:val="bottom"/>
          </w:tcPr>
          <w:p>
            <w:pPr>
              <w:jc w:val="right"/>
              <w:ind w:right="176"/>
              <w:spacing w:after="0"/>
              <w:rPr>
                <w:sz w:val="20"/>
                <w:szCs w:val="20"/>
                <w:color w:val="auto"/>
              </w:rPr>
            </w:pPr>
            <w:r>
              <w:rPr>
                <w:rFonts w:ascii="Arial" w:cs="Arial" w:eastAsia="Arial" w:hAnsi="Arial"/>
                <w:sz w:val="18"/>
                <w:szCs w:val="18"/>
                <w:color w:val="auto"/>
              </w:rPr>
              <w:t>185</w:t>
            </w:r>
          </w:p>
        </w:tc>
        <w:tc>
          <w:tcPr>
            <w:tcW w:w="520" w:type="dxa"/>
            <w:vAlign w:val="bottom"/>
          </w:tcPr>
          <w:p>
            <w:pPr>
              <w:spacing w:after="0"/>
              <w:rPr>
                <w:sz w:val="18"/>
                <w:szCs w:val="18"/>
                <w:color w:val="auto"/>
              </w:rPr>
            </w:pPr>
          </w:p>
        </w:tc>
        <w:tc>
          <w:tcPr>
            <w:tcW w:w="860" w:type="dxa"/>
            <w:vAlign w:val="bottom"/>
          </w:tcPr>
          <w:p>
            <w:pPr>
              <w:jc w:val="right"/>
              <w:ind w:right="172"/>
              <w:spacing w:after="0"/>
              <w:rPr>
                <w:sz w:val="20"/>
                <w:szCs w:val="20"/>
                <w:color w:val="auto"/>
              </w:rPr>
            </w:pPr>
            <w:r>
              <w:rPr>
                <w:rFonts w:ascii="Arial" w:cs="Arial" w:eastAsia="Arial" w:hAnsi="Arial"/>
                <w:sz w:val="18"/>
                <w:szCs w:val="18"/>
                <w:color w:val="auto"/>
              </w:rPr>
              <w:t>(8)</w:t>
            </w:r>
          </w:p>
        </w:tc>
        <w:tc>
          <w:tcPr>
            <w:tcW w:w="480" w:type="dxa"/>
            <w:vAlign w:val="bottom"/>
          </w:tcPr>
          <w:p>
            <w:pPr>
              <w:spacing w:after="0"/>
              <w:rPr>
                <w:sz w:val="18"/>
                <w:szCs w:val="18"/>
                <w:color w:val="auto"/>
              </w:rPr>
            </w:pPr>
          </w:p>
        </w:tc>
        <w:tc>
          <w:tcPr>
            <w:tcW w:w="720" w:type="dxa"/>
            <w:vAlign w:val="bottom"/>
          </w:tcPr>
          <w:p>
            <w:pPr>
              <w:jc w:val="right"/>
              <w:ind w:right="172"/>
              <w:spacing w:after="0"/>
              <w:rPr>
                <w:sz w:val="20"/>
                <w:szCs w:val="20"/>
                <w:color w:val="auto"/>
              </w:rPr>
            </w:pPr>
            <w:r>
              <w:rPr>
                <w:rFonts w:ascii="Arial" w:cs="Arial" w:eastAsia="Arial" w:hAnsi="Arial"/>
                <w:sz w:val="18"/>
                <w:szCs w:val="18"/>
                <w:color w:val="auto"/>
              </w:rPr>
              <w:t>(79)</w:t>
            </w:r>
          </w:p>
        </w:tc>
        <w:tc>
          <w:tcPr>
            <w:tcW w:w="840" w:type="dxa"/>
            <w:vAlign w:val="bottom"/>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2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Acquisitions</w:t>
            </w:r>
          </w:p>
        </w:tc>
        <w:tc>
          <w:tcPr>
            <w:tcW w:w="1360" w:type="dxa"/>
            <w:vAlign w:val="bottom"/>
            <w:tcBorders>
              <w:bottom w:val="single" w:sz="8" w:color="auto"/>
            </w:tcBorders>
            <w:shd w:val="clear" w:color="auto" w:fill="E5E5E5"/>
          </w:tcPr>
          <w:p>
            <w:pPr>
              <w:jc w:val="right"/>
              <w:ind w:right="176"/>
              <w:spacing w:after="0"/>
              <w:rPr>
                <w:sz w:val="20"/>
                <w:szCs w:val="20"/>
                <w:color w:val="auto"/>
              </w:rPr>
            </w:pPr>
            <w:r>
              <w:rPr>
                <w:rFonts w:ascii="Arial" w:cs="Arial" w:eastAsia="Arial" w:hAnsi="Arial"/>
                <w:sz w:val="18"/>
                <w:szCs w:val="18"/>
                <w:color w:val="auto"/>
              </w:rPr>
              <w:t>528</w:t>
            </w:r>
          </w:p>
        </w:tc>
        <w:tc>
          <w:tcPr>
            <w:tcW w:w="52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212"/>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232"/>
              <w:spacing w:after="0"/>
              <w:rPr>
                <w:sz w:val="20"/>
                <w:szCs w:val="20"/>
                <w:color w:val="auto"/>
              </w:rPr>
            </w:pPr>
            <w:r>
              <w:rPr>
                <w:rFonts w:ascii="Arial" w:cs="Arial" w:eastAsia="Arial" w:hAnsi="Arial"/>
                <w:sz w:val="18"/>
                <w:szCs w:val="18"/>
                <w:color w:val="auto"/>
              </w:rPr>
              <w:t>155</w:t>
            </w:r>
          </w:p>
        </w:tc>
        <w:tc>
          <w:tcPr>
            <w:tcW w:w="8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683</w:t>
            </w: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b w:val="1"/>
                <w:bCs w:val="1"/>
                <w:color w:val="auto"/>
              </w:rPr>
              <w:t>Balance, September 30, 2007</w:t>
            </w:r>
          </w:p>
        </w:tc>
        <w:tc>
          <w:tcPr>
            <w:tcW w:w="136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b w:val="1"/>
                <w:bCs w:val="1"/>
                <w:color w:val="auto"/>
              </w:rPr>
              <w:t>$12,723</w:t>
            </w: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1,433</w:t>
            </w:r>
          </w:p>
        </w:tc>
        <w:tc>
          <w:tcPr>
            <w:tcW w:w="4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393</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$14,549</w:t>
            </w:r>
          </w:p>
        </w:tc>
        <w:tc>
          <w:tcPr>
            <w:tcW w:w="20" w:type="dxa"/>
            <w:vAlign w:val="bottom"/>
            <w:tcBorders>
              <w:bottom w:val="single" w:sz="8" w:color="auto"/>
            </w:tcBorders>
          </w:tcPr>
          <w:p>
            <w:pPr>
              <w:spacing w:after="0"/>
              <w:rPr>
                <w:sz w:val="18"/>
                <w:szCs w:val="18"/>
                <w:color w:val="auto"/>
              </w:rPr>
            </w:pPr>
          </w:p>
        </w:tc>
      </w:tr>
    </w:tbl>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Settlements or adjustments are primarily a result of valuation refinements related to the Adelphia and Time Warner transactions and the adoption of FIN 48.</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Acquisitions are primarily related to the acquisition of the Houston Asset Pool, Patriot Media and various smaller acquisitions.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Long-Term Debt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Borrowings</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nine months ended September 30, 2007, we issued approximately $3.6 billion principal amount of debt. In August 2007, we issued $3.0 billion of notes consisting of $1.0 billion principal amount of 6.30% notes due 2017 and $2.0 billion principal amount of 6.95% notes due 2037. We used the net proceeds of these offerings for working capital and general corporate purposes, including the repayment of commercial paper obligations. In May 2007, we issued $575 million principal amount of 6.625% notes due 2056. We used the net proceeds of this offering for the repayment of certain debt obligations, working capital and general corporate purposes.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Redemptions and Repayments</w:t>
      </w:r>
    </w:p>
    <w:p>
      <w:pPr>
        <w:spacing w:after="0" w:line="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During the nine months ended September 30, 2007, we redeemed or repaid approximately $1.5 billion principal amount of our debt. In February 2007, we redeemed $186 million principal amount of 8.15% notes due 2032. In March 2007, we redeemed $268 million principal amount of 9.65% debt supporting trust preferred securities due 2027. In April 2007, we repaid a $185 million term loan due 2008. In May 2007, we repaid all $600 million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SEPTEMBER 30, 2007</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principal amount of 8.375% notes at maturity. During the nine months ended September 30, 2007, we also repaid approximately $200 million of amounts outstanding under our commercial paper program. These redemptions and repayments were funded with available cash and with the proceeds from the May 2007 notes offering.</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Stockholders’ Equity</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74" w:lineRule="exact"/>
        <w:rPr>
          <w:sz w:val="20"/>
          <w:szCs w:val="20"/>
          <w:color w:val="auto"/>
        </w:rPr>
      </w:pPr>
    </w:p>
    <w:p>
      <w:pPr>
        <w:jc w:val="both"/>
        <w:spacing w:after="0" w:line="325" w:lineRule="auto"/>
        <w:rPr>
          <w:sz w:val="20"/>
          <w:szCs w:val="20"/>
          <w:color w:val="auto"/>
        </w:rPr>
      </w:pPr>
      <w:r>
        <w:rPr>
          <w:rFonts w:ascii="Arial" w:cs="Arial" w:eastAsia="Arial" w:hAnsi="Arial"/>
          <w:sz w:val="16"/>
          <w:szCs w:val="16"/>
          <w:color w:val="auto"/>
        </w:rPr>
        <w:t>Effective January 1, 2006, we adopted SFAS No. 123R, “Share-Based Payment” (“SFAS No. 123R”), which requires the cost of all share-based payments to employees to be recognized in the financial statements based on their fair values at grant date, or the date of later modification, over the requisite service period.</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Stock Split, all outstanding share-based awards were modified as required under the terms of our equity plans. This modification did not change the fair value of outstanding awards. Prior to this modification, compensation costs related to awards granted before the adoption of SFAS No. 123R were recognized under an accelerated recognition method. As a result of the Stock Split modification, the remaining unrecognized compensation costs related to all awards are recognized on a straight-line basis over the remaining requisite service period. The impact of this change was not material to our consolidated financial statements.</w:t>
      </w:r>
    </w:p>
    <w:p>
      <w:pPr>
        <w:spacing w:after="0" w:line="4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March 2007, 12.5 million stock options and 4.9 million restricted share units (“RSUs”) were granted related to our annual management grant program. The fair values associated with these grants were $9.47 per stock option and $25.44 per RSU.</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Compensation expense recognized related to stock options and RSU awards is summarized in the table below:</w:t>
      </w:r>
    </w:p>
    <w:p>
      <w:pPr>
        <w:spacing w:after="0" w:line="12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940" w:type="dxa"/>
            <w:vAlign w:val="bottom"/>
            <w:gridSpan w:val="3"/>
          </w:tcPr>
          <w:p>
            <w:pPr>
              <w:jc w:val="center"/>
              <w:ind w:right="339"/>
              <w:spacing w:after="0"/>
              <w:rPr>
                <w:sz w:val="20"/>
                <w:szCs w:val="20"/>
                <w:color w:val="auto"/>
              </w:rPr>
            </w:pPr>
            <w:r>
              <w:rPr>
                <w:rFonts w:ascii="Arial" w:cs="Arial" w:eastAsia="Arial" w:hAnsi="Arial"/>
                <w:sz w:val="14"/>
                <w:szCs w:val="14"/>
                <w:b w:val="1"/>
                <w:bCs w:val="1"/>
                <w:color w:val="auto"/>
                <w:w w:val="89"/>
              </w:rPr>
              <w:t>Three Months Ended</w:t>
            </w:r>
          </w:p>
        </w:tc>
        <w:tc>
          <w:tcPr>
            <w:tcW w:w="1980" w:type="dxa"/>
            <w:vAlign w:val="bottom"/>
            <w:gridSpan w:val="3"/>
          </w:tcPr>
          <w:p>
            <w:pPr>
              <w:jc w:val="center"/>
              <w:ind w:left="224"/>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566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7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center"/>
              <w:ind w:left="244"/>
              <w:spacing w:after="0"/>
              <w:rPr>
                <w:sz w:val="20"/>
                <w:szCs w:val="20"/>
                <w:color w:val="auto"/>
              </w:rPr>
            </w:pPr>
            <w:r>
              <w:rPr>
                <w:rFonts w:ascii="Arial" w:cs="Arial" w:eastAsia="Arial" w:hAnsi="Arial"/>
                <w:sz w:val="14"/>
                <w:szCs w:val="14"/>
                <w:b w:val="1"/>
                <w:bCs w:val="1"/>
                <w:color w:val="auto"/>
                <w:w w:val="87"/>
              </w:rPr>
              <w:t>September 30,</w:t>
            </w:r>
          </w:p>
        </w:tc>
        <w:tc>
          <w:tcPr>
            <w:tcW w:w="7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jc w:val="center"/>
              <w:ind w:left="624"/>
              <w:spacing w:after="0"/>
              <w:rPr>
                <w:sz w:val="20"/>
                <w:szCs w:val="20"/>
                <w:color w:val="auto"/>
              </w:rPr>
            </w:pPr>
            <w:r>
              <w:rPr>
                <w:rFonts w:ascii="Arial" w:cs="Arial" w:eastAsia="Arial" w:hAnsi="Arial"/>
                <w:sz w:val="14"/>
                <w:szCs w:val="14"/>
                <w:b w:val="1"/>
                <w:bCs w:val="1"/>
                <w:color w:val="auto"/>
                <w:w w:val="85"/>
              </w:rPr>
              <w:t>September 30,</w:t>
            </w:r>
          </w:p>
        </w:tc>
        <w:tc>
          <w:tcPr>
            <w:tcW w:w="4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6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jc w:val="right"/>
              <w:ind w:right="384"/>
              <w:spacing w:after="0" w:line="142" w:lineRule="exact"/>
              <w:rPr>
                <w:sz w:val="20"/>
                <w:szCs w:val="20"/>
                <w:color w:val="auto"/>
              </w:rPr>
            </w:pPr>
            <w:r>
              <w:rPr>
                <w:rFonts w:ascii="Arial" w:cs="Arial" w:eastAsia="Arial" w:hAnsi="Arial"/>
                <w:sz w:val="14"/>
                <w:szCs w:val="14"/>
                <w:b w:val="1"/>
                <w:bCs w:val="1"/>
                <w:color w:val="auto"/>
                <w:w w:val="89"/>
              </w:rPr>
              <w:t>2007</w:t>
            </w:r>
          </w:p>
        </w:tc>
        <w:tc>
          <w:tcPr>
            <w:tcW w:w="440" w:type="dxa"/>
            <w:vAlign w:val="bottom"/>
          </w:tcPr>
          <w:p>
            <w:pPr>
              <w:spacing w:after="0"/>
              <w:rPr>
                <w:sz w:val="12"/>
                <w:szCs w:val="12"/>
                <w:color w:val="auto"/>
              </w:rPr>
            </w:pPr>
          </w:p>
        </w:tc>
        <w:tc>
          <w:tcPr>
            <w:tcW w:w="740" w:type="dxa"/>
            <w:vAlign w:val="bottom"/>
          </w:tcPr>
          <w:p>
            <w:pPr>
              <w:jc w:val="right"/>
              <w:ind w:right="379"/>
              <w:spacing w:after="0" w:line="142" w:lineRule="exact"/>
              <w:rPr>
                <w:sz w:val="20"/>
                <w:szCs w:val="20"/>
                <w:color w:val="auto"/>
              </w:rPr>
            </w:pPr>
            <w:r>
              <w:rPr>
                <w:rFonts w:ascii="Arial" w:cs="Arial" w:eastAsia="Arial" w:hAnsi="Arial"/>
                <w:sz w:val="14"/>
                <w:szCs w:val="14"/>
                <w:b w:val="1"/>
                <w:bCs w:val="1"/>
                <w:color w:val="auto"/>
                <w:w w:val="83"/>
              </w:rPr>
              <w:t>2006</w:t>
            </w:r>
          </w:p>
        </w:tc>
        <w:tc>
          <w:tcPr>
            <w:tcW w:w="1120" w:type="dxa"/>
            <w:vAlign w:val="bottom"/>
          </w:tcPr>
          <w:p>
            <w:pPr>
              <w:jc w:val="right"/>
              <w:ind w:right="364"/>
              <w:spacing w:after="0" w:line="142" w:lineRule="exact"/>
              <w:rPr>
                <w:sz w:val="20"/>
                <w:szCs w:val="20"/>
                <w:color w:val="auto"/>
              </w:rPr>
            </w:pPr>
            <w:r>
              <w:rPr>
                <w:rFonts w:ascii="Arial" w:cs="Arial" w:eastAsia="Arial" w:hAnsi="Arial"/>
                <w:sz w:val="14"/>
                <w:szCs w:val="14"/>
                <w:b w:val="1"/>
                <w:bCs w:val="1"/>
                <w:color w:val="auto"/>
              </w:rPr>
              <w:t>2007</w:t>
            </w:r>
          </w:p>
        </w:tc>
        <w:tc>
          <w:tcPr>
            <w:tcW w:w="440" w:type="dxa"/>
            <w:vAlign w:val="bottom"/>
          </w:tcPr>
          <w:p>
            <w:pPr>
              <w:spacing w:after="0"/>
              <w:rPr>
                <w:sz w:val="12"/>
                <w:szCs w:val="12"/>
                <w:color w:val="auto"/>
              </w:rPr>
            </w:pPr>
          </w:p>
        </w:tc>
        <w:tc>
          <w:tcPr>
            <w:tcW w:w="420" w:type="dxa"/>
            <w:vAlign w:val="bottom"/>
          </w:tcPr>
          <w:p>
            <w:pPr>
              <w:jc w:val="right"/>
              <w:ind w:right="59"/>
              <w:spacing w:after="0" w:line="142" w:lineRule="exact"/>
              <w:rPr>
                <w:sz w:val="20"/>
                <w:szCs w:val="20"/>
                <w:color w:val="auto"/>
              </w:rPr>
            </w:pPr>
            <w:r>
              <w:rPr>
                <w:rFonts w:ascii="Arial" w:cs="Arial" w:eastAsia="Arial" w:hAnsi="Arial"/>
                <w:sz w:val="14"/>
                <w:szCs w:val="14"/>
                <w:b w:val="1"/>
                <w:bCs w:val="1"/>
                <w:color w:val="auto"/>
                <w:w w:val="83"/>
              </w:rPr>
              <w:t>2006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Stock options</w:t>
            </w:r>
          </w:p>
        </w:tc>
        <w:tc>
          <w:tcPr>
            <w:tcW w:w="7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E5E5E5"/>
          </w:tcPr>
          <w:p>
            <w:pPr>
              <w:jc w:val="right"/>
              <w:ind w:right="244"/>
              <w:spacing w:after="0"/>
              <w:rPr>
                <w:sz w:val="20"/>
                <w:szCs w:val="20"/>
                <w:color w:val="auto"/>
              </w:rPr>
            </w:pPr>
            <w:r>
              <w:rPr>
                <w:rFonts w:ascii="Arial" w:cs="Arial" w:eastAsia="Arial" w:hAnsi="Arial"/>
                <w:sz w:val="18"/>
                <w:szCs w:val="18"/>
                <w:color w:val="auto"/>
              </w:rPr>
              <w:t>23</w:t>
            </w:r>
          </w:p>
        </w:tc>
        <w:tc>
          <w:tcPr>
            <w:tcW w:w="4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E5E5E5"/>
          </w:tcPr>
          <w:p>
            <w:pPr>
              <w:jc w:val="right"/>
              <w:ind w:right="239"/>
              <w:spacing w:after="0"/>
              <w:rPr>
                <w:sz w:val="20"/>
                <w:szCs w:val="20"/>
                <w:color w:val="auto"/>
              </w:rPr>
            </w:pPr>
            <w:r>
              <w:rPr>
                <w:rFonts w:ascii="Arial" w:cs="Arial" w:eastAsia="Arial" w:hAnsi="Arial"/>
                <w:sz w:val="18"/>
                <w:szCs w:val="18"/>
                <w:color w:val="auto"/>
              </w:rPr>
              <w:t>31</w:t>
            </w:r>
          </w:p>
        </w:tc>
        <w:tc>
          <w:tcPr>
            <w:tcW w:w="1120" w:type="dxa"/>
            <w:vAlign w:val="bottom"/>
            <w:tcBorders>
              <w:top w:val="single" w:sz="8" w:color="auto"/>
            </w:tcBorders>
            <w:shd w:val="clear" w:color="auto" w:fill="E5E5E5"/>
          </w:tcPr>
          <w:p>
            <w:pPr>
              <w:jc w:val="right"/>
              <w:ind w:right="244"/>
              <w:spacing w:after="0"/>
              <w:rPr>
                <w:sz w:val="20"/>
                <w:szCs w:val="20"/>
                <w:color w:val="auto"/>
              </w:rPr>
            </w:pPr>
            <w:r>
              <w:rPr>
                <w:rFonts w:ascii="Arial" w:cs="Arial" w:eastAsia="Arial" w:hAnsi="Arial"/>
                <w:sz w:val="18"/>
                <w:szCs w:val="18"/>
                <w:color w:val="auto"/>
              </w:rPr>
              <w:t>$   67</w:t>
            </w:r>
          </w:p>
        </w:tc>
        <w:tc>
          <w:tcPr>
            <w:tcW w:w="4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Restricted share units</w:t>
            </w:r>
          </w:p>
        </w:tc>
        <w:tc>
          <w:tcPr>
            <w:tcW w:w="700" w:type="dxa"/>
            <w:vAlign w:val="bottom"/>
          </w:tcPr>
          <w:p>
            <w:pPr>
              <w:spacing w:after="0"/>
              <w:rPr>
                <w:sz w:val="19"/>
                <w:szCs w:val="19"/>
                <w:color w:val="auto"/>
              </w:rPr>
            </w:pPr>
          </w:p>
        </w:tc>
        <w:tc>
          <w:tcPr>
            <w:tcW w:w="760" w:type="dxa"/>
            <w:vAlign w:val="bottom"/>
          </w:tcPr>
          <w:p>
            <w:pPr>
              <w:jc w:val="right"/>
              <w:ind w:right="244"/>
              <w:spacing w:after="0"/>
              <w:rPr>
                <w:sz w:val="20"/>
                <w:szCs w:val="20"/>
                <w:color w:val="auto"/>
              </w:rPr>
            </w:pPr>
            <w:r>
              <w:rPr>
                <w:rFonts w:ascii="Arial" w:cs="Arial" w:eastAsia="Arial" w:hAnsi="Arial"/>
                <w:sz w:val="18"/>
                <w:szCs w:val="18"/>
                <w:color w:val="auto"/>
              </w:rPr>
              <w:t>21</w:t>
            </w:r>
          </w:p>
        </w:tc>
        <w:tc>
          <w:tcPr>
            <w:tcW w:w="440" w:type="dxa"/>
            <w:vAlign w:val="bottom"/>
          </w:tcPr>
          <w:p>
            <w:pPr>
              <w:spacing w:after="0"/>
              <w:rPr>
                <w:sz w:val="19"/>
                <w:szCs w:val="19"/>
                <w:color w:val="auto"/>
              </w:rPr>
            </w:pPr>
          </w:p>
        </w:tc>
        <w:tc>
          <w:tcPr>
            <w:tcW w:w="740" w:type="dxa"/>
            <w:vAlign w:val="bottom"/>
          </w:tcPr>
          <w:p>
            <w:pPr>
              <w:jc w:val="right"/>
              <w:ind w:right="239"/>
              <w:spacing w:after="0"/>
              <w:rPr>
                <w:sz w:val="20"/>
                <w:szCs w:val="20"/>
                <w:color w:val="auto"/>
              </w:rPr>
            </w:pPr>
            <w:r>
              <w:rPr>
                <w:rFonts w:ascii="Arial" w:cs="Arial" w:eastAsia="Arial" w:hAnsi="Arial"/>
                <w:sz w:val="18"/>
                <w:szCs w:val="18"/>
                <w:color w:val="auto"/>
              </w:rPr>
              <w:t>18</w:t>
            </w:r>
          </w:p>
        </w:tc>
        <w:tc>
          <w:tcPr>
            <w:tcW w:w="1120" w:type="dxa"/>
            <w:vAlign w:val="bottom"/>
          </w:tcPr>
          <w:p>
            <w:pPr>
              <w:jc w:val="right"/>
              <w:ind w:right="244"/>
              <w:spacing w:after="0"/>
              <w:rPr>
                <w:sz w:val="20"/>
                <w:szCs w:val="20"/>
                <w:color w:val="auto"/>
              </w:rPr>
            </w:pPr>
            <w:r>
              <w:rPr>
                <w:rFonts w:ascii="Arial" w:cs="Arial" w:eastAsia="Arial" w:hAnsi="Arial"/>
                <w:sz w:val="18"/>
                <w:szCs w:val="18"/>
                <w:color w:val="auto"/>
              </w:rPr>
              <w:t>55</w:t>
            </w:r>
          </w:p>
        </w:tc>
        <w:tc>
          <w:tcPr>
            <w:tcW w:w="4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As of September 30, 2007, there was $279 million and $271 million of unrecognized pretax compensation cost related to nonvested stock options and nonvested RSUs, respectively.</w:t>
      </w:r>
    </w:p>
    <w:p>
      <w:pPr>
        <w:spacing w:after="0" w:line="3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Effective with the March 2007 grant, we are granting net-settled stock options instead of stock options exercised with a cash payment. In net-settled stock options, an employee receives the number of shares equal to the number of options being exercised less the number of shares necessary to satisfy the cost to exercise the options and, if applicable, taxes due on exercise based on the fair value of the shares on the exercise date. Net-settled stock options will result in fewer shares issued into the market and no cash proceeds will be received by us upon exercise of options. In July 2007, we offered holders of non-qualified stock options the opportunity to convert their outstanding options to net-settled stock options. As of September 30, 2007, over half of our 177 million total outstanding stock options were designated net-settled stock options.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Our total comprehensive income for the three and nine months ended September 30, 2007 and 2006 is presented in the table below:</w:t>
      </w:r>
    </w:p>
    <w:p>
      <w:pPr>
        <w:spacing w:after="0" w:line="12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40" w:type="dxa"/>
            <w:vAlign w:val="bottom"/>
            <w:gridSpan w:val="3"/>
          </w:tcPr>
          <w:p>
            <w:pPr>
              <w:jc w:val="right"/>
              <w:ind w:right="496"/>
              <w:spacing w:after="0"/>
              <w:rPr>
                <w:sz w:val="20"/>
                <w:szCs w:val="20"/>
                <w:color w:val="auto"/>
              </w:rPr>
            </w:pPr>
            <w:r>
              <w:rPr>
                <w:rFonts w:ascii="Arial" w:cs="Arial" w:eastAsia="Arial" w:hAnsi="Arial"/>
                <w:sz w:val="14"/>
                <w:szCs w:val="14"/>
                <w:b w:val="1"/>
                <w:bCs w:val="1"/>
                <w:color w:val="auto"/>
                <w:w w:val="96"/>
              </w:rPr>
              <w:t>Three Months Ended</w:t>
            </w:r>
          </w:p>
        </w:tc>
        <w:tc>
          <w:tcPr>
            <w:tcW w:w="2000" w:type="dxa"/>
            <w:vAlign w:val="bottom"/>
            <w:gridSpan w:val="2"/>
          </w:tcPr>
          <w:p>
            <w:pPr>
              <w:jc w:val="right"/>
              <w:ind w:right="196"/>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496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6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2"/>
          </w:tcPr>
          <w:p>
            <w:pPr>
              <w:jc w:val="right"/>
              <w:ind w:right="376"/>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496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jc w:val="right"/>
              <w:ind w:right="400"/>
              <w:spacing w:after="0" w:line="142" w:lineRule="exact"/>
              <w:rPr>
                <w:sz w:val="20"/>
                <w:szCs w:val="20"/>
                <w:color w:val="auto"/>
              </w:rPr>
            </w:pPr>
            <w:r>
              <w:rPr>
                <w:rFonts w:ascii="Arial" w:cs="Arial" w:eastAsia="Arial" w:hAnsi="Arial"/>
                <w:sz w:val="14"/>
                <w:szCs w:val="14"/>
                <w:b w:val="1"/>
                <w:bCs w:val="1"/>
                <w:color w:val="auto"/>
                <w:w w:val="89"/>
              </w:rPr>
              <w:t>2007</w:t>
            </w:r>
          </w:p>
        </w:tc>
        <w:tc>
          <w:tcPr>
            <w:tcW w:w="400" w:type="dxa"/>
            <w:vAlign w:val="bottom"/>
          </w:tcPr>
          <w:p>
            <w:pPr>
              <w:spacing w:after="0"/>
              <w:rPr>
                <w:sz w:val="12"/>
                <w:szCs w:val="12"/>
                <w:color w:val="auto"/>
              </w:rPr>
            </w:pPr>
          </w:p>
        </w:tc>
        <w:tc>
          <w:tcPr>
            <w:tcW w:w="760" w:type="dxa"/>
            <w:vAlign w:val="bottom"/>
          </w:tcPr>
          <w:p>
            <w:pPr>
              <w:jc w:val="right"/>
              <w:ind w:right="396"/>
              <w:spacing w:after="0" w:line="142" w:lineRule="exact"/>
              <w:rPr>
                <w:sz w:val="20"/>
                <w:szCs w:val="20"/>
                <w:color w:val="auto"/>
              </w:rPr>
            </w:pPr>
            <w:r>
              <w:rPr>
                <w:rFonts w:ascii="Arial" w:cs="Arial" w:eastAsia="Arial" w:hAnsi="Arial"/>
                <w:sz w:val="14"/>
                <w:szCs w:val="14"/>
                <w:b w:val="1"/>
                <w:bCs w:val="1"/>
                <w:color w:val="auto"/>
                <w:w w:val="83"/>
              </w:rPr>
              <w:t>2006</w:t>
            </w:r>
          </w:p>
        </w:tc>
        <w:tc>
          <w:tcPr>
            <w:tcW w:w="1160" w:type="dxa"/>
            <w:vAlign w:val="bottom"/>
          </w:tcPr>
          <w:p>
            <w:pPr>
              <w:jc w:val="right"/>
              <w:ind w:right="400"/>
              <w:spacing w:after="0" w:line="142" w:lineRule="exact"/>
              <w:rPr>
                <w:sz w:val="20"/>
                <w:szCs w:val="20"/>
                <w:color w:val="auto"/>
              </w:rPr>
            </w:pPr>
            <w:r>
              <w:rPr>
                <w:rFonts w:ascii="Arial" w:cs="Arial" w:eastAsia="Arial" w:hAnsi="Arial"/>
                <w:sz w:val="14"/>
                <w:szCs w:val="14"/>
                <w:b w:val="1"/>
                <w:bCs w:val="1"/>
                <w:color w:val="auto"/>
              </w:rPr>
              <w:t>2007</w:t>
            </w:r>
          </w:p>
        </w:tc>
        <w:tc>
          <w:tcPr>
            <w:tcW w:w="84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w:t>
            </w:r>
          </w:p>
        </w:tc>
        <w:tc>
          <w:tcPr>
            <w:tcW w:w="1380" w:type="dxa"/>
            <w:vAlign w:val="bottom"/>
            <w:tcBorders>
              <w:top w:val="single" w:sz="8" w:color="auto"/>
            </w:tcBorders>
            <w:gridSpan w:val="2"/>
            <w:shd w:val="clear" w:color="auto" w:fill="E5E5E5"/>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E5E5E5"/>
          </w:tcPr>
          <w:p>
            <w:pPr>
              <w:jc w:val="right"/>
              <w:ind w:right="260"/>
              <w:spacing w:after="0"/>
              <w:rPr>
                <w:sz w:val="20"/>
                <w:szCs w:val="20"/>
                <w:color w:val="auto"/>
              </w:rPr>
            </w:pPr>
            <w:r>
              <w:rPr>
                <w:rFonts w:ascii="Arial" w:cs="Arial" w:eastAsia="Arial" w:hAnsi="Arial"/>
                <w:sz w:val="18"/>
                <w:szCs w:val="18"/>
                <w:color w:val="auto"/>
              </w:rPr>
              <w:t>560</w:t>
            </w:r>
          </w:p>
        </w:tc>
        <w:tc>
          <w:tcPr>
            <w:tcW w:w="4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E5E5E5"/>
          </w:tcPr>
          <w:p>
            <w:pPr>
              <w:jc w:val="right"/>
              <w:ind w:right="236"/>
              <w:spacing w:after="0"/>
              <w:rPr>
                <w:sz w:val="20"/>
                <w:szCs w:val="20"/>
                <w:color w:val="auto"/>
              </w:rPr>
            </w:pPr>
            <w:r>
              <w:rPr>
                <w:rFonts w:ascii="Arial" w:cs="Arial" w:eastAsia="Arial" w:hAnsi="Arial"/>
                <w:sz w:val="18"/>
                <w:szCs w:val="18"/>
                <w:color w:val="auto"/>
                <w:w w:val="93"/>
              </w:rPr>
              <w:t>1,217</w:t>
            </w:r>
          </w:p>
        </w:tc>
        <w:tc>
          <w:tcPr>
            <w:tcW w:w="1160" w:type="dxa"/>
            <w:vAlign w:val="bottom"/>
            <w:tcBorders>
              <w:top w:val="single" w:sz="8" w:color="auto"/>
            </w:tcBorders>
            <w:shd w:val="clear" w:color="auto" w:fill="E5E5E5"/>
          </w:tcPr>
          <w:p>
            <w:pPr>
              <w:jc w:val="right"/>
              <w:ind w:right="260"/>
              <w:spacing w:after="0"/>
              <w:rPr>
                <w:sz w:val="20"/>
                <w:szCs w:val="20"/>
                <w:color w:val="auto"/>
              </w:rPr>
            </w:pPr>
            <w:r>
              <w:rPr>
                <w:rFonts w:ascii="Arial" w:cs="Arial" w:eastAsia="Arial" w:hAnsi="Arial"/>
                <w:sz w:val="18"/>
                <w:szCs w:val="18"/>
                <w:color w:val="auto"/>
              </w:rPr>
              <w:t>$ 1,985</w:t>
            </w:r>
          </w:p>
        </w:tc>
        <w:tc>
          <w:tcPr>
            <w:tcW w:w="8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$ 2,143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Unrealized (losses) gains on marketable securities</w:t>
            </w: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760" w:type="dxa"/>
            <w:vAlign w:val="bottom"/>
          </w:tcPr>
          <w:p>
            <w:pPr>
              <w:jc w:val="right"/>
              <w:ind w:right="236"/>
              <w:spacing w:after="0"/>
              <w:rPr>
                <w:sz w:val="20"/>
                <w:szCs w:val="20"/>
                <w:color w:val="auto"/>
              </w:rPr>
            </w:pPr>
            <w:r>
              <w:rPr>
                <w:rFonts w:ascii="Arial" w:cs="Arial" w:eastAsia="Arial" w:hAnsi="Arial"/>
                <w:sz w:val="18"/>
                <w:szCs w:val="18"/>
                <w:color w:val="auto"/>
              </w:rPr>
              <w:t>40</w:t>
            </w:r>
          </w:p>
        </w:tc>
        <w:tc>
          <w:tcPr>
            <w:tcW w:w="1160" w:type="dxa"/>
            <w:vAlign w:val="bottom"/>
          </w:tcPr>
          <w:p>
            <w:pPr>
              <w:jc w:val="right"/>
              <w:ind w:right="200"/>
              <w:spacing w:after="0"/>
              <w:rPr>
                <w:sz w:val="20"/>
                <w:szCs w:val="20"/>
                <w:color w:val="auto"/>
              </w:rPr>
            </w:pPr>
            <w:r>
              <w:rPr>
                <w:rFonts w:ascii="Arial" w:cs="Arial" w:eastAsia="Arial" w:hAnsi="Arial"/>
                <w:sz w:val="18"/>
                <w:szCs w:val="18"/>
                <w:color w:val="auto"/>
              </w:rPr>
              <w:t>(2)</w:t>
            </w:r>
          </w:p>
        </w:tc>
        <w:tc>
          <w:tcPr>
            <w:tcW w:w="8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E5E5E5"/>
          </w:tcPr>
          <w:p>
            <w:pPr>
              <w:spacing w:after="0"/>
              <w:rPr>
                <w:sz w:val="20"/>
                <w:szCs w:val="20"/>
                <w:color w:val="auto"/>
              </w:rPr>
            </w:pPr>
            <w:r>
              <w:rPr>
                <w:rFonts w:ascii="Arial" w:cs="Arial" w:eastAsia="Arial" w:hAnsi="Arial"/>
                <w:sz w:val="18"/>
                <w:szCs w:val="18"/>
                <w:color w:val="auto"/>
                <w:w w:val="88"/>
              </w:rPr>
              <w:t>Reclassification adjustments for losses (gains) included in net income</w:t>
            </w:r>
          </w:p>
        </w:tc>
        <w:tc>
          <w:tcPr>
            <w:tcW w:w="62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260"/>
              <w:spacing w:after="0"/>
              <w:rPr>
                <w:sz w:val="20"/>
                <w:szCs w:val="20"/>
                <w:color w:val="auto"/>
              </w:rPr>
            </w:pPr>
            <w:r>
              <w:rPr>
                <w:rFonts w:ascii="Arial" w:cs="Arial" w:eastAsia="Arial" w:hAnsi="Arial"/>
                <w:sz w:val="18"/>
                <w:szCs w:val="18"/>
                <w:color w:val="auto"/>
              </w:rPr>
              <w:t>42</w:t>
            </w:r>
          </w:p>
        </w:tc>
        <w:tc>
          <w:tcPr>
            <w:tcW w:w="40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76"/>
              <w:spacing w:after="0"/>
              <w:rPr>
                <w:sz w:val="20"/>
                <w:szCs w:val="20"/>
                <w:color w:val="auto"/>
              </w:rPr>
            </w:pPr>
            <w:r>
              <w:rPr>
                <w:rFonts w:ascii="Arial" w:cs="Arial" w:eastAsia="Arial" w:hAnsi="Arial"/>
                <w:sz w:val="18"/>
                <w:szCs w:val="18"/>
                <w:color w:val="auto"/>
              </w:rPr>
              <w:t>(39)</w:t>
            </w:r>
          </w:p>
        </w:tc>
        <w:tc>
          <w:tcPr>
            <w:tcW w:w="1160" w:type="dxa"/>
            <w:vAlign w:val="bottom"/>
            <w:shd w:val="clear" w:color="auto" w:fill="E5E5E5"/>
          </w:tcPr>
          <w:p>
            <w:pPr>
              <w:jc w:val="right"/>
              <w:ind w:right="260"/>
              <w:spacing w:after="0"/>
              <w:rPr>
                <w:sz w:val="20"/>
                <w:szCs w:val="20"/>
                <w:color w:val="auto"/>
              </w:rPr>
            </w:pPr>
            <w:r>
              <w:rPr>
                <w:rFonts w:ascii="Arial" w:cs="Arial" w:eastAsia="Arial" w:hAnsi="Arial"/>
                <w:sz w:val="18"/>
                <w:szCs w:val="18"/>
                <w:color w:val="auto"/>
              </w:rPr>
              <w:t>138</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Cumulative translation adjustments</w:t>
            </w:r>
          </w:p>
        </w:tc>
        <w:tc>
          <w:tcPr>
            <w:tcW w:w="62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00"/>
              <w:spacing w:after="0"/>
              <w:rPr>
                <w:sz w:val="20"/>
                <w:szCs w:val="20"/>
                <w:color w:val="auto"/>
              </w:rPr>
            </w:pPr>
            <w:r>
              <w:rPr>
                <w:rFonts w:ascii="Arial" w:cs="Arial" w:eastAsia="Arial" w:hAnsi="Arial"/>
                <w:sz w:val="18"/>
                <w:szCs w:val="18"/>
                <w:color w:val="auto"/>
              </w:rPr>
              <w:t>(1)</w:t>
            </w: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6"/>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200"/>
              <w:spacing w:after="0"/>
              <w:rPr>
                <w:sz w:val="20"/>
                <w:szCs w:val="20"/>
                <w:color w:val="auto"/>
              </w:rPr>
            </w:pPr>
            <w:r>
              <w:rPr>
                <w:rFonts w:ascii="Arial" w:cs="Arial" w:eastAsia="Arial" w:hAnsi="Arial"/>
                <w:sz w:val="18"/>
                <w:szCs w:val="18"/>
                <w:color w:val="auto"/>
              </w:rPr>
              <w:t>(9)</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Comprehensive income</w:t>
            </w:r>
          </w:p>
        </w:tc>
        <w:tc>
          <w:tcPr>
            <w:tcW w:w="1380" w:type="dxa"/>
            <w:vAlign w:val="bottom"/>
            <w:gridSpan w:val="2"/>
            <w:shd w:val="clear" w:color="auto" w:fill="E5E5E5"/>
          </w:tcPr>
          <w:p>
            <w:pPr>
              <w:jc w:val="right"/>
              <w:ind w:right="2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E5E5E5"/>
          </w:tcPr>
          <w:p>
            <w:pPr>
              <w:jc w:val="right"/>
              <w:ind w:right="260"/>
              <w:spacing w:after="0"/>
              <w:rPr>
                <w:sz w:val="20"/>
                <w:szCs w:val="20"/>
                <w:color w:val="auto"/>
              </w:rPr>
            </w:pPr>
            <w:r>
              <w:rPr>
                <w:rFonts w:ascii="Arial" w:cs="Arial" w:eastAsia="Arial" w:hAnsi="Arial"/>
                <w:sz w:val="18"/>
                <w:szCs w:val="18"/>
                <w:b w:val="1"/>
                <w:bCs w:val="1"/>
                <w:color w:val="auto"/>
              </w:rPr>
              <w:t>601</w:t>
            </w:r>
          </w:p>
        </w:tc>
        <w:tc>
          <w:tcPr>
            <w:tcW w:w="4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E5E5E5"/>
          </w:tcPr>
          <w:p>
            <w:pPr>
              <w:jc w:val="right"/>
              <w:ind w:right="236"/>
              <w:spacing w:after="0"/>
              <w:rPr>
                <w:sz w:val="20"/>
                <w:szCs w:val="20"/>
                <w:color w:val="auto"/>
              </w:rPr>
            </w:pPr>
            <w:r>
              <w:rPr>
                <w:rFonts w:ascii="Arial" w:cs="Arial" w:eastAsia="Arial" w:hAnsi="Arial"/>
                <w:sz w:val="18"/>
                <w:szCs w:val="18"/>
                <w:b w:val="1"/>
                <w:bCs w:val="1"/>
                <w:color w:val="auto"/>
                <w:w w:val="93"/>
              </w:rPr>
              <w:t>1,218</w:t>
            </w:r>
          </w:p>
        </w:tc>
        <w:tc>
          <w:tcPr>
            <w:tcW w:w="1160" w:type="dxa"/>
            <w:vAlign w:val="bottom"/>
            <w:shd w:val="clear" w:color="auto" w:fill="E5E5E5"/>
          </w:tcPr>
          <w:p>
            <w:pPr>
              <w:jc w:val="right"/>
              <w:ind w:right="260"/>
              <w:spacing w:after="0"/>
              <w:rPr>
                <w:sz w:val="20"/>
                <w:szCs w:val="20"/>
                <w:color w:val="auto"/>
              </w:rPr>
            </w:pPr>
            <w:r>
              <w:rPr>
                <w:rFonts w:ascii="Arial" w:cs="Arial" w:eastAsia="Arial" w:hAnsi="Arial"/>
                <w:sz w:val="18"/>
                <w:szCs w:val="18"/>
                <w:b w:val="1"/>
                <w:bCs w:val="1"/>
                <w:color w:val="auto"/>
              </w:rPr>
              <w:t>$ 2,112</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$ 2,163</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940" w:type="dxa"/>
            <w:vAlign w:val="bottom"/>
            <w:tcBorders>
              <w:top w:val="single" w:sz="8" w:color="E5E5E5"/>
            </w:tcBorders>
          </w:tcPr>
          <w:p>
            <w:pPr>
              <w:spacing w:after="0"/>
              <w:rPr>
                <w:sz w:val="24"/>
                <w:szCs w:val="24"/>
                <w:color w:val="auto"/>
              </w:rPr>
            </w:pPr>
          </w:p>
        </w:tc>
        <w:tc>
          <w:tcPr>
            <w:tcW w:w="620" w:type="dxa"/>
            <w:vAlign w:val="bottom"/>
            <w:tcBorders>
              <w:top w:val="single" w:sz="8" w:color="E5E5E5"/>
            </w:tcBorders>
          </w:tcPr>
          <w:p>
            <w:pPr>
              <w:jc w:val="right"/>
              <w:ind w:right="252"/>
              <w:spacing w:after="0"/>
              <w:rPr>
                <w:sz w:val="20"/>
                <w:szCs w:val="20"/>
                <w:color w:val="auto"/>
              </w:rPr>
            </w:pPr>
            <w:r>
              <w:rPr>
                <w:rFonts w:ascii="Arial" w:cs="Arial" w:eastAsia="Arial" w:hAnsi="Arial"/>
                <w:sz w:val="18"/>
                <w:szCs w:val="18"/>
                <w:color w:val="auto"/>
              </w:rPr>
              <w:t>10</w:t>
            </w:r>
          </w:p>
        </w:tc>
        <w:tc>
          <w:tcPr>
            <w:tcW w:w="7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SEPTEMBER 30, 2007</w:t>
      </w:r>
    </w:p>
    <w:p>
      <w:pPr>
        <w:spacing w:after="0" w:line="1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Income Taxes</w:t>
      </w:r>
    </w:p>
    <w:p>
      <w:pPr>
        <w:spacing w:after="0" w:line="82"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We adopted the provisions of FIN 48 on January 1, 2007. FIN 48 prescribes the recognition threshold and measurement attribute for the financial statement recognition and measurement of uncertain tax positions taken or expected to be taken in a tax return. As a result of this adoption, we recognized a $35 million decrease in our reserves for uncertain tax positions, a $25 million increase in goodwill, a $60 million increase in retained earnings and a reclassification of approximately $960 million between deferred income taxes and other noncurrent liabilities to conform with the balance sheet presentation requirements of FIN</w:t>
      </w:r>
    </w:p>
    <w:p>
      <w:pPr>
        <w:spacing w:after="0" w:line="3" w:lineRule="exact"/>
        <w:rPr>
          <w:sz w:val="20"/>
          <w:szCs w:val="20"/>
          <w:color w:val="auto"/>
        </w:rPr>
      </w:pPr>
    </w:p>
    <w:p>
      <w:pPr>
        <w:jc w:val="both"/>
        <w:ind w:firstLine="8"/>
        <w:spacing w:after="0" w:line="255" w:lineRule="auto"/>
        <w:tabs>
          <w:tab w:leader="none" w:pos="283"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total uncertain tax positions as of January 1, 2007 were $2.1 billion, excluding the federal benefits on state tax positions that have been recorded as deferred income taxes; this amount includes a $500 million tax payment for which we are seeking a refund. If we were to recognize the tax benefit for such positions, approximately $550 million would impact our effective tax rate.</w:t>
      </w:r>
    </w:p>
    <w:p>
      <w:pPr>
        <w:spacing w:after="0" w:line="5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file a consolidated federal income tax return and income tax returns with various states. Our federal and state income tax return examinations, with limited exceptions, have been completed through 1999. The Internal Revenue Service (“IRS”) and various states are currently conducting examinations of our income tax returns for the years 2000 through 2004. The IRS has proposed certain adjustments primarily related to certain financing transactions. We are currently disputing those proposed adjustments, but if the adjustments are sustained, such adjustments would not have a material impact on our effective tax rate. In addition, the statutes of limitations could expire for certain of our state tax returns over the next 12 months, which could result in favorable adjustments to our uncertain tax positions. Such adjustments are not expected to have a material impact on our effective tax rate.</w:t>
      </w:r>
    </w:p>
    <w:p>
      <w:pPr>
        <w:spacing w:after="0" w:line="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classify interest and penalties, if any, associated with our uncertain tax positions as a component of income tax expense. As of January 1, 2007, we had accrued approximately $700 million of interest associated with our uncertain tax positions. For the three and nine months ended September 30, 2007, we recognized $26 million and $78 million, respectively, of interest, net of deferred tax benefit, within income tax expense.</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Statement of Cash Flows—Supplemental Information</w:t>
      </w:r>
    </w:p>
    <w:p>
      <w:pPr>
        <w:spacing w:after="0" w:line="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2006, we began presenting our cash overdrafts resulting from checks drawn on zero balance accounts (“book overdrafts”) within accounts payable and accrued expenses related to trade creditors. Previously, these book overdrafts were included within cash and cash equivalents. Our financial statements reflect this revised presentation for 2006. Accordingly, the reported amounts of our cash and cash equivalents and accounts payable and accrued expenses related to trade creditors increased as of September 30, 2006 by $337 million and net cash provided by operating activities for the nine months ended September 30, 2006 increased by $83 million.</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the cash payments we made for interest and income taxes during the three and nine months ended September 30, 2007 and 2006:</w:t>
      </w:r>
    </w:p>
    <w:p>
      <w:pPr>
        <w:spacing w:after="0" w:line="15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900" w:type="dxa"/>
            <w:vAlign w:val="bottom"/>
            <w:gridSpan w:val="3"/>
          </w:tcPr>
          <w:p>
            <w:pPr>
              <w:jc w:val="right"/>
              <w:ind w:right="459"/>
              <w:spacing w:after="0"/>
              <w:rPr>
                <w:sz w:val="20"/>
                <w:szCs w:val="20"/>
                <w:color w:val="auto"/>
              </w:rPr>
            </w:pPr>
            <w:r>
              <w:rPr>
                <w:rFonts w:ascii="Arial" w:cs="Arial" w:eastAsia="Arial" w:hAnsi="Arial"/>
                <w:sz w:val="14"/>
                <w:szCs w:val="14"/>
                <w:b w:val="1"/>
                <w:bCs w:val="1"/>
                <w:color w:val="auto"/>
                <w:w w:val="96"/>
              </w:rPr>
              <w:t>Three Months Ended</w:t>
            </w:r>
          </w:p>
        </w:tc>
        <w:tc>
          <w:tcPr>
            <w:tcW w:w="1960" w:type="dxa"/>
            <w:vAlign w:val="bottom"/>
            <w:gridSpan w:val="3"/>
          </w:tcPr>
          <w:p>
            <w:pPr>
              <w:jc w:val="right"/>
              <w:ind w:right="179"/>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574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6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4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jc w:val="right"/>
              <w:ind w:right="364"/>
              <w:spacing w:after="0" w:line="142" w:lineRule="exact"/>
              <w:rPr>
                <w:sz w:val="20"/>
                <w:szCs w:val="20"/>
                <w:color w:val="auto"/>
              </w:rPr>
            </w:pPr>
            <w:r>
              <w:rPr>
                <w:rFonts w:ascii="Arial" w:cs="Arial" w:eastAsia="Arial" w:hAnsi="Arial"/>
                <w:sz w:val="14"/>
                <w:szCs w:val="14"/>
                <w:b w:val="1"/>
                <w:bCs w:val="1"/>
                <w:color w:val="auto"/>
                <w:w w:val="89"/>
              </w:rPr>
              <w:t>2007</w:t>
            </w:r>
          </w:p>
        </w:tc>
        <w:tc>
          <w:tcPr>
            <w:tcW w:w="440" w:type="dxa"/>
            <w:vAlign w:val="bottom"/>
          </w:tcPr>
          <w:p>
            <w:pPr>
              <w:spacing w:after="0"/>
              <w:rPr>
                <w:sz w:val="12"/>
                <w:szCs w:val="12"/>
                <w:color w:val="auto"/>
              </w:rPr>
            </w:pPr>
          </w:p>
        </w:tc>
        <w:tc>
          <w:tcPr>
            <w:tcW w:w="720" w:type="dxa"/>
            <w:vAlign w:val="bottom"/>
          </w:tcPr>
          <w:p>
            <w:pPr>
              <w:jc w:val="right"/>
              <w:ind w:right="359"/>
              <w:spacing w:after="0" w:line="142" w:lineRule="exact"/>
              <w:rPr>
                <w:sz w:val="20"/>
                <w:szCs w:val="20"/>
                <w:color w:val="auto"/>
              </w:rPr>
            </w:pPr>
            <w:r>
              <w:rPr>
                <w:rFonts w:ascii="Arial" w:cs="Arial" w:eastAsia="Arial" w:hAnsi="Arial"/>
                <w:sz w:val="14"/>
                <w:szCs w:val="14"/>
                <w:b w:val="1"/>
                <w:bCs w:val="1"/>
                <w:color w:val="auto"/>
                <w:w w:val="83"/>
              </w:rPr>
              <w:t>2006</w:t>
            </w:r>
          </w:p>
        </w:tc>
        <w:tc>
          <w:tcPr>
            <w:tcW w:w="11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2007</w:t>
            </w:r>
          </w:p>
        </w:tc>
        <w:tc>
          <w:tcPr>
            <w:tcW w:w="440" w:type="dxa"/>
            <w:vAlign w:val="bottom"/>
          </w:tcPr>
          <w:p>
            <w:pPr>
              <w:spacing w:after="0"/>
              <w:rPr>
                <w:sz w:val="12"/>
                <w:szCs w:val="12"/>
                <w:color w:val="auto"/>
              </w:rPr>
            </w:pPr>
          </w:p>
        </w:tc>
        <w:tc>
          <w:tcPr>
            <w:tcW w:w="420" w:type="dxa"/>
            <w:vAlign w:val="bottom"/>
          </w:tcPr>
          <w:p>
            <w:pPr>
              <w:jc w:val="right"/>
              <w:ind w:right="79"/>
              <w:spacing w:after="0" w:line="142" w:lineRule="exact"/>
              <w:rPr>
                <w:sz w:val="20"/>
                <w:szCs w:val="20"/>
                <w:color w:val="auto"/>
              </w:rPr>
            </w:pPr>
            <w:r>
              <w:rPr>
                <w:rFonts w:ascii="Arial" w:cs="Arial" w:eastAsia="Arial" w:hAnsi="Arial"/>
                <w:sz w:val="14"/>
                <w:szCs w:val="14"/>
                <w:b w:val="1"/>
                <w:bCs w:val="1"/>
                <w:color w:val="auto"/>
                <w:w w:val="76"/>
              </w:rPr>
              <w:t>2006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Interest</w:t>
            </w:r>
          </w:p>
        </w:tc>
        <w:tc>
          <w:tcPr>
            <w:tcW w:w="6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E5E5E5"/>
          </w:tcPr>
          <w:p>
            <w:pPr>
              <w:jc w:val="right"/>
              <w:ind w:right="204"/>
              <w:spacing w:after="0"/>
              <w:rPr>
                <w:sz w:val="20"/>
                <w:szCs w:val="20"/>
                <w:color w:val="auto"/>
              </w:rPr>
            </w:pPr>
            <w:r>
              <w:rPr>
                <w:rFonts w:ascii="Arial" w:cs="Arial" w:eastAsia="Arial" w:hAnsi="Arial"/>
                <w:sz w:val="18"/>
                <w:szCs w:val="18"/>
                <w:color w:val="auto"/>
              </w:rPr>
              <w:t>646</w:t>
            </w:r>
          </w:p>
        </w:tc>
        <w:tc>
          <w:tcPr>
            <w:tcW w:w="4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E5E5E5"/>
          </w:tcPr>
          <w:p>
            <w:pPr>
              <w:jc w:val="right"/>
              <w:ind w:right="199"/>
              <w:spacing w:after="0"/>
              <w:rPr>
                <w:sz w:val="20"/>
                <w:szCs w:val="20"/>
                <w:color w:val="auto"/>
              </w:rPr>
            </w:pPr>
            <w:r>
              <w:rPr>
                <w:rFonts w:ascii="Arial" w:cs="Arial" w:eastAsia="Arial" w:hAnsi="Arial"/>
                <w:sz w:val="18"/>
                <w:szCs w:val="18"/>
                <w:color w:val="auto"/>
              </w:rPr>
              <w:t>542</w:t>
            </w:r>
          </w:p>
        </w:tc>
        <w:tc>
          <w:tcPr>
            <w:tcW w:w="1100" w:type="dxa"/>
            <w:vAlign w:val="bottom"/>
            <w:tcBorders>
              <w:top w:val="single" w:sz="8" w:color="auto"/>
            </w:tcBorders>
            <w:shd w:val="clear" w:color="auto" w:fill="E5E5E5"/>
          </w:tcPr>
          <w:p>
            <w:pPr>
              <w:jc w:val="center"/>
              <w:spacing w:after="0"/>
              <w:rPr>
                <w:sz w:val="20"/>
                <w:szCs w:val="20"/>
                <w:color w:val="auto"/>
              </w:rPr>
            </w:pPr>
            <w:r>
              <w:rPr>
                <w:rFonts w:ascii="Arial" w:cs="Arial" w:eastAsia="Arial" w:hAnsi="Arial"/>
                <w:sz w:val="18"/>
                <w:szCs w:val="18"/>
                <w:color w:val="auto"/>
                <w:w w:val="89"/>
              </w:rPr>
              <w:t>$ 1,724</w:t>
            </w:r>
          </w:p>
        </w:tc>
        <w:tc>
          <w:tcPr>
            <w:tcW w:w="4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84"/>
              </w:rPr>
              <w:t>1,452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Income taxes</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04"/>
              <w:spacing w:after="0"/>
              <w:rPr>
                <w:sz w:val="20"/>
                <w:szCs w:val="20"/>
                <w:color w:val="auto"/>
              </w:rPr>
            </w:pPr>
            <w:r>
              <w:rPr>
                <w:rFonts w:ascii="Arial" w:cs="Arial" w:eastAsia="Arial" w:hAnsi="Arial"/>
                <w:sz w:val="18"/>
                <w:szCs w:val="18"/>
                <w:color w:val="auto"/>
              </w:rPr>
              <w:t>792</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99"/>
              <w:spacing w:after="0"/>
              <w:rPr>
                <w:sz w:val="20"/>
                <w:szCs w:val="20"/>
                <w:color w:val="auto"/>
              </w:rPr>
            </w:pPr>
            <w:r>
              <w:rPr>
                <w:rFonts w:ascii="Arial" w:cs="Arial" w:eastAsia="Arial" w:hAnsi="Arial"/>
                <w:sz w:val="18"/>
                <w:szCs w:val="18"/>
                <w:color w:val="auto"/>
              </w:rPr>
              <w:t>200</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$ 1,439</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2007, we:</w:t>
      </w:r>
    </w:p>
    <w:p>
      <w:pPr>
        <w:spacing w:after="0" w:line="77" w:lineRule="exact"/>
        <w:rPr>
          <w:sz w:val="20"/>
          <w:szCs w:val="20"/>
          <w:color w:val="auto"/>
        </w:rPr>
      </w:pPr>
    </w:p>
    <w:p>
      <w:pPr>
        <w:ind w:left="1020" w:right="1240" w:hanging="215"/>
        <w:spacing w:after="0" w:line="268"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exchanged our 50% interest in the Kansas City Asset Pool for TWC’s 50% interest in the Houston Asset Pool, which is considered a noncash investing activity</w:t>
      </w:r>
    </w:p>
    <w:p>
      <w:pPr>
        <w:spacing w:after="0" w:line="37" w:lineRule="exact"/>
        <w:rPr>
          <w:rFonts w:ascii="Arial" w:cs="Arial" w:eastAsia="Arial" w:hAnsi="Arial"/>
          <w:sz w:val="18"/>
          <w:szCs w:val="18"/>
          <w:color w:val="auto"/>
        </w:rPr>
      </w:pPr>
    </w:p>
    <w:p>
      <w:pPr>
        <w:ind w:left="1020" w:right="1240" w:hanging="215"/>
        <w:spacing w:after="0" w:line="325" w:lineRule="auto"/>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settled the remaining outstanding $49 million face amount of exchangeable notes by delivering approximately 1.8 million of the 2.2 million underlying Vodafone ADRs to the counterparty, which is considered a noncash financing and investing activity</w:t>
      </w:r>
    </w:p>
    <w:p>
      <w:pPr>
        <w:spacing w:after="0" w:line="1" w:lineRule="exact"/>
        <w:rPr>
          <w:rFonts w:ascii="Arial" w:cs="Arial" w:eastAsia="Arial" w:hAnsi="Arial"/>
          <w:sz w:val="16"/>
          <w:szCs w:val="16"/>
          <w:color w:val="auto"/>
        </w:rPr>
      </w:pPr>
    </w:p>
    <w:p>
      <w:pPr>
        <w:ind w:left="1020" w:hanging="215"/>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entered into capital leases totaling $46 million, which is considered a noncash investing and financing activity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SEPTEMBER 30, 2007</w:t>
      </w:r>
    </w:p>
    <w:p>
      <w:pPr>
        <w:spacing w:after="0" w:line="1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 Commitments and Contingencies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Certain of our subsidiaries support debt compliance with respect to obligations of certain cable television partnerships and investments in which we hold an ownership interest (see Note 5). The obligations expire between May 2008 and March 2011. Although there can be no assurance, we believe that we will not be required to meet our obligations under such commitments. The total notional amount of our commitments was $965 million as of September 30, 2007, at which time there were no quoted market prices for similar agreements.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 Home Cases</w:t>
      </w:r>
    </w:p>
    <w:p>
      <w:pPr>
        <w:spacing w:after="0" w:line="7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Litigation has been filed against us as a result of our alleged conduct with respect to our investment in and distribution relationship with At Home Corporation. At Home was a provider of high-speed Internet services that filed for bankruptcy protection in September 2001. Filed actions are: (i) class action lawsuits against us, AT&amp;T (the former controlling shareholder of At Home and also a former distributor of the At Home service) and others in the United States District Court for the Southern District of New York, alleging securities law violations and common law fraud in connection with disclosures made by At Home in 2001; and (ii) a lawsuit brought in the United States District Court for the District of Delaware in the name of At Home by certain At Home bondholders against us, Brian L. Roberts (our Chairman and Chief Executive Officer and a director), Cox (Cox is also an investor in At Home and a former distributor of the At Home service) and others, alleging breaches of fiduciary duty relating to March 2000 agreements (which, among other things, revised the distributor relationships), and seeking recovery of alleged short-swing profits under Section 16(b) of the Securities Exchange Act of 1934 (purported to have arisen in connection with certain transactions relating to At Home stock effected under the March 2000 agreements).</w:t>
      </w:r>
    </w:p>
    <w:p>
      <w:pPr>
        <w:spacing w:after="0" w:line="25" w:lineRule="exact"/>
        <w:rPr>
          <w:sz w:val="20"/>
          <w:szCs w:val="20"/>
          <w:color w:val="auto"/>
        </w:rPr>
      </w:pPr>
    </w:p>
    <w:p>
      <w:pPr>
        <w:jc w:val="both"/>
        <w:spacing w:after="0" w:line="310" w:lineRule="auto"/>
        <w:rPr>
          <w:sz w:val="20"/>
          <w:szCs w:val="20"/>
          <w:color w:val="auto"/>
        </w:rPr>
      </w:pPr>
      <w:r>
        <w:rPr>
          <w:rFonts w:ascii="Arial" w:cs="Arial" w:eastAsia="Arial" w:hAnsi="Arial"/>
          <w:sz w:val="15"/>
          <w:szCs w:val="15"/>
          <w:color w:val="auto"/>
        </w:rPr>
        <w:t>In the Southern District of New York actions (item (i) above), the court dismissed all claims. The plaintiffs appealed this decision, and the Court of Appeals for the Second Circuit denied the plaintiffs’ appeal and a subsequent petition for rehearing. Plantiffs are seeking a further appeal to the U.S. Supreme Court against AT&amp;T and its directors, but not us. The Delaware case (item (ii) above) was transferred to the United States District Court for the Southern District of New York. The court dismissed the Section 16(b) claims, and the breach of fiduciary duty claim for lack of federal jurisdiction. The Court of Appeals for the Second Circuit denied the plaintiffs’ appeal from the decision dismissing the Section 16(b) claims, and the U.S. Supreme Court denied the plaintiffs’ petition for a further appeal. The plaintiffs recommenced the breach of fiduciary duty claim in Delaware Chancery Court. In October 2007, the parties reached an agreement in principal to settle the litigation in exchange for a payment of $40 million from each of Comcast and Cox. The settlement is subject to Bankruptcy Court approval. As a result, we recorded this $40 million to selling, general and administrative expenses in our results of operations for the three and nine months ended September 30, 2007.</w:t>
      </w:r>
    </w:p>
    <w:p>
      <w:pPr>
        <w:spacing w:after="0" w:line="1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Under the terms of our 2002 acquisition of AT&amp;T Corp.’s cable business, we are contractually liable for 50% of any liabilities of AT&amp;T in the action described in item (i) above (in which we are also a defendant).</w:t>
      </w:r>
    </w:p>
    <w:p>
      <w:pPr>
        <w:spacing w:after="0" w:line="3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deny any wrongdoing in connection with the claims that have been made directly against us, our subsidiaries and Brian L. Roberts, and are defending all of these claims vigorously. The final disposition of these claims is not expected to have a material effect on our consolidated financial position, but could possibly be material to our consolidated results of operations of any one period. Further, no assurance can be given that any adverse outcome would not be material to our consolidated financial position.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Litigation</w:t>
      </w:r>
    </w:p>
    <w:p>
      <w:pPr>
        <w:spacing w:after="0" w:line="7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are a defendant in several unrelated lawsuits claiming infringement of various patents relating to various aspects of our businesses. In certain of these cases other industry participants are also defendants, and also in certain of these cases we expect that any potential liability would be in part or in whole the responsibility of our equipment vendors pursuant to applicable contractual indemnification provisions. To the extent that the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SEPTEMBER 30, 2007</w:t>
      </w:r>
    </w:p>
    <w:p>
      <w:pPr>
        <w:spacing w:after="0" w:line="13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allegations in these lawsuits can be analyzed by us at this stage of their proceedings, we believe the claims are without merit and intend to defend the actions vigorously. The final disposition of these claims is not expected to have a material adverse effect on our consolidated financial position, but could possibly be material to our consolidated results of operations of any one period. Further, no assurance can be given that any adverse outcome would not be material to our consolidated financial position.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Antitrust Cases</w:t>
      </w:r>
    </w:p>
    <w:p>
      <w:pPr>
        <w:spacing w:after="0" w:line="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defendants in two purported class actions originally filed in the United States District Courts for the District of Massachusetts and the Eastern District of Pennsylvania, respectively. The potential class in the Massachusetts case is our subscriber base in the “Boston Cluster” area, and the potential class in the Pennsylvania case is our subscriber base in the “Philadelphia and Chicago Clusters,” as those terms are defined in the complaints. In each case, the plaintiffs allege that certain subscriber exchange transactions with other cable providers resulted in unlawful “horizontal market restraints” in those areas and seek damages pursuant to antitrust statutes, including treble damages.</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Our motion to dismiss the Pennsylvania case on the pleadings was denied and classes of “Philadelphia Cluster” and “Chicago Cluster” subscribers were certified.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Our motion to dismiss the Massachusetts case, which was recently transferred to the Eastern District of Pennsylvania, was also denied.</w:t>
      </w:r>
    </w:p>
    <w:p>
      <w:pPr>
        <w:spacing w:after="0" w:line="7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believe the claims in these actions are without merit and are defending the actions vigorously. The final disposition of these claims is not expected to have a material adverse effect on our consolidated financial position, but could possibly be material to our consolidated results of operations of any one period. Further, no assurance can be given that any adverse outcome would not be material to our consolidated financial position.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subject to other legal proceedings and claims that arise in the ordinary course of our business. The amount of ultimate liability with respect to such actions is not expected to materially affect our financial position, results of operations or liquidity.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SEPTEMBER 30, 2007</w:t>
      </w:r>
    </w:p>
    <w:p>
      <w:pPr>
        <w:spacing w:after="0" w:line="1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12: Financial Data by Business Segment</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reportable segments consist of our Cable and Programming businesses. In evaluating the profitability of our segments, the components of net income (loss) below operating income (loss) before depreciation and amortization are not separately evaluated by our management. Assets are not allocated to segments for management reporting. Our financial data by business segment is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20" w:type="dxa"/>
            <w:vAlign w:val="bottom"/>
            <w:gridSpan w:val="2"/>
          </w:tcPr>
          <w:p>
            <w:pPr>
              <w:ind w:left="300"/>
              <w:spacing w:after="0"/>
              <w:rPr>
                <w:sz w:val="20"/>
                <w:szCs w:val="20"/>
                <w:color w:val="auto"/>
              </w:rPr>
            </w:pPr>
            <w:r>
              <w:rPr>
                <w:rFonts w:ascii="Arial" w:cs="Arial" w:eastAsia="Arial" w:hAnsi="Arial"/>
                <w:sz w:val="14"/>
                <w:szCs w:val="14"/>
                <w:b w:val="1"/>
                <w:bCs w:val="1"/>
                <w:color w:val="auto"/>
              </w:rPr>
              <w:t>Corporate and</w:t>
            </w:r>
          </w:p>
        </w:tc>
        <w:tc>
          <w:tcPr>
            <w:tcW w:w="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0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740" w:type="dxa"/>
            <w:vAlign w:val="bottom"/>
            <w:gridSpan w:val="2"/>
          </w:tcPr>
          <w:p>
            <w:pPr>
              <w:ind w:left="640"/>
              <w:spacing w:after="0"/>
              <w:rPr>
                <w:sz w:val="20"/>
                <w:szCs w:val="20"/>
                <w:color w:val="auto"/>
              </w:rPr>
            </w:pPr>
            <w:r>
              <w:rPr>
                <w:rFonts w:ascii="Arial" w:cs="Arial" w:eastAsia="Arial" w:hAnsi="Arial"/>
                <w:sz w:val="14"/>
                <w:szCs w:val="14"/>
                <w:b w:val="1"/>
                <w:bCs w:val="1"/>
                <w:color w:val="auto"/>
              </w:rPr>
              <w:t>Cable(a)(b)(c)</w:t>
            </w:r>
          </w:p>
        </w:tc>
        <w:tc>
          <w:tcPr>
            <w:tcW w:w="1560" w:type="dxa"/>
            <w:vAlign w:val="bottom"/>
            <w:gridSpan w:val="2"/>
          </w:tcPr>
          <w:p>
            <w:pPr>
              <w:ind w:left="300"/>
              <w:spacing w:after="0"/>
              <w:rPr>
                <w:sz w:val="20"/>
                <w:szCs w:val="20"/>
                <w:color w:val="auto"/>
              </w:rPr>
            </w:pPr>
            <w:r>
              <w:rPr>
                <w:rFonts w:ascii="Arial" w:cs="Arial" w:eastAsia="Arial" w:hAnsi="Arial"/>
                <w:sz w:val="14"/>
                <w:szCs w:val="14"/>
                <w:b w:val="1"/>
                <w:bCs w:val="1"/>
                <w:color w:val="auto"/>
              </w:rPr>
              <w:t>Programming(d)</w:t>
            </w:r>
          </w:p>
        </w:tc>
        <w:tc>
          <w:tcPr>
            <w:tcW w:w="1520" w:type="dxa"/>
            <w:vAlign w:val="bottom"/>
            <w:gridSpan w:val="2"/>
          </w:tcPr>
          <w:p>
            <w:pPr>
              <w:jc w:val="right"/>
              <w:ind w:right="312"/>
              <w:spacing w:after="0"/>
              <w:rPr>
                <w:sz w:val="20"/>
                <w:szCs w:val="20"/>
                <w:color w:val="auto"/>
              </w:rPr>
            </w:pPr>
            <w:r>
              <w:rPr>
                <w:rFonts w:ascii="Arial" w:cs="Arial" w:eastAsia="Arial" w:hAnsi="Arial"/>
                <w:sz w:val="14"/>
                <w:szCs w:val="14"/>
                <w:b w:val="1"/>
                <w:bCs w:val="1"/>
                <w:color w:val="auto"/>
              </w:rPr>
              <w:t>Other(c)(e)(f)</w:t>
            </w:r>
          </w:p>
        </w:tc>
        <w:tc>
          <w:tcPr>
            <w:tcW w:w="1680" w:type="dxa"/>
            <w:vAlign w:val="bottom"/>
            <w:gridSpan w:val="2"/>
          </w:tcPr>
          <w:p>
            <w:pPr>
              <w:ind w:left="300"/>
              <w:spacing w:after="0"/>
              <w:rPr>
                <w:sz w:val="20"/>
                <w:szCs w:val="20"/>
                <w:color w:val="auto"/>
              </w:rPr>
            </w:pPr>
            <w:r>
              <w:rPr>
                <w:rFonts w:ascii="Arial" w:cs="Arial" w:eastAsia="Arial" w:hAnsi="Arial"/>
                <w:sz w:val="14"/>
                <w:szCs w:val="14"/>
                <w:b w:val="1"/>
                <w:bCs w:val="1"/>
                <w:color w:val="auto"/>
              </w:rPr>
              <w:t>Eliminations(f)(g)</w:t>
            </w:r>
          </w:p>
        </w:tc>
        <w:tc>
          <w:tcPr>
            <w:tcW w:w="400" w:type="dxa"/>
            <w:vAlign w:val="bottom"/>
          </w:tcPr>
          <w:p>
            <w:pPr>
              <w:spacing w:after="0"/>
              <w:rPr>
                <w:sz w:val="14"/>
                <w:szCs w:val="14"/>
                <w:color w:val="auto"/>
              </w:rPr>
            </w:pPr>
          </w:p>
        </w:tc>
        <w:tc>
          <w:tcPr>
            <w:tcW w:w="480" w:type="dxa"/>
            <w:vAlign w:val="bottom"/>
          </w:tcPr>
          <w:p>
            <w:pPr>
              <w:jc w:val="right"/>
              <w:ind w:right="53"/>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020" w:type="dxa"/>
            <w:vAlign w:val="bottom"/>
            <w:tcBorders>
              <w:top w:val="single" w:sz="8" w:color="auto"/>
            </w:tcBorders>
          </w:tcPr>
          <w:p>
            <w:pPr>
              <w:spacing w:after="0"/>
              <w:rPr>
                <w:sz w:val="6"/>
                <w:szCs w:val="6"/>
                <w:color w:val="auto"/>
              </w:rPr>
            </w:pPr>
          </w:p>
        </w:tc>
        <w:tc>
          <w:tcPr>
            <w:tcW w:w="840" w:type="dxa"/>
            <w:vAlign w:val="bottom"/>
            <w:tcBorders>
              <w:top w:val="single" w:sz="8" w:color="auto"/>
            </w:tcBorders>
          </w:tcPr>
          <w:p>
            <w:pPr>
              <w:spacing w:after="0"/>
              <w:rPr>
                <w:sz w:val="6"/>
                <w:szCs w:val="6"/>
                <w:color w:val="auto"/>
              </w:rPr>
            </w:pPr>
          </w:p>
        </w:tc>
        <w:tc>
          <w:tcPr>
            <w:tcW w:w="900" w:type="dxa"/>
            <w:vAlign w:val="bottom"/>
            <w:tcBorders>
              <w:top w:val="single" w:sz="8" w:color="auto"/>
            </w:tcBorders>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86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900" w:type="dxa"/>
            <w:vAlign w:val="bottom"/>
            <w:tcBorders>
              <w:top w:val="single" w:sz="8" w:color="auto"/>
            </w:tcBorders>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98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Three months ended September 30, 2007</w:t>
            </w:r>
          </w:p>
        </w:tc>
        <w:tc>
          <w:tcPr>
            <w:tcW w:w="84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Revenues(h)</w:t>
            </w:r>
          </w:p>
        </w:tc>
        <w:tc>
          <w:tcPr>
            <w:tcW w:w="840" w:type="dxa"/>
            <w:vAlign w:val="bottom"/>
          </w:tcPr>
          <w:p>
            <w:pPr>
              <w:ind w:left="6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92"/>
              <w:spacing w:after="0"/>
              <w:rPr>
                <w:sz w:val="20"/>
                <w:szCs w:val="20"/>
                <w:color w:val="auto"/>
              </w:rPr>
            </w:pPr>
            <w:r>
              <w:rPr>
                <w:rFonts w:ascii="Arial" w:cs="Arial" w:eastAsia="Arial" w:hAnsi="Arial"/>
                <w:sz w:val="18"/>
                <w:szCs w:val="18"/>
                <w:color w:val="auto"/>
              </w:rPr>
              <w:t>7,400</w:t>
            </w:r>
          </w:p>
        </w:tc>
        <w:tc>
          <w:tcPr>
            <w:tcW w:w="700" w:type="dxa"/>
            <w:vAlign w:val="bottom"/>
          </w:tcPr>
          <w:p>
            <w:pPr>
              <w:ind w:left="30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2"/>
              <w:spacing w:after="0"/>
              <w:rPr>
                <w:sz w:val="20"/>
                <w:szCs w:val="20"/>
                <w:color w:val="auto"/>
              </w:rPr>
            </w:pPr>
            <w:r>
              <w:rPr>
                <w:rFonts w:ascii="Arial" w:cs="Arial" w:eastAsia="Arial" w:hAnsi="Arial"/>
                <w:sz w:val="18"/>
                <w:szCs w:val="18"/>
                <w:color w:val="auto"/>
              </w:rPr>
              <w:t>330</w:t>
            </w:r>
          </w:p>
        </w:tc>
        <w:tc>
          <w:tcPr>
            <w:tcW w:w="620" w:type="dxa"/>
            <w:vAlign w:val="bottom"/>
          </w:tcPr>
          <w:p>
            <w:pPr>
              <w:ind w:left="3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72"/>
              <w:spacing w:after="0"/>
              <w:rPr>
                <w:sz w:val="20"/>
                <w:szCs w:val="20"/>
                <w:color w:val="auto"/>
              </w:rPr>
            </w:pPr>
            <w:r>
              <w:rPr>
                <w:rFonts w:ascii="Arial" w:cs="Arial" w:eastAsia="Arial" w:hAnsi="Arial"/>
                <w:sz w:val="18"/>
                <w:szCs w:val="18"/>
                <w:color w:val="auto"/>
              </w:rPr>
              <w:t>96</w:t>
            </w:r>
          </w:p>
        </w:tc>
        <w:tc>
          <w:tcPr>
            <w:tcW w:w="700" w:type="dxa"/>
            <w:vAlign w:val="bottom"/>
          </w:tcPr>
          <w:p>
            <w:pPr>
              <w:ind w:left="3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12"/>
              <w:spacing w:after="0"/>
              <w:rPr>
                <w:sz w:val="20"/>
                <w:szCs w:val="20"/>
                <w:color w:val="auto"/>
              </w:rPr>
            </w:pPr>
            <w:r>
              <w:rPr>
                <w:rFonts w:ascii="Arial" w:cs="Arial" w:eastAsia="Arial" w:hAnsi="Arial"/>
                <w:sz w:val="18"/>
                <w:szCs w:val="18"/>
                <w:color w:val="auto"/>
              </w:rPr>
              <w:t>(45)</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7,781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2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 before depreciation and</w:t>
            </w:r>
          </w:p>
        </w:tc>
        <w:tc>
          <w:tcPr>
            <w:tcW w:w="84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amortization(i)</w:t>
            </w:r>
          </w:p>
        </w:tc>
        <w:tc>
          <w:tcPr>
            <w:tcW w:w="840" w:type="dxa"/>
            <w:vAlign w:val="bottom"/>
            <w:shd w:val="clear" w:color="auto" w:fill="E5E5E5"/>
          </w:tcPr>
          <w:p>
            <w:pPr>
              <w:spacing w:after="0"/>
              <w:rPr>
                <w:sz w:val="19"/>
                <w:szCs w:val="19"/>
                <w:color w:val="auto"/>
              </w:rPr>
            </w:pPr>
          </w:p>
        </w:tc>
        <w:tc>
          <w:tcPr>
            <w:tcW w:w="90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2,975</w:t>
            </w:r>
          </w:p>
        </w:tc>
        <w:tc>
          <w:tcPr>
            <w:tcW w:w="700" w:type="dxa"/>
            <w:vAlign w:val="bottom"/>
            <w:shd w:val="clear" w:color="auto" w:fill="E5E5E5"/>
          </w:tcPr>
          <w:p>
            <w:pPr>
              <w:spacing w:after="0"/>
              <w:rPr>
                <w:sz w:val="19"/>
                <w:szCs w:val="19"/>
                <w:color w:val="auto"/>
              </w:rPr>
            </w:pPr>
          </w:p>
        </w:tc>
        <w:tc>
          <w:tcPr>
            <w:tcW w:w="86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97</w:t>
            </w:r>
          </w:p>
        </w:tc>
        <w:tc>
          <w:tcPr>
            <w:tcW w:w="620" w:type="dxa"/>
            <w:vAlign w:val="bottom"/>
            <w:shd w:val="clear" w:color="auto" w:fill="E5E5E5"/>
          </w:tcPr>
          <w:p>
            <w:pPr>
              <w:spacing w:after="0"/>
              <w:rPr>
                <w:sz w:val="19"/>
                <w:szCs w:val="19"/>
                <w:color w:val="auto"/>
              </w:rPr>
            </w:pPr>
          </w:p>
        </w:tc>
        <w:tc>
          <w:tcPr>
            <w:tcW w:w="90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(97)</w:t>
            </w:r>
          </w:p>
        </w:tc>
        <w:tc>
          <w:tcPr>
            <w:tcW w:w="700" w:type="dxa"/>
            <w:vAlign w:val="bottom"/>
            <w:shd w:val="clear" w:color="auto" w:fill="E5E5E5"/>
          </w:tcPr>
          <w:p>
            <w:pPr>
              <w:spacing w:after="0"/>
              <w:rPr>
                <w:sz w:val="19"/>
                <w:szCs w:val="19"/>
                <w:color w:val="auto"/>
              </w:rPr>
            </w:pPr>
          </w:p>
        </w:tc>
        <w:tc>
          <w:tcPr>
            <w:tcW w:w="98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(46)</w:t>
            </w:r>
          </w:p>
        </w:tc>
        <w:tc>
          <w:tcPr>
            <w:tcW w:w="400" w:type="dxa"/>
            <w:vAlign w:val="bottom"/>
            <w:shd w:val="clear" w:color="auto" w:fill="E5E5E5"/>
          </w:tcPr>
          <w:p>
            <w:pPr>
              <w:spacing w:after="0"/>
              <w:rPr>
                <w:sz w:val="19"/>
                <w:szCs w:val="19"/>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40" w:type="dxa"/>
            <w:vAlign w:val="bottom"/>
          </w:tcPr>
          <w:p>
            <w:pPr>
              <w:spacing w:after="0"/>
              <w:rPr>
                <w:sz w:val="18"/>
                <w:szCs w:val="18"/>
                <w:color w:val="auto"/>
              </w:rPr>
            </w:pPr>
          </w:p>
        </w:tc>
        <w:tc>
          <w:tcPr>
            <w:tcW w:w="900" w:type="dxa"/>
            <w:vAlign w:val="bottom"/>
          </w:tcPr>
          <w:p>
            <w:pPr>
              <w:jc w:val="right"/>
              <w:ind w:right="192"/>
              <w:spacing w:after="0"/>
              <w:rPr>
                <w:sz w:val="20"/>
                <w:szCs w:val="20"/>
                <w:color w:val="auto"/>
              </w:rPr>
            </w:pPr>
            <w:r>
              <w:rPr>
                <w:rFonts w:ascii="Arial" w:cs="Arial" w:eastAsia="Arial" w:hAnsi="Arial"/>
                <w:sz w:val="18"/>
                <w:szCs w:val="18"/>
                <w:color w:val="auto"/>
              </w:rPr>
              <w:t>1,473</w:t>
            </w:r>
          </w:p>
        </w:tc>
        <w:tc>
          <w:tcPr>
            <w:tcW w:w="700" w:type="dxa"/>
            <w:vAlign w:val="bottom"/>
          </w:tcPr>
          <w:p>
            <w:pPr>
              <w:spacing w:after="0"/>
              <w:rPr>
                <w:sz w:val="18"/>
                <w:szCs w:val="18"/>
                <w:color w:val="auto"/>
              </w:rPr>
            </w:pPr>
          </w:p>
        </w:tc>
        <w:tc>
          <w:tcPr>
            <w:tcW w:w="860" w:type="dxa"/>
            <w:vAlign w:val="bottom"/>
          </w:tcPr>
          <w:p>
            <w:pPr>
              <w:jc w:val="right"/>
              <w:ind w:right="192"/>
              <w:spacing w:after="0"/>
              <w:rPr>
                <w:sz w:val="20"/>
                <w:szCs w:val="20"/>
                <w:color w:val="auto"/>
              </w:rPr>
            </w:pPr>
            <w:r>
              <w:rPr>
                <w:rFonts w:ascii="Arial" w:cs="Arial" w:eastAsia="Arial" w:hAnsi="Arial"/>
                <w:sz w:val="18"/>
                <w:szCs w:val="18"/>
                <w:color w:val="auto"/>
              </w:rPr>
              <w:t>46</w:t>
            </w:r>
          </w:p>
        </w:tc>
        <w:tc>
          <w:tcPr>
            <w:tcW w:w="620" w:type="dxa"/>
            <w:vAlign w:val="bottom"/>
          </w:tcPr>
          <w:p>
            <w:pPr>
              <w:spacing w:after="0"/>
              <w:rPr>
                <w:sz w:val="18"/>
                <w:szCs w:val="18"/>
                <w:color w:val="auto"/>
              </w:rPr>
            </w:pPr>
          </w:p>
        </w:tc>
        <w:tc>
          <w:tcPr>
            <w:tcW w:w="900" w:type="dxa"/>
            <w:vAlign w:val="bottom"/>
          </w:tcPr>
          <w:p>
            <w:pPr>
              <w:jc w:val="right"/>
              <w:ind w:right="272"/>
              <w:spacing w:after="0"/>
              <w:rPr>
                <w:sz w:val="20"/>
                <w:szCs w:val="20"/>
                <w:color w:val="auto"/>
              </w:rPr>
            </w:pPr>
            <w:r>
              <w:rPr>
                <w:rFonts w:ascii="Arial" w:cs="Arial" w:eastAsia="Arial" w:hAnsi="Arial"/>
                <w:sz w:val="18"/>
                <w:szCs w:val="18"/>
                <w:color w:val="auto"/>
              </w:rPr>
              <w:t>27</w:t>
            </w:r>
          </w:p>
        </w:tc>
        <w:tc>
          <w:tcPr>
            <w:tcW w:w="700" w:type="dxa"/>
            <w:vAlign w:val="bottom"/>
          </w:tcPr>
          <w:p>
            <w:pPr>
              <w:spacing w:after="0"/>
              <w:rPr>
                <w:sz w:val="18"/>
                <w:szCs w:val="18"/>
                <w:color w:val="auto"/>
              </w:rPr>
            </w:pPr>
          </w:p>
        </w:tc>
        <w:tc>
          <w:tcPr>
            <w:tcW w:w="980" w:type="dxa"/>
            <w:vAlign w:val="bottom"/>
          </w:tcPr>
          <w:p>
            <w:pPr>
              <w:jc w:val="right"/>
              <w:ind w:right="212"/>
              <w:spacing w:after="0"/>
              <w:rPr>
                <w:sz w:val="20"/>
                <w:szCs w:val="20"/>
                <w:color w:val="auto"/>
              </w:rPr>
            </w:pPr>
            <w:r>
              <w:rPr>
                <w:rFonts w:ascii="Arial" w:cs="Arial" w:eastAsia="Arial" w:hAnsi="Arial"/>
                <w:sz w:val="18"/>
                <w:szCs w:val="18"/>
                <w:color w:val="auto"/>
              </w:rPr>
              <w:t>(8)</w:t>
            </w:r>
          </w:p>
        </w:tc>
        <w:tc>
          <w:tcPr>
            <w:tcW w:w="4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w:t>
            </w:r>
          </w:p>
        </w:tc>
        <w:tc>
          <w:tcPr>
            <w:tcW w:w="84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1,502</w:t>
            </w:r>
          </w:p>
        </w:tc>
        <w:tc>
          <w:tcPr>
            <w:tcW w:w="70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51</w:t>
            </w:r>
          </w:p>
        </w:tc>
        <w:tc>
          <w:tcPr>
            <w:tcW w:w="6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(124)</w:t>
            </w:r>
          </w:p>
        </w:tc>
        <w:tc>
          <w:tcPr>
            <w:tcW w:w="70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(38)</w:t>
            </w:r>
          </w:p>
        </w:tc>
        <w:tc>
          <w:tcPr>
            <w:tcW w:w="40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Capital Expenditures</w:t>
            </w:r>
          </w:p>
        </w:tc>
        <w:tc>
          <w:tcPr>
            <w:tcW w:w="840" w:type="dxa"/>
            <w:vAlign w:val="bottom"/>
          </w:tcPr>
          <w:p>
            <w:pPr>
              <w:spacing w:after="0"/>
              <w:rPr>
                <w:sz w:val="19"/>
                <w:szCs w:val="19"/>
                <w:color w:val="auto"/>
              </w:rPr>
            </w:pPr>
          </w:p>
        </w:tc>
        <w:tc>
          <w:tcPr>
            <w:tcW w:w="900" w:type="dxa"/>
            <w:vAlign w:val="bottom"/>
          </w:tcPr>
          <w:p>
            <w:pPr>
              <w:jc w:val="right"/>
              <w:ind w:right="192"/>
              <w:spacing w:after="0"/>
              <w:rPr>
                <w:sz w:val="20"/>
                <w:szCs w:val="20"/>
                <w:color w:val="auto"/>
              </w:rPr>
            </w:pPr>
            <w:r>
              <w:rPr>
                <w:rFonts w:ascii="Arial" w:cs="Arial" w:eastAsia="Arial" w:hAnsi="Arial"/>
                <w:sz w:val="18"/>
                <w:szCs w:val="18"/>
                <w:color w:val="auto"/>
              </w:rPr>
              <w:t>1,492</w:t>
            </w:r>
          </w:p>
        </w:tc>
        <w:tc>
          <w:tcPr>
            <w:tcW w:w="700" w:type="dxa"/>
            <w:vAlign w:val="bottom"/>
          </w:tcPr>
          <w:p>
            <w:pPr>
              <w:spacing w:after="0"/>
              <w:rPr>
                <w:sz w:val="19"/>
                <w:szCs w:val="19"/>
                <w:color w:val="auto"/>
              </w:rPr>
            </w:pPr>
          </w:p>
        </w:tc>
        <w:tc>
          <w:tcPr>
            <w:tcW w:w="860" w:type="dxa"/>
            <w:vAlign w:val="bottom"/>
          </w:tcPr>
          <w:p>
            <w:pPr>
              <w:jc w:val="right"/>
              <w:ind w:right="192"/>
              <w:spacing w:after="0"/>
              <w:rPr>
                <w:sz w:val="20"/>
                <w:szCs w:val="20"/>
                <w:color w:val="auto"/>
              </w:rPr>
            </w:pPr>
            <w:r>
              <w:rPr>
                <w:rFonts w:ascii="Arial" w:cs="Arial" w:eastAsia="Arial" w:hAnsi="Arial"/>
                <w:sz w:val="18"/>
                <w:szCs w:val="18"/>
                <w:color w:val="auto"/>
              </w:rPr>
              <w:t>8</w:t>
            </w:r>
          </w:p>
        </w:tc>
        <w:tc>
          <w:tcPr>
            <w:tcW w:w="620" w:type="dxa"/>
            <w:vAlign w:val="bottom"/>
          </w:tcPr>
          <w:p>
            <w:pPr>
              <w:spacing w:after="0"/>
              <w:rPr>
                <w:sz w:val="19"/>
                <w:szCs w:val="19"/>
                <w:color w:val="auto"/>
              </w:rPr>
            </w:pPr>
          </w:p>
        </w:tc>
        <w:tc>
          <w:tcPr>
            <w:tcW w:w="900" w:type="dxa"/>
            <w:vAlign w:val="bottom"/>
          </w:tcPr>
          <w:p>
            <w:pPr>
              <w:jc w:val="right"/>
              <w:ind w:right="272"/>
              <w:spacing w:after="0"/>
              <w:rPr>
                <w:sz w:val="20"/>
                <w:szCs w:val="20"/>
                <w:color w:val="auto"/>
              </w:rPr>
            </w:pPr>
            <w:r>
              <w:rPr>
                <w:rFonts w:ascii="Arial" w:cs="Arial" w:eastAsia="Arial" w:hAnsi="Arial"/>
                <w:sz w:val="18"/>
                <w:szCs w:val="18"/>
                <w:color w:val="auto"/>
              </w:rPr>
              <w:t>26</w:t>
            </w:r>
          </w:p>
        </w:tc>
        <w:tc>
          <w:tcPr>
            <w:tcW w:w="700" w:type="dxa"/>
            <w:vAlign w:val="bottom"/>
          </w:tcPr>
          <w:p>
            <w:pPr>
              <w:spacing w:after="0"/>
              <w:rPr>
                <w:sz w:val="19"/>
                <w:szCs w:val="19"/>
                <w:color w:val="auto"/>
              </w:rPr>
            </w:pPr>
          </w:p>
        </w:tc>
        <w:tc>
          <w:tcPr>
            <w:tcW w:w="98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1,526</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020" w:type="dxa"/>
            <w:vAlign w:val="bottom"/>
          </w:tcPr>
          <w:p>
            <w:pPr>
              <w:spacing w:after="0"/>
              <w:rPr>
                <w:sz w:val="6"/>
                <w:szCs w:val="6"/>
                <w:color w:val="auto"/>
              </w:rPr>
            </w:pPr>
          </w:p>
        </w:tc>
        <w:tc>
          <w:tcPr>
            <w:tcW w:w="840" w:type="dxa"/>
            <w:vAlign w:val="bottom"/>
          </w:tcPr>
          <w:p>
            <w:pPr>
              <w:spacing w:after="0"/>
              <w:rPr>
                <w:sz w:val="6"/>
                <w:szCs w:val="6"/>
                <w:color w:val="auto"/>
              </w:rPr>
            </w:pPr>
          </w:p>
        </w:tc>
        <w:tc>
          <w:tcPr>
            <w:tcW w:w="9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7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Three months ended September 30, 2006</w:t>
            </w:r>
          </w:p>
        </w:tc>
        <w:tc>
          <w:tcPr>
            <w:tcW w:w="84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Revenues(h)</w:t>
            </w:r>
          </w:p>
        </w:tc>
        <w:tc>
          <w:tcPr>
            <w:tcW w:w="840" w:type="dxa"/>
            <w:vAlign w:val="bottom"/>
          </w:tcPr>
          <w:p>
            <w:pPr>
              <w:ind w:left="6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92"/>
              <w:spacing w:after="0"/>
              <w:rPr>
                <w:sz w:val="20"/>
                <w:szCs w:val="20"/>
                <w:color w:val="auto"/>
              </w:rPr>
            </w:pPr>
            <w:r>
              <w:rPr>
                <w:rFonts w:ascii="Arial" w:cs="Arial" w:eastAsia="Arial" w:hAnsi="Arial"/>
                <w:sz w:val="18"/>
                <w:szCs w:val="18"/>
                <w:color w:val="auto"/>
              </w:rPr>
              <w:t>6,298</w:t>
            </w:r>
          </w:p>
        </w:tc>
        <w:tc>
          <w:tcPr>
            <w:tcW w:w="700" w:type="dxa"/>
            <w:vAlign w:val="bottom"/>
          </w:tcPr>
          <w:p>
            <w:pPr>
              <w:ind w:left="30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2"/>
              <w:spacing w:after="0"/>
              <w:rPr>
                <w:sz w:val="20"/>
                <w:szCs w:val="20"/>
                <w:color w:val="auto"/>
              </w:rPr>
            </w:pPr>
            <w:r>
              <w:rPr>
                <w:rFonts w:ascii="Arial" w:cs="Arial" w:eastAsia="Arial" w:hAnsi="Arial"/>
                <w:sz w:val="18"/>
                <w:szCs w:val="18"/>
                <w:color w:val="auto"/>
              </w:rPr>
              <w:t>259</w:t>
            </w:r>
          </w:p>
        </w:tc>
        <w:tc>
          <w:tcPr>
            <w:tcW w:w="620" w:type="dxa"/>
            <w:vAlign w:val="bottom"/>
          </w:tcPr>
          <w:p>
            <w:pPr>
              <w:ind w:left="3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72"/>
              <w:spacing w:after="0"/>
              <w:rPr>
                <w:sz w:val="20"/>
                <w:szCs w:val="20"/>
                <w:color w:val="auto"/>
              </w:rPr>
            </w:pPr>
            <w:r>
              <w:rPr>
                <w:rFonts w:ascii="Arial" w:cs="Arial" w:eastAsia="Arial" w:hAnsi="Arial"/>
                <w:sz w:val="18"/>
                <w:szCs w:val="18"/>
                <w:color w:val="auto"/>
              </w:rPr>
              <w:t>59</w:t>
            </w:r>
          </w:p>
        </w:tc>
        <w:tc>
          <w:tcPr>
            <w:tcW w:w="700" w:type="dxa"/>
            <w:vAlign w:val="bottom"/>
          </w:tcPr>
          <w:p>
            <w:pPr>
              <w:ind w:left="3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12"/>
              <w:spacing w:after="0"/>
              <w:rPr>
                <w:sz w:val="20"/>
                <w:szCs w:val="20"/>
                <w:color w:val="auto"/>
              </w:rPr>
            </w:pPr>
            <w:r>
              <w:rPr>
                <w:rFonts w:ascii="Arial" w:cs="Arial" w:eastAsia="Arial" w:hAnsi="Arial"/>
                <w:sz w:val="18"/>
                <w:szCs w:val="18"/>
                <w:color w:val="auto"/>
              </w:rPr>
              <w:t>(184)</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6,432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2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 before depreciation and</w:t>
            </w:r>
          </w:p>
        </w:tc>
        <w:tc>
          <w:tcPr>
            <w:tcW w:w="84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amortization(i)</w:t>
            </w:r>
          </w:p>
        </w:tc>
        <w:tc>
          <w:tcPr>
            <w:tcW w:w="840" w:type="dxa"/>
            <w:vAlign w:val="bottom"/>
            <w:shd w:val="clear" w:color="auto" w:fill="E5E5E5"/>
          </w:tcPr>
          <w:p>
            <w:pPr>
              <w:spacing w:after="0"/>
              <w:rPr>
                <w:sz w:val="19"/>
                <w:szCs w:val="19"/>
                <w:color w:val="auto"/>
              </w:rPr>
            </w:pPr>
          </w:p>
        </w:tc>
        <w:tc>
          <w:tcPr>
            <w:tcW w:w="90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2,498</w:t>
            </w:r>
          </w:p>
        </w:tc>
        <w:tc>
          <w:tcPr>
            <w:tcW w:w="700" w:type="dxa"/>
            <w:vAlign w:val="bottom"/>
            <w:shd w:val="clear" w:color="auto" w:fill="E5E5E5"/>
          </w:tcPr>
          <w:p>
            <w:pPr>
              <w:spacing w:after="0"/>
              <w:rPr>
                <w:sz w:val="19"/>
                <w:szCs w:val="19"/>
                <w:color w:val="auto"/>
              </w:rPr>
            </w:pPr>
          </w:p>
        </w:tc>
        <w:tc>
          <w:tcPr>
            <w:tcW w:w="86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87</w:t>
            </w:r>
          </w:p>
        </w:tc>
        <w:tc>
          <w:tcPr>
            <w:tcW w:w="620" w:type="dxa"/>
            <w:vAlign w:val="bottom"/>
            <w:shd w:val="clear" w:color="auto" w:fill="E5E5E5"/>
          </w:tcPr>
          <w:p>
            <w:pPr>
              <w:spacing w:after="0"/>
              <w:rPr>
                <w:sz w:val="19"/>
                <w:szCs w:val="19"/>
                <w:color w:val="auto"/>
              </w:rPr>
            </w:pPr>
          </w:p>
        </w:tc>
        <w:tc>
          <w:tcPr>
            <w:tcW w:w="90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(94)</w:t>
            </w:r>
          </w:p>
        </w:tc>
        <w:tc>
          <w:tcPr>
            <w:tcW w:w="700" w:type="dxa"/>
            <w:vAlign w:val="bottom"/>
            <w:shd w:val="clear" w:color="auto" w:fill="E5E5E5"/>
          </w:tcPr>
          <w:p>
            <w:pPr>
              <w:spacing w:after="0"/>
              <w:rPr>
                <w:sz w:val="19"/>
                <w:szCs w:val="19"/>
                <w:color w:val="auto"/>
              </w:rPr>
            </w:pPr>
          </w:p>
        </w:tc>
        <w:tc>
          <w:tcPr>
            <w:tcW w:w="98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(54)</w:t>
            </w:r>
          </w:p>
        </w:tc>
        <w:tc>
          <w:tcPr>
            <w:tcW w:w="400" w:type="dxa"/>
            <w:vAlign w:val="bottom"/>
            <w:shd w:val="clear" w:color="auto" w:fill="E5E5E5"/>
          </w:tcPr>
          <w:p>
            <w:pPr>
              <w:spacing w:after="0"/>
              <w:rPr>
                <w:sz w:val="19"/>
                <w:szCs w:val="19"/>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40" w:type="dxa"/>
            <w:vAlign w:val="bottom"/>
          </w:tcPr>
          <w:p>
            <w:pPr>
              <w:spacing w:after="0"/>
              <w:rPr>
                <w:sz w:val="18"/>
                <w:szCs w:val="18"/>
                <w:color w:val="auto"/>
              </w:rPr>
            </w:pPr>
          </w:p>
        </w:tc>
        <w:tc>
          <w:tcPr>
            <w:tcW w:w="900" w:type="dxa"/>
            <w:vAlign w:val="bottom"/>
          </w:tcPr>
          <w:p>
            <w:pPr>
              <w:jc w:val="right"/>
              <w:ind w:right="192"/>
              <w:spacing w:after="0"/>
              <w:rPr>
                <w:sz w:val="20"/>
                <w:szCs w:val="20"/>
                <w:color w:val="auto"/>
              </w:rPr>
            </w:pPr>
            <w:r>
              <w:rPr>
                <w:rFonts w:ascii="Arial" w:cs="Arial" w:eastAsia="Arial" w:hAnsi="Arial"/>
                <w:sz w:val="18"/>
                <w:szCs w:val="18"/>
                <w:color w:val="auto"/>
              </w:rPr>
              <w:t>1,157</w:t>
            </w:r>
          </w:p>
        </w:tc>
        <w:tc>
          <w:tcPr>
            <w:tcW w:w="700" w:type="dxa"/>
            <w:vAlign w:val="bottom"/>
          </w:tcPr>
          <w:p>
            <w:pPr>
              <w:spacing w:after="0"/>
              <w:rPr>
                <w:sz w:val="18"/>
                <w:szCs w:val="18"/>
                <w:color w:val="auto"/>
              </w:rPr>
            </w:pPr>
          </w:p>
        </w:tc>
        <w:tc>
          <w:tcPr>
            <w:tcW w:w="860" w:type="dxa"/>
            <w:vAlign w:val="bottom"/>
          </w:tcPr>
          <w:p>
            <w:pPr>
              <w:jc w:val="right"/>
              <w:ind w:right="192"/>
              <w:spacing w:after="0"/>
              <w:rPr>
                <w:sz w:val="20"/>
                <w:szCs w:val="20"/>
                <w:color w:val="auto"/>
              </w:rPr>
            </w:pPr>
            <w:r>
              <w:rPr>
                <w:rFonts w:ascii="Arial" w:cs="Arial" w:eastAsia="Arial" w:hAnsi="Arial"/>
                <w:sz w:val="18"/>
                <w:szCs w:val="18"/>
                <w:color w:val="auto"/>
              </w:rPr>
              <w:t>41</w:t>
            </w:r>
          </w:p>
        </w:tc>
        <w:tc>
          <w:tcPr>
            <w:tcW w:w="620" w:type="dxa"/>
            <w:vAlign w:val="bottom"/>
          </w:tcPr>
          <w:p>
            <w:pPr>
              <w:spacing w:after="0"/>
              <w:rPr>
                <w:sz w:val="18"/>
                <w:szCs w:val="18"/>
                <w:color w:val="auto"/>
              </w:rPr>
            </w:pPr>
          </w:p>
        </w:tc>
        <w:tc>
          <w:tcPr>
            <w:tcW w:w="900" w:type="dxa"/>
            <w:vAlign w:val="bottom"/>
          </w:tcPr>
          <w:p>
            <w:pPr>
              <w:jc w:val="right"/>
              <w:ind w:right="272"/>
              <w:spacing w:after="0"/>
              <w:rPr>
                <w:sz w:val="20"/>
                <w:szCs w:val="20"/>
                <w:color w:val="auto"/>
              </w:rPr>
            </w:pPr>
            <w:r>
              <w:rPr>
                <w:rFonts w:ascii="Arial" w:cs="Arial" w:eastAsia="Arial" w:hAnsi="Arial"/>
                <w:sz w:val="18"/>
                <w:szCs w:val="18"/>
                <w:color w:val="auto"/>
              </w:rPr>
              <w:t>18</w:t>
            </w:r>
          </w:p>
        </w:tc>
        <w:tc>
          <w:tcPr>
            <w:tcW w:w="700" w:type="dxa"/>
            <w:vAlign w:val="bottom"/>
          </w:tcPr>
          <w:p>
            <w:pPr>
              <w:spacing w:after="0"/>
              <w:rPr>
                <w:sz w:val="18"/>
                <w:szCs w:val="18"/>
                <w:color w:val="auto"/>
              </w:rPr>
            </w:pPr>
          </w:p>
        </w:tc>
        <w:tc>
          <w:tcPr>
            <w:tcW w:w="980" w:type="dxa"/>
            <w:vAlign w:val="bottom"/>
          </w:tcPr>
          <w:p>
            <w:pPr>
              <w:jc w:val="right"/>
              <w:ind w:right="212"/>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w:t>
            </w:r>
          </w:p>
        </w:tc>
        <w:tc>
          <w:tcPr>
            <w:tcW w:w="84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1,341</w:t>
            </w:r>
          </w:p>
        </w:tc>
        <w:tc>
          <w:tcPr>
            <w:tcW w:w="70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46</w:t>
            </w:r>
          </w:p>
        </w:tc>
        <w:tc>
          <w:tcPr>
            <w:tcW w:w="6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(112)</w:t>
            </w:r>
          </w:p>
        </w:tc>
        <w:tc>
          <w:tcPr>
            <w:tcW w:w="70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(51)</w:t>
            </w:r>
          </w:p>
        </w:tc>
        <w:tc>
          <w:tcPr>
            <w:tcW w:w="40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Capital Expenditures</w:t>
            </w:r>
          </w:p>
        </w:tc>
        <w:tc>
          <w:tcPr>
            <w:tcW w:w="840" w:type="dxa"/>
            <w:vAlign w:val="bottom"/>
          </w:tcPr>
          <w:p>
            <w:pPr>
              <w:spacing w:after="0"/>
              <w:rPr>
                <w:sz w:val="19"/>
                <w:szCs w:val="19"/>
                <w:color w:val="auto"/>
              </w:rPr>
            </w:pPr>
          </w:p>
        </w:tc>
        <w:tc>
          <w:tcPr>
            <w:tcW w:w="900" w:type="dxa"/>
            <w:vAlign w:val="bottom"/>
          </w:tcPr>
          <w:p>
            <w:pPr>
              <w:jc w:val="right"/>
              <w:ind w:right="192"/>
              <w:spacing w:after="0"/>
              <w:rPr>
                <w:sz w:val="20"/>
                <w:szCs w:val="20"/>
                <w:color w:val="auto"/>
              </w:rPr>
            </w:pPr>
            <w:r>
              <w:rPr>
                <w:rFonts w:ascii="Arial" w:cs="Arial" w:eastAsia="Arial" w:hAnsi="Arial"/>
                <w:sz w:val="18"/>
                <w:szCs w:val="18"/>
                <w:color w:val="auto"/>
              </w:rPr>
              <w:t>1,173</w:t>
            </w:r>
          </w:p>
        </w:tc>
        <w:tc>
          <w:tcPr>
            <w:tcW w:w="700" w:type="dxa"/>
            <w:vAlign w:val="bottom"/>
          </w:tcPr>
          <w:p>
            <w:pPr>
              <w:spacing w:after="0"/>
              <w:rPr>
                <w:sz w:val="19"/>
                <w:szCs w:val="19"/>
                <w:color w:val="auto"/>
              </w:rPr>
            </w:pPr>
          </w:p>
        </w:tc>
        <w:tc>
          <w:tcPr>
            <w:tcW w:w="860" w:type="dxa"/>
            <w:vAlign w:val="bottom"/>
          </w:tcPr>
          <w:p>
            <w:pPr>
              <w:jc w:val="right"/>
              <w:ind w:right="192"/>
              <w:spacing w:after="0"/>
              <w:rPr>
                <w:sz w:val="20"/>
                <w:szCs w:val="20"/>
                <w:color w:val="auto"/>
              </w:rPr>
            </w:pPr>
            <w:r>
              <w:rPr>
                <w:rFonts w:ascii="Arial" w:cs="Arial" w:eastAsia="Arial" w:hAnsi="Arial"/>
                <w:sz w:val="18"/>
                <w:szCs w:val="18"/>
                <w:color w:val="auto"/>
              </w:rPr>
              <w:t>5</w:t>
            </w:r>
          </w:p>
        </w:tc>
        <w:tc>
          <w:tcPr>
            <w:tcW w:w="620" w:type="dxa"/>
            <w:vAlign w:val="bottom"/>
          </w:tcPr>
          <w:p>
            <w:pPr>
              <w:spacing w:after="0"/>
              <w:rPr>
                <w:sz w:val="19"/>
                <w:szCs w:val="19"/>
                <w:color w:val="auto"/>
              </w:rPr>
            </w:pPr>
          </w:p>
        </w:tc>
        <w:tc>
          <w:tcPr>
            <w:tcW w:w="900" w:type="dxa"/>
            <w:vAlign w:val="bottom"/>
          </w:tcPr>
          <w:p>
            <w:pPr>
              <w:jc w:val="right"/>
              <w:ind w:right="272"/>
              <w:spacing w:after="0"/>
              <w:rPr>
                <w:sz w:val="20"/>
                <w:szCs w:val="20"/>
                <w:color w:val="auto"/>
              </w:rPr>
            </w:pPr>
            <w:r>
              <w:rPr>
                <w:rFonts w:ascii="Arial" w:cs="Arial" w:eastAsia="Arial" w:hAnsi="Arial"/>
                <w:sz w:val="18"/>
                <w:szCs w:val="18"/>
                <w:color w:val="auto"/>
              </w:rPr>
              <w:t>34</w:t>
            </w:r>
          </w:p>
        </w:tc>
        <w:tc>
          <w:tcPr>
            <w:tcW w:w="700" w:type="dxa"/>
            <w:vAlign w:val="bottom"/>
          </w:tcPr>
          <w:p>
            <w:pPr>
              <w:spacing w:after="0"/>
              <w:rPr>
                <w:sz w:val="19"/>
                <w:szCs w:val="19"/>
                <w:color w:val="auto"/>
              </w:rPr>
            </w:pPr>
          </w:p>
        </w:tc>
        <w:tc>
          <w:tcPr>
            <w:tcW w:w="980" w:type="dxa"/>
            <w:vAlign w:val="bottom"/>
          </w:tcPr>
          <w:p>
            <w:pPr>
              <w:jc w:val="right"/>
              <w:ind w:right="212"/>
              <w:spacing w:after="0"/>
              <w:rPr>
                <w:sz w:val="20"/>
                <w:szCs w:val="20"/>
                <w:color w:val="auto"/>
              </w:rPr>
            </w:pPr>
            <w:r>
              <w:rPr>
                <w:rFonts w:ascii="Arial" w:cs="Arial" w:eastAsia="Arial" w:hAnsi="Arial"/>
                <w:sz w:val="18"/>
                <w:szCs w:val="18"/>
                <w:color w:val="auto"/>
              </w:rPr>
              <w:t>(15)</w:t>
            </w:r>
          </w:p>
        </w:tc>
        <w:tc>
          <w:tcPr>
            <w:tcW w:w="4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1,197</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020" w:type="dxa"/>
            <w:vAlign w:val="bottom"/>
          </w:tcPr>
          <w:p>
            <w:pPr>
              <w:spacing w:after="0"/>
              <w:rPr>
                <w:sz w:val="6"/>
                <w:szCs w:val="6"/>
                <w:color w:val="auto"/>
              </w:rPr>
            </w:pPr>
          </w:p>
        </w:tc>
        <w:tc>
          <w:tcPr>
            <w:tcW w:w="840" w:type="dxa"/>
            <w:vAlign w:val="bottom"/>
          </w:tcPr>
          <w:p>
            <w:pPr>
              <w:spacing w:after="0"/>
              <w:rPr>
                <w:sz w:val="6"/>
                <w:szCs w:val="6"/>
                <w:color w:val="auto"/>
              </w:rPr>
            </w:pPr>
          </w:p>
        </w:tc>
        <w:tc>
          <w:tcPr>
            <w:tcW w:w="9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7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Nine months ended September 30, 2007</w:t>
            </w:r>
          </w:p>
        </w:tc>
        <w:tc>
          <w:tcPr>
            <w:tcW w:w="84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Revenues(h)</w:t>
            </w:r>
          </w:p>
        </w:tc>
        <w:tc>
          <w:tcPr>
            <w:tcW w:w="840" w:type="dxa"/>
            <w:vAlign w:val="bottom"/>
          </w:tcPr>
          <w:p>
            <w:pPr>
              <w:ind w:left="6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92"/>
              <w:spacing w:after="0"/>
              <w:rPr>
                <w:sz w:val="20"/>
                <w:szCs w:val="20"/>
                <w:color w:val="auto"/>
              </w:rPr>
            </w:pPr>
            <w:r>
              <w:rPr>
                <w:rFonts w:ascii="Arial" w:cs="Arial" w:eastAsia="Arial" w:hAnsi="Arial"/>
                <w:sz w:val="18"/>
                <w:szCs w:val="18"/>
                <w:color w:val="auto"/>
              </w:rPr>
              <w:t>21,728</w:t>
            </w:r>
          </w:p>
        </w:tc>
        <w:tc>
          <w:tcPr>
            <w:tcW w:w="700" w:type="dxa"/>
            <w:vAlign w:val="bottom"/>
          </w:tcPr>
          <w:p>
            <w:pPr>
              <w:ind w:left="30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2"/>
              <w:spacing w:after="0"/>
              <w:rPr>
                <w:sz w:val="20"/>
                <w:szCs w:val="20"/>
                <w:color w:val="auto"/>
              </w:rPr>
            </w:pPr>
            <w:r>
              <w:rPr>
                <w:rFonts w:ascii="Arial" w:cs="Arial" w:eastAsia="Arial" w:hAnsi="Arial"/>
                <w:sz w:val="18"/>
                <w:szCs w:val="18"/>
                <w:color w:val="auto"/>
              </w:rPr>
              <w:t>966</w:t>
            </w:r>
          </w:p>
        </w:tc>
        <w:tc>
          <w:tcPr>
            <w:tcW w:w="620" w:type="dxa"/>
            <w:vAlign w:val="bottom"/>
          </w:tcPr>
          <w:p>
            <w:pPr>
              <w:ind w:left="3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72"/>
              <w:spacing w:after="0"/>
              <w:rPr>
                <w:sz w:val="20"/>
                <w:szCs w:val="20"/>
                <w:color w:val="auto"/>
              </w:rPr>
            </w:pPr>
            <w:r>
              <w:rPr>
                <w:rFonts w:ascii="Arial" w:cs="Arial" w:eastAsia="Arial" w:hAnsi="Arial"/>
                <w:sz w:val="18"/>
                <w:szCs w:val="18"/>
                <w:color w:val="auto"/>
              </w:rPr>
              <w:t>354</w:t>
            </w:r>
          </w:p>
        </w:tc>
        <w:tc>
          <w:tcPr>
            <w:tcW w:w="700" w:type="dxa"/>
            <w:vAlign w:val="bottom"/>
          </w:tcPr>
          <w:p>
            <w:pPr>
              <w:ind w:left="3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12"/>
              <w:spacing w:after="0"/>
              <w:rPr>
                <w:sz w:val="20"/>
                <w:szCs w:val="20"/>
                <w:color w:val="auto"/>
              </w:rPr>
            </w:pPr>
            <w:r>
              <w:rPr>
                <w:rFonts w:ascii="Arial" w:cs="Arial" w:eastAsia="Arial" w:hAnsi="Arial"/>
                <w:sz w:val="18"/>
                <w:szCs w:val="18"/>
                <w:color w:val="auto"/>
              </w:rPr>
              <w:t>(167)</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22,881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2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 before depreciation and</w:t>
            </w:r>
          </w:p>
        </w:tc>
        <w:tc>
          <w:tcPr>
            <w:tcW w:w="84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amortization(i)</w:t>
            </w:r>
          </w:p>
        </w:tc>
        <w:tc>
          <w:tcPr>
            <w:tcW w:w="840" w:type="dxa"/>
            <w:vAlign w:val="bottom"/>
            <w:shd w:val="clear" w:color="auto" w:fill="E5E5E5"/>
          </w:tcPr>
          <w:p>
            <w:pPr>
              <w:spacing w:after="0"/>
              <w:rPr>
                <w:sz w:val="19"/>
                <w:szCs w:val="19"/>
                <w:color w:val="auto"/>
              </w:rPr>
            </w:pPr>
          </w:p>
        </w:tc>
        <w:tc>
          <w:tcPr>
            <w:tcW w:w="90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8,799</w:t>
            </w:r>
          </w:p>
        </w:tc>
        <w:tc>
          <w:tcPr>
            <w:tcW w:w="700" w:type="dxa"/>
            <w:vAlign w:val="bottom"/>
            <w:shd w:val="clear" w:color="auto" w:fill="E5E5E5"/>
          </w:tcPr>
          <w:p>
            <w:pPr>
              <w:spacing w:after="0"/>
              <w:rPr>
                <w:sz w:val="19"/>
                <w:szCs w:val="19"/>
                <w:color w:val="auto"/>
              </w:rPr>
            </w:pPr>
          </w:p>
        </w:tc>
        <w:tc>
          <w:tcPr>
            <w:tcW w:w="86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237</w:t>
            </w:r>
          </w:p>
        </w:tc>
        <w:tc>
          <w:tcPr>
            <w:tcW w:w="620" w:type="dxa"/>
            <w:vAlign w:val="bottom"/>
            <w:shd w:val="clear" w:color="auto" w:fill="E5E5E5"/>
          </w:tcPr>
          <w:p>
            <w:pPr>
              <w:spacing w:after="0"/>
              <w:rPr>
                <w:sz w:val="19"/>
                <w:szCs w:val="19"/>
                <w:color w:val="auto"/>
              </w:rPr>
            </w:pPr>
          </w:p>
        </w:tc>
        <w:tc>
          <w:tcPr>
            <w:tcW w:w="90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(284)</w:t>
            </w:r>
          </w:p>
        </w:tc>
        <w:tc>
          <w:tcPr>
            <w:tcW w:w="700" w:type="dxa"/>
            <w:vAlign w:val="bottom"/>
            <w:shd w:val="clear" w:color="auto" w:fill="E5E5E5"/>
          </w:tcPr>
          <w:p>
            <w:pPr>
              <w:spacing w:after="0"/>
              <w:rPr>
                <w:sz w:val="19"/>
                <w:szCs w:val="19"/>
                <w:color w:val="auto"/>
              </w:rPr>
            </w:pPr>
          </w:p>
        </w:tc>
        <w:tc>
          <w:tcPr>
            <w:tcW w:w="98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(48)</w:t>
            </w:r>
          </w:p>
        </w:tc>
        <w:tc>
          <w:tcPr>
            <w:tcW w:w="400" w:type="dxa"/>
            <w:vAlign w:val="bottom"/>
            <w:shd w:val="clear" w:color="auto" w:fill="E5E5E5"/>
          </w:tcPr>
          <w:p>
            <w:pPr>
              <w:spacing w:after="0"/>
              <w:rPr>
                <w:sz w:val="19"/>
                <w:szCs w:val="19"/>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40" w:type="dxa"/>
            <w:vAlign w:val="bottom"/>
          </w:tcPr>
          <w:p>
            <w:pPr>
              <w:spacing w:after="0"/>
              <w:rPr>
                <w:sz w:val="18"/>
                <w:szCs w:val="18"/>
                <w:color w:val="auto"/>
              </w:rPr>
            </w:pPr>
          </w:p>
        </w:tc>
        <w:tc>
          <w:tcPr>
            <w:tcW w:w="900" w:type="dxa"/>
            <w:vAlign w:val="bottom"/>
          </w:tcPr>
          <w:p>
            <w:pPr>
              <w:jc w:val="right"/>
              <w:ind w:right="192"/>
              <w:spacing w:after="0"/>
              <w:rPr>
                <w:sz w:val="20"/>
                <w:szCs w:val="20"/>
                <w:color w:val="auto"/>
              </w:rPr>
            </w:pPr>
            <w:r>
              <w:rPr>
                <w:rFonts w:ascii="Arial" w:cs="Arial" w:eastAsia="Arial" w:hAnsi="Arial"/>
                <w:sz w:val="18"/>
                <w:szCs w:val="18"/>
                <w:color w:val="auto"/>
              </w:rPr>
              <w:t>4,384</w:t>
            </w:r>
          </w:p>
        </w:tc>
        <w:tc>
          <w:tcPr>
            <w:tcW w:w="700" w:type="dxa"/>
            <w:vAlign w:val="bottom"/>
          </w:tcPr>
          <w:p>
            <w:pPr>
              <w:spacing w:after="0"/>
              <w:rPr>
                <w:sz w:val="18"/>
                <w:szCs w:val="18"/>
                <w:color w:val="auto"/>
              </w:rPr>
            </w:pPr>
          </w:p>
        </w:tc>
        <w:tc>
          <w:tcPr>
            <w:tcW w:w="860" w:type="dxa"/>
            <w:vAlign w:val="bottom"/>
          </w:tcPr>
          <w:p>
            <w:pPr>
              <w:jc w:val="right"/>
              <w:ind w:right="192"/>
              <w:spacing w:after="0"/>
              <w:rPr>
                <w:sz w:val="20"/>
                <w:szCs w:val="20"/>
                <w:color w:val="auto"/>
              </w:rPr>
            </w:pPr>
            <w:r>
              <w:rPr>
                <w:rFonts w:ascii="Arial" w:cs="Arial" w:eastAsia="Arial" w:hAnsi="Arial"/>
                <w:sz w:val="18"/>
                <w:szCs w:val="18"/>
                <w:color w:val="auto"/>
              </w:rPr>
              <w:t>139</w:t>
            </w:r>
          </w:p>
        </w:tc>
        <w:tc>
          <w:tcPr>
            <w:tcW w:w="620" w:type="dxa"/>
            <w:vAlign w:val="bottom"/>
          </w:tcPr>
          <w:p>
            <w:pPr>
              <w:spacing w:after="0"/>
              <w:rPr>
                <w:sz w:val="18"/>
                <w:szCs w:val="18"/>
                <w:color w:val="auto"/>
              </w:rPr>
            </w:pPr>
          </w:p>
        </w:tc>
        <w:tc>
          <w:tcPr>
            <w:tcW w:w="900" w:type="dxa"/>
            <w:vAlign w:val="bottom"/>
          </w:tcPr>
          <w:p>
            <w:pPr>
              <w:jc w:val="right"/>
              <w:ind w:right="272"/>
              <w:spacing w:after="0"/>
              <w:rPr>
                <w:sz w:val="20"/>
                <w:szCs w:val="20"/>
                <w:color w:val="auto"/>
              </w:rPr>
            </w:pPr>
            <w:r>
              <w:rPr>
                <w:rFonts w:ascii="Arial" w:cs="Arial" w:eastAsia="Arial" w:hAnsi="Arial"/>
                <w:sz w:val="18"/>
                <w:szCs w:val="18"/>
                <w:color w:val="auto"/>
              </w:rPr>
              <w:t>79</w:t>
            </w:r>
          </w:p>
        </w:tc>
        <w:tc>
          <w:tcPr>
            <w:tcW w:w="700" w:type="dxa"/>
            <w:vAlign w:val="bottom"/>
          </w:tcPr>
          <w:p>
            <w:pPr>
              <w:spacing w:after="0"/>
              <w:rPr>
                <w:sz w:val="18"/>
                <w:szCs w:val="18"/>
                <w:color w:val="auto"/>
              </w:rPr>
            </w:pPr>
          </w:p>
        </w:tc>
        <w:tc>
          <w:tcPr>
            <w:tcW w:w="980" w:type="dxa"/>
            <w:vAlign w:val="bottom"/>
          </w:tcPr>
          <w:p>
            <w:pPr>
              <w:jc w:val="right"/>
              <w:ind w:right="212"/>
              <w:spacing w:after="0"/>
              <w:rPr>
                <w:sz w:val="20"/>
                <w:szCs w:val="20"/>
                <w:color w:val="auto"/>
              </w:rPr>
            </w:pPr>
            <w:r>
              <w:rPr>
                <w:rFonts w:ascii="Arial" w:cs="Arial" w:eastAsia="Arial" w:hAnsi="Arial"/>
                <w:sz w:val="18"/>
                <w:szCs w:val="18"/>
                <w:color w:val="auto"/>
              </w:rPr>
              <w:t>(18)</w:t>
            </w:r>
          </w:p>
        </w:tc>
        <w:tc>
          <w:tcPr>
            <w:tcW w:w="4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w:t>
            </w:r>
          </w:p>
        </w:tc>
        <w:tc>
          <w:tcPr>
            <w:tcW w:w="84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4,415</w:t>
            </w:r>
          </w:p>
        </w:tc>
        <w:tc>
          <w:tcPr>
            <w:tcW w:w="70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98</w:t>
            </w:r>
          </w:p>
        </w:tc>
        <w:tc>
          <w:tcPr>
            <w:tcW w:w="6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(363)</w:t>
            </w:r>
          </w:p>
        </w:tc>
        <w:tc>
          <w:tcPr>
            <w:tcW w:w="70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(30)</w:t>
            </w:r>
          </w:p>
        </w:tc>
        <w:tc>
          <w:tcPr>
            <w:tcW w:w="40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4,120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Capital Expenditures</w:t>
            </w:r>
          </w:p>
        </w:tc>
        <w:tc>
          <w:tcPr>
            <w:tcW w:w="840" w:type="dxa"/>
            <w:vAlign w:val="bottom"/>
          </w:tcPr>
          <w:p>
            <w:pPr>
              <w:spacing w:after="0"/>
              <w:rPr>
                <w:sz w:val="19"/>
                <w:szCs w:val="19"/>
                <w:color w:val="auto"/>
              </w:rPr>
            </w:pPr>
          </w:p>
        </w:tc>
        <w:tc>
          <w:tcPr>
            <w:tcW w:w="900" w:type="dxa"/>
            <w:vAlign w:val="bottom"/>
          </w:tcPr>
          <w:p>
            <w:pPr>
              <w:jc w:val="right"/>
              <w:ind w:right="192"/>
              <w:spacing w:after="0"/>
              <w:rPr>
                <w:sz w:val="20"/>
                <w:szCs w:val="20"/>
                <w:color w:val="auto"/>
              </w:rPr>
            </w:pPr>
            <w:r>
              <w:rPr>
                <w:rFonts w:ascii="Arial" w:cs="Arial" w:eastAsia="Arial" w:hAnsi="Arial"/>
                <w:sz w:val="18"/>
                <w:szCs w:val="18"/>
                <w:color w:val="auto"/>
              </w:rPr>
              <w:t>4,521</w:t>
            </w:r>
          </w:p>
        </w:tc>
        <w:tc>
          <w:tcPr>
            <w:tcW w:w="700" w:type="dxa"/>
            <w:vAlign w:val="bottom"/>
          </w:tcPr>
          <w:p>
            <w:pPr>
              <w:spacing w:after="0"/>
              <w:rPr>
                <w:sz w:val="19"/>
                <w:szCs w:val="19"/>
                <w:color w:val="auto"/>
              </w:rPr>
            </w:pPr>
          </w:p>
        </w:tc>
        <w:tc>
          <w:tcPr>
            <w:tcW w:w="860" w:type="dxa"/>
            <w:vAlign w:val="bottom"/>
          </w:tcPr>
          <w:p>
            <w:pPr>
              <w:jc w:val="right"/>
              <w:ind w:right="192"/>
              <w:spacing w:after="0"/>
              <w:rPr>
                <w:sz w:val="20"/>
                <w:szCs w:val="20"/>
                <w:color w:val="auto"/>
              </w:rPr>
            </w:pPr>
            <w:r>
              <w:rPr>
                <w:rFonts w:ascii="Arial" w:cs="Arial" w:eastAsia="Arial" w:hAnsi="Arial"/>
                <w:sz w:val="18"/>
                <w:szCs w:val="18"/>
                <w:color w:val="auto"/>
              </w:rPr>
              <w:t>22</w:t>
            </w:r>
          </w:p>
        </w:tc>
        <w:tc>
          <w:tcPr>
            <w:tcW w:w="620" w:type="dxa"/>
            <w:vAlign w:val="bottom"/>
          </w:tcPr>
          <w:p>
            <w:pPr>
              <w:spacing w:after="0"/>
              <w:rPr>
                <w:sz w:val="19"/>
                <w:szCs w:val="19"/>
                <w:color w:val="auto"/>
              </w:rPr>
            </w:pPr>
          </w:p>
        </w:tc>
        <w:tc>
          <w:tcPr>
            <w:tcW w:w="900" w:type="dxa"/>
            <w:vAlign w:val="bottom"/>
          </w:tcPr>
          <w:p>
            <w:pPr>
              <w:jc w:val="right"/>
              <w:ind w:right="272"/>
              <w:spacing w:after="0"/>
              <w:rPr>
                <w:sz w:val="20"/>
                <w:szCs w:val="20"/>
                <w:color w:val="auto"/>
              </w:rPr>
            </w:pPr>
            <w:r>
              <w:rPr>
                <w:rFonts w:ascii="Arial" w:cs="Arial" w:eastAsia="Arial" w:hAnsi="Arial"/>
                <w:sz w:val="18"/>
                <w:szCs w:val="18"/>
                <w:color w:val="auto"/>
              </w:rPr>
              <w:t>41</w:t>
            </w:r>
          </w:p>
        </w:tc>
        <w:tc>
          <w:tcPr>
            <w:tcW w:w="700" w:type="dxa"/>
            <w:vAlign w:val="bottom"/>
          </w:tcPr>
          <w:p>
            <w:pPr>
              <w:spacing w:after="0"/>
              <w:rPr>
                <w:sz w:val="19"/>
                <w:szCs w:val="19"/>
                <w:color w:val="auto"/>
              </w:rPr>
            </w:pPr>
          </w:p>
        </w:tc>
        <w:tc>
          <w:tcPr>
            <w:tcW w:w="98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4,584</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020" w:type="dxa"/>
            <w:vAlign w:val="bottom"/>
          </w:tcPr>
          <w:p>
            <w:pPr>
              <w:spacing w:after="0"/>
              <w:rPr>
                <w:sz w:val="6"/>
                <w:szCs w:val="6"/>
                <w:color w:val="auto"/>
              </w:rPr>
            </w:pPr>
          </w:p>
        </w:tc>
        <w:tc>
          <w:tcPr>
            <w:tcW w:w="840" w:type="dxa"/>
            <w:vAlign w:val="bottom"/>
          </w:tcPr>
          <w:p>
            <w:pPr>
              <w:spacing w:after="0"/>
              <w:rPr>
                <w:sz w:val="6"/>
                <w:szCs w:val="6"/>
                <w:color w:val="auto"/>
              </w:rPr>
            </w:pPr>
          </w:p>
        </w:tc>
        <w:tc>
          <w:tcPr>
            <w:tcW w:w="9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7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Nine months ended September 30, 2006</w:t>
            </w:r>
          </w:p>
        </w:tc>
        <w:tc>
          <w:tcPr>
            <w:tcW w:w="84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Revenues(h)</w:t>
            </w:r>
          </w:p>
        </w:tc>
        <w:tc>
          <w:tcPr>
            <w:tcW w:w="840" w:type="dxa"/>
            <w:vAlign w:val="bottom"/>
          </w:tcPr>
          <w:p>
            <w:pPr>
              <w:ind w:left="6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92"/>
              <w:spacing w:after="0"/>
              <w:rPr>
                <w:sz w:val="20"/>
                <w:szCs w:val="20"/>
                <w:color w:val="auto"/>
              </w:rPr>
            </w:pPr>
            <w:r>
              <w:rPr>
                <w:rFonts w:ascii="Arial" w:cs="Arial" w:eastAsia="Arial" w:hAnsi="Arial"/>
                <w:sz w:val="18"/>
                <w:szCs w:val="18"/>
                <w:color w:val="auto"/>
              </w:rPr>
              <w:t>17,166</w:t>
            </w:r>
          </w:p>
        </w:tc>
        <w:tc>
          <w:tcPr>
            <w:tcW w:w="700" w:type="dxa"/>
            <w:vAlign w:val="bottom"/>
          </w:tcPr>
          <w:p>
            <w:pPr>
              <w:ind w:left="30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2"/>
              <w:spacing w:after="0"/>
              <w:rPr>
                <w:sz w:val="20"/>
                <w:szCs w:val="20"/>
                <w:color w:val="auto"/>
              </w:rPr>
            </w:pPr>
            <w:r>
              <w:rPr>
                <w:rFonts w:ascii="Arial" w:cs="Arial" w:eastAsia="Arial" w:hAnsi="Arial"/>
                <w:sz w:val="18"/>
                <w:szCs w:val="18"/>
                <w:color w:val="auto"/>
              </w:rPr>
              <w:t>771</w:t>
            </w:r>
          </w:p>
        </w:tc>
        <w:tc>
          <w:tcPr>
            <w:tcW w:w="620" w:type="dxa"/>
            <w:vAlign w:val="bottom"/>
          </w:tcPr>
          <w:p>
            <w:pPr>
              <w:ind w:left="3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72"/>
              <w:spacing w:after="0"/>
              <w:rPr>
                <w:sz w:val="20"/>
                <w:szCs w:val="20"/>
                <w:color w:val="auto"/>
              </w:rPr>
            </w:pPr>
            <w:r>
              <w:rPr>
                <w:rFonts w:ascii="Arial" w:cs="Arial" w:eastAsia="Arial" w:hAnsi="Arial"/>
                <w:sz w:val="18"/>
                <w:szCs w:val="18"/>
                <w:color w:val="auto"/>
              </w:rPr>
              <w:t>261</w:t>
            </w:r>
          </w:p>
        </w:tc>
        <w:tc>
          <w:tcPr>
            <w:tcW w:w="700" w:type="dxa"/>
            <w:vAlign w:val="bottom"/>
          </w:tcPr>
          <w:p>
            <w:pPr>
              <w:ind w:left="3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12"/>
              <w:spacing w:after="0"/>
              <w:rPr>
                <w:sz w:val="20"/>
                <w:szCs w:val="20"/>
                <w:color w:val="auto"/>
              </w:rPr>
            </w:pPr>
            <w:r>
              <w:rPr>
                <w:rFonts w:ascii="Arial" w:cs="Arial" w:eastAsia="Arial" w:hAnsi="Arial"/>
                <w:sz w:val="18"/>
                <w:szCs w:val="18"/>
                <w:color w:val="auto"/>
              </w:rPr>
              <w:t>(263)</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17,935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2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 before depreciation and</w:t>
            </w:r>
          </w:p>
        </w:tc>
        <w:tc>
          <w:tcPr>
            <w:tcW w:w="84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amortization(i)</w:t>
            </w:r>
          </w:p>
        </w:tc>
        <w:tc>
          <w:tcPr>
            <w:tcW w:w="840" w:type="dxa"/>
            <w:vAlign w:val="bottom"/>
            <w:shd w:val="clear" w:color="auto" w:fill="E5E5E5"/>
          </w:tcPr>
          <w:p>
            <w:pPr>
              <w:spacing w:after="0"/>
              <w:rPr>
                <w:sz w:val="19"/>
                <w:szCs w:val="19"/>
                <w:color w:val="auto"/>
              </w:rPr>
            </w:pPr>
          </w:p>
        </w:tc>
        <w:tc>
          <w:tcPr>
            <w:tcW w:w="90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6,930</w:t>
            </w:r>
          </w:p>
        </w:tc>
        <w:tc>
          <w:tcPr>
            <w:tcW w:w="700" w:type="dxa"/>
            <w:vAlign w:val="bottom"/>
            <w:shd w:val="clear" w:color="auto" w:fill="E5E5E5"/>
          </w:tcPr>
          <w:p>
            <w:pPr>
              <w:spacing w:after="0"/>
              <w:rPr>
                <w:sz w:val="19"/>
                <w:szCs w:val="19"/>
                <w:color w:val="auto"/>
              </w:rPr>
            </w:pPr>
          </w:p>
        </w:tc>
        <w:tc>
          <w:tcPr>
            <w:tcW w:w="86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196</w:t>
            </w:r>
          </w:p>
        </w:tc>
        <w:tc>
          <w:tcPr>
            <w:tcW w:w="620" w:type="dxa"/>
            <w:vAlign w:val="bottom"/>
            <w:shd w:val="clear" w:color="auto" w:fill="E5E5E5"/>
          </w:tcPr>
          <w:p>
            <w:pPr>
              <w:spacing w:after="0"/>
              <w:rPr>
                <w:sz w:val="19"/>
                <w:szCs w:val="19"/>
                <w:color w:val="auto"/>
              </w:rPr>
            </w:pPr>
          </w:p>
        </w:tc>
        <w:tc>
          <w:tcPr>
            <w:tcW w:w="90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(222)</w:t>
            </w:r>
          </w:p>
        </w:tc>
        <w:tc>
          <w:tcPr>
            <w:tcW w:w="700" w:type="dxa"/>
            <w:vAlign w:val="bottom"/>
            <w:shd w:val="clear" w:color="auto" w:fill="E5E5E5"/>
          </w:tcPr>
          <w:p>
            <w:pPr>
              <w:spacing w:after="0"/>
              <w:rPr>
                <w:sz w:val="19"/>
                <w:szCs w:val="19"/>
                <w:color w:val="auto"/>
              </w:rPr>
            </w:pPr>
          </w:p>
        </w:tc>
        <w:tc>
          <w:tcPr>
            <w:tcW w:w="98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(56)</w:t>
            </w:r>
          </w:p>
        </w:tc>
        <w:tc>
          <w:tcPr>
            <w:tcW w:w="400" w:type="dxa"/>
            <w:vAlign w:val="bottom"/>
            <w:shd w:val="clear" w:color="auto" w:fill="E5E5E5"/>
          </w:tcPr>
          <w:p>
            <w:pPr>
              <w:spacing w:after="0"/>
              <w:rPr>
                <w:sz w:val="19"/>
                <w:szCs w:val="19"/>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40" w:type="dxa"/>
            <w:vAlign w:val="bottom"/>
          </w:tcPr>
          <w:p>
            <w:pPr>
              <w:spacing w:after="0"/>
              <w:rPr>
                <w:sz w:val="18"/>
                <w:szCs w:val="18"/>
                <w:color w:val="auto"/>
              </w:rPr>
            </w:pPr>
          </w:p>
        </w:tc>
        <w:tc>
          <w:tcPr>
            <w:tcW w:w="900" w:type="dxa"/>
            <w:vAlign w:val="bottom"/>
          </w:tcPr>
          <w:p>
            <w:pPr>
              <w:jc w:val="right"/>
              <w:ind w:right="192"/>
              <w:spacing w:after="0"/>
              <w:rPr>
                <w:sz w:val="20"/>
                <w:szCs w:val="20"/>
                <w:color w:val="auto"/>
              </w:rPr>
            </w:pPr>
            <w:r>
              <w:rPr>
                <w:rFonts w:ascii="Arial" w:cs="Arial" w:eastAsia="Arial" w:hAnsi="Arial"/>
                <w:sz w:val="18"/>
                <w:szCs w:val="18"/>
                <w:color w:val="auto"/>
              </w:rPr>
              <w:t>3,269</w:t>
            </w:r>
          </w:p>
        </w:tc>
        <w:tc>
          <w:tcPr>
            <w:tcW w:w="700" w:type="dxa"/>
            <w:vAlign w:val="bottom"/>
          </w:tcPr>
          <w:p>
            <w:pPr>
              <w:spacing w:after="0"/>
              <w:rPr>
                <w:sz w:val="18"/>
                <w:szCs w:val="18"/>
                <w:color w:val="auto"/>
              </w:rPr>
            </w:pPr>
          </w:p>
        </w:tc>
        <w:tc>
          <w:tcPr>
            <w:tcW w:w="860" w:type="dxa"/>
            <w:vAlign w:val="bottom"/>
          </w:tcPr>
          <w:p>
            <w:pPr>
              <w:jc w:val="right"/>
              <w:ind w:right="192"/>
              <w:spacing w:after="0"/>
              <w:rPr>
                <w:sz w:val="20"/>
                <w:szCs w:val="20"/>
                <w:color w:val="auto"/>
              </w:rPr>
            </w:pPr>
            <w:r>
              <w:rPr>
                <w:rFonts w:ascii="Arial" w:cs="Arial" w:eastAsia="Arial" w:hAnsi="Arial"/>
                <w:sz w:val="18"/>
                <w:szCs w:val="18"/>
                <w:color w:val="auto"/>
              </w:rPr>
              <w:t>123</w:t>
            </w:r>
          </w:p>
        </w:tc>
        <w:tc>
          <w:tcPr>
            <w:tcW w:w="620" w:type="dxa"/>
            <w:vAlign w:val="bottom"/>
          </w:tcPr>
          <w:p>
            <w:pPr>
              <w:spacing w:after="0"/>
              <w:rPr>
                <w:sz w:val="18"/>
                <w:szCs w:val="18"/>
                <w:color w:val="auto"/>
              </w:rPr>
            </w:pPr>
          </w:p>
        </w:tc>
        <w:tc>
          <w:tcPr>
            <w:tcW w:w="900" w:type="dxa"/>
            <w:vAlign w:val="bottom"/>
          </w:tcPr>
          <w:p>
            <w:pPr>
              <w:jc w:val="right"/>
              <w:ind w:right="272"/>
              <w:spacing w:after="0"/>
              <w:rPr>
                <w:sz w:val="20"/>
                <w:szCs w:val="20"/>
                <w:color w:val="auto"/>
              </w:rPr>
            </w:pPr>
            <w:r>
              <w:rPr>
                <w:rFonts w:ascii="Arial" w:cs="Arial" w:eastAsia="Arial" w:hAnsi="Arial"/>
                <w:sz w:val="18"/>
                <w:szCs w:val="18"/>
                <w:color w:val="auto"/>
              </w:rPr>
              <w:t>67</w:t>
            </w:r>
          </w:p>
        </w:tc>
        <w:tc>
          <w:tcPr>
            <w:tcW w:w="700" w:type="dxa"/>
            <w:vAlign w:val="bottom"/>
          </w:tcPr>
          <w:p>
            <w:pPr>
              <w:spacing w:after="0"/>
              <w:rPr>
                <w:sz w:val="18"/>
                <w:szCs w:val="18"/>
                <w:color w:val="auto"/>
              </w:rPr>
            </w:pPr>
          </w:p>
        </w:tc>
        <w:tc>
          <w:tcPr>
            <w:tcW w:w="980" w:type="dxa"/>
            <w:vAlign w:val="bottom"/>
          </w:tcPr>
          <w:p>
            <w:pPr>
              <w:jc w:val="right"/>
              <w:ind w:right="212"/>
              <w:spacing w:after="0"/>
              <w:rPr>
                <w:sz w:val="20"/>
                <w:szCs w:val="20"/>
                <w:color w:val="auto"/>
              </w:rPr>
            </w:pPr>
            <w:r>
              <w:rPr>
                <w:rFonts w:ascii="Arial" w:cs="Arial" w:eastAsia="Arial" w:hAnsi="Arial"/>
                <w:sz w:val="18"/>
                <w:szCs w:val="18"/>
                <w:color w:val="auto"/>
              </w:rPr>
              <w:t>(12)</w:t>
            </w:r>
          </w:p>
        </w:tc>
        <w:tc>
          <w:tcPr>
            <w:tcW w:w="4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w:t>
            </w:r>
          </w:p>
        </w:tc>
        <w:tc>
          <w:tcPr>
            <w:tcW w:w="84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3,661</w:t>
            </w:r>
          </w:p>
        </w:tc>
        <w:tc>
          <w:tcPr>
            <w:tcW w:w="70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73</w:t>
            </w:r>
          </w:p>
        </w:tc>
        <w:tc>
          <w:tcPr>
            <w:tcW w:w="6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(289)</w:t>
            </w:r>
          </w:p>
        </w:tc>
        <w:tc>
          <w:tcPr>
            <w:tcW w:w="70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(44)</w:t>
            </w:r>
          </w:p>
        </w:tc>
        <w:tc>
          <w:tcPr>
            <w:tcW w:w="40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3,401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Capital Expenditures</w:t>
            </w:r>
          </w:p>
        </w:tc>
        <w:tc>
          <w:tcPr>
            <w:tcW w:w="840" w:type="dxa"/>
            <w:vAlign w:val="bottom"/>
          </w:tcPr>
          <w:p>
            <w:pPr>
              <w:spacing w:after="0"/>
              <w:rPr>
                <w:sz w:val="19"/>
                <w:szCs w:val="19"/>
                <w:color w:val="auto"/>
              </w:rPr>
            </w:pPr>
          </w:p>
        </w:tc>
        <w:tc>
          <w:tcPr>
            <w:tcW w:w="900" w:type="dxa"/>
            <w:vAlign w:val="bottom"/>
          </w:tcPr>
          <w:p>
            <w:pPr>
              <w:jc w:val="right"/>
              <w:ind w:right="192"/>
              <w:spacing w:after="0"/>
              <w:rPr>
                <w:sz w:val="20"/>
                <w:szCs w:val="20"/>
                <w:color w:val="auto"/>
              </w:rPr>
            </w:pPr>
            <w:r>
              <w:rPr>
                <w:rFonts w:ascii="Arial" w:cs="Arial" w:eastAsia="Arial" w:hAnsi="Arial"/>
                <w:sz w:val="18"/>
                <w:szCs w:val="18"/>
                <w:color w:val="auto"/>
              </w:rPr>
              <w:t>2,913</w:t>
            </w:r>
          </w:p>
        </w:tc>
        <w:tc>
          <w:tcPr>
            <w:tcW w:w="700" w:type="dxa"/>
            <w:vAlign w:val="bottom"/>
          </w:tcPr>
          <w:p>
            <w:pPr>
              <w:spacing w:after="0"/>
              <w:rPr>
                <w:sz w:val="19"/>
                <w:szCs w:val="19"/>
                <w:color w:val="auto"/>
              </w:rPr>
            </w:pPr>
          </w:p>
        </w:tc>
        <w:tc>
          <w:tcPr>
            <w:tcW w:w="860" w:type="dxa"/>
            <w:vAlign w:val="bottom"/>
          </w:tcPr>
          <w:p>
            <w:pPr>
              <w:jc w:val="right"/>
              <w:ind w:right="192"/>
              <w:spacing w:after="0"/>
              <w:rPr>
                <w:sz w:val="20"/>
                <w:szCs w:val="20"/>
                <w:color w:val="auto"/>
              </w:rPr>
            </w:pPr>
            <w:r>
              <w:rPr>
                <w:rFonts w:ascii="Arial" w:cs="Arial" w:eastAsia="Arial" w:hAnsi="Arial"/>
                <w:sz w:val="18"/>
                <w:szCs w:val="18"/>
                <w:color w:val="auto"/>
              </w:rPr>
              <w:t>18</w:t>
            </w:r>
          </w:p>
        </w:tc>
        <w:tc>
          <w:tcPr>
            <w:tcW w:w="620" w:type="dxa"/>
            <w:vAlign w:val="bottom"/>
          </w:tcPr>
          <w:p>
            <w:pPr>
              <w:spacing w:after="0"/>
              <w:rPr>
                <w:sz w:val="19"/>
                <w:szCs w:val="19"/>
                <w:color w:val="auto"/>
              </w:rPr>
            </w:pPr>
          </w:p>
        </w:tc>
        <w:tc>
          <w:tcPr>
            <w:tcW w:w="900" w:type="dxa"/>
            <w:vAlign w:val="bottom"/>
          </w:tcPr>
          <w:p>
            <w:pPr>
              <w:jc w:val="right"/>
              <w:ind w:right="272"/>
              <w:spacing w:after="0"/>
              <w:rPr>
                <w:sz w:val="20"/>
                <w:szCs w:val="20"/>
                <w:color w:val="auto"/>
              </w:rPr>
            </w:pPr>
            <w:r>
              <w:rPr>
                <w:rFonts w:ascii="Arial" w:cs="Arial" w:eastAsia="Arial" w:hAnsi="Arial"/>
                <w:sz w:val="18"/>
                <w:szCs w:val="18"/>
                <w:color w:val="auto"/>
              </w:rPr>
              <w:t>49</w:t>
            </w:r>
          </w:p>
        </w:tc>
        <w:tc>
          <w:tcPr>
            <w:tcW w:w="700" w:type="dxa"/>
            <w:vAlign w:val="bottom"/>
          </w:tcPr>
          <w:p>
            <w:pPr>
              <w:spacing w:after="0"/>
              <w:rPr>
                <w:sz w:val="19"/>
                <w:szCs w:val="19"/>
                <w:color w:val="auto"/>
              </w:rPr>
            </w:pPr>
          </w:p>
        </w:tc>
        <w:tc>
          <w:tcPr>
            <w:tcW w:w="980" w:type="dxa"/>
            <w:vAlign w:val="bottom"/>
          </w:tcPr>
          <w:p>
            <w:pPr>
              <w:jc w:val="right"/>
              <w:ind w:right="252"/>
              <w:spacing w:after="0"/>
              <w:rPr>
                <w:sz w:val="20"/>
                <w:szCs w:val="20"/>
                <w:color w:val="auto"/>
              </w:rPr>
            </w:pPr>
            <w:r>
              <w:rPr>
                <w:rFonts w:ascii="Arial" w:cs="Arial" w:eastAsia="Arial" w:hAnsi="Arial"/>
                <w:sz w:val="18"/>
                <w:szCs w:val="18"/>
                <w:color w:val="auto"/>
              </w:rPr>
              <w:t>71</w:t>
            </w:r>
          </w:p>
        </w:tc>
        <w:tc>
          <w:tcPr>
            <w:tcW w:w="4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the three and nine months ended September 30, 2007 and 2006, Cable segment revenues were derived from the following services: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880" w:type="dxa"/>
            <w:vAlign w:val="bottom"/>
            <w:gridSpan w:val="2"/>
          </w:tcPr>
          <w:p>
            <w:pPr>
              <w:jc w:val="right"/>
              <w:ind w:right="715"/>
              <w:spacing w:after="0"/>
              <w:rPr>
                <w:sz w:val="20"/>
                <w:szCs w:val="20"/>
                <w:color w:val="auto"/>
              </w:rPr>
            </w:pPr>
            <w:r>
              <w:rPr>
                <w:rFonts w:ascii="Arial" w:cs="Arial" w:eastAsia="Arial" w:hAnsi="Arial"/>
                <w:sz w:val="14"/>
                <w:szCs w:val="14"/>
                <w:b w:val="1"/>
                <w:bCs w:val="1"/>
                <w:color w:val="auto"/>
              </w:rPr>
              <w:t>Three Months Ended</w:t>
            </w:r>
          </w:p>
        </w:tc>
        <w:tc>
          <w:tcPr>
            <w:tcW w:w="2220" w:type="dxa"/>
            <w:vAlign w:val="bottom"/>
            <w:gridSpan w:val="3"/>
          </w:tcPr>
          <w:p>
            <w:pPr>
              <w:ind w:left="54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237"/>
        </w:trPr>
        <w:tc>
          <w:tcPr>
            <w:tcW w:w="20" w:type="dxa"/>
            <w:vAlign w:val="bottom"/>
          </w:tcPr>
          <w:p>
            <w:pPr>
              <w:spacing w:after="0"/>
              <w:rPr>
                <w:sz w:val="20"/>
                <w:szCs w:val="20"/>
                <w:color w:val="auto"/>
              </w:rPr>
            </w:pPr>
          </w:p>
        </w:tc>
        <w:tc>
          <w:tcPr>
            <w:tcW w:w="3500" w:type="dxa"/>
            <w:vAlign w:val="bottom"/>
            <w:tcBorders>
              <w:bottom w:val="single" w:sz="8" w:color="auto"/>
            </w:tcBorders>
          </w:tcPr>
          <w:p>
            <w:pPr>
              <w:spacing w:after="0"/>
              <w:rPr>
                <w:sz w:val="20"/>
                <w:szCs w:val="20"/>
                <w:color w:val="auto"/>
              </w:rPr>
            </w:pPr>
          </w:p>
        </w:tc>
        <w:tc>
          <w:tcPr>
            <w:tcW w:w="4740" w:type="dxa"/>
            <w:vAlign w:val="bottom"/>
            <w:tcBorders>
              <w:bottom w:val="single" w:sz="8" w:color="auto"/>
            </w:tcBorders>
            <w:gridSpan w:val="2"/>
          </w:tcPr>
          <w:p>
            <w:pPr>
              <w:jc w:val="right"/>
              <w:ind w:right="886"/>
              <w:spacing w:after="0"/>
              <w:rPr>
                <w:sz w:val="20"/>
                <w:szCs w:val="20"/>
                <w:color w:val="auto"/>
              </w:rPr>
            </w:pPr>
            <w:r>
              <w:rPr>
                <w:rFonts w:ascii="Arial" w:cs="Arial" w:eastAsia="Arial" w:hAnsi="Arial"/>
                <w:sz w:val="14"/>
                <w:szCs w:val="14"/>
                <w:b w:val="1"/>
                <w:bCs w:val="1"/>
                <w:color w:val="auto"/>
              </w:rPr>
              <w:t>2007</w:t>
            </w:r>
          </w:p>
        </w:tc>
        <w:tc>
          <w:tcPr>
            <w:tcW w:w="9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w w:val="96"/>
              </w:rPr>
              <w:t>2006</w:t>
            </w:r>
          </w:p>
        </w:tc>
        <w:tc>
          <w:tcPr>
            <w:tcW w:w="1580" w:type="dxa"/>
            <w:vAlign w:val="bottom"/>
            <w:tcBorders>
              <w:bottom w:val="single" w:sz="8" w:color="auto"/>
            </w:tcBorders>
          </w:tcPr>
          <w:p>
            <w:pPr>
              <w:jc w:val="right"/>
              <w:ind w:right="879"/>
              <w:spacing w:after="0"/>
              <w:rPr>
                <w:sz w:val="20"/>
                <w:szCs w:val="20"/>
                <w:color w:val="auto"/>
              </w:rPr>
            </w:pPr>
            <w:r>
              <w:rPr>
                <w:rFonts w:ascii="Arial" w:cs="Arial" w:eastAsia="Arial" w:hAnsi="Arial"/>
                <w:sz w:val="14"/>
                <w:szCs w:val="14"/>
                <w:b w:val="1"/>
                <w:bCs w:val="1"/>
                <w:color w:val="auto"/>
              </w:rPr>
              <w:t>2007</w:t>
            </w:r>
          </w:p>
        </w:tc>
        <w:tc>
          <w:tcPr>
            <w:tcW w:w="6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w w:val="89"/>
              </w:rPr>
              <w:t>2006</w:t>
            </w:r>
          </w:p>
        </w:tc>
        <w:tc>
          <w:tcPr>
            <w:tcW w:w="2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500" w:type="dxa"/>
            <w:vAlign w:val="bottom"/>
            <w:shd w:val="clear" w:color="auto" w:fill="E5E5E5"/>
          </w:tcPr>
          <w:p>
            <w:pPr>
              <w:spacing w:after="0"/>
              <w:rPr>
                <w:sz w:val="20"/>
                <w:szCs w:val="20"/>
                <w:color w:val="auto"/>
              </w:rPr>
            </w:pPr>
            <w:r>
              <w:rPr>
                <w:rFonts w:ascii="Arial" w:cs="Arial" w:eastAsia="Arial" w:hAnsi="Arial"/>
                <w:sz w:val="18"/>
                <w:szCs w:val="18"/>
                <w:color w:val="auto"/>
              </w:rPr>
              <w:t>Video</w:t>
            </w:r>
          </w:p>
        </w:tc>
        <w:tc>
          <w:tcPr>
            <w:tcW w:w="4740" w:type="dxa"/>
            <w:vAlign w:val="bottom"/>
            <w:gridSpan w:val="2"/>
            <w:shd w:val="clear" w:color="auto" w:fill="E5E5E5"/>
          </w:tcPr>
          <w:p>
            <w:pPr>
              <w:jc w:val="right"/>
              <w:ind w:right="606"/>
              <w:spacing w:after="0"/>
              <w:rPr>
                <w:sz w:val="20"/>
                <w:szCs w:val="20"/>
                <w:color w:val="auto"/>
              </w:rPr>
            </w:pPr>
            <w:r>
              <w:rPr>
                <w:rFonts w:ascii="Arial" w:cs="Arial" w:eastAsia="Arial" w:hAnsi="Arial"/>
                <w:sz w:val="18"/>
                <w:szCs w:val="18"/>
                <w:color w:val="auto"/>
              </w:rPr>
              <w:t>59.4%</w:t>
            </w:r>
          </w:p>
        </w:tc>
        <w:tc>
          <w:tcPr>
            <w:tcW w:w="960" w:type="dxa"/>
            <w:vAlign w:val="bottom"/>
            <w:shd w:val="clear" w:color="auto" w:fill="E5E5E5"/>
          </w:tcPr>
          <w:p>
            <w:pPr>
              <w:jc w:val="right"/>
              <w:ind w:right="275"/>
              <w:spacing w:after="0"/>
              <w:rPr>
                <w:sz w:val="20"/>
                <w:szCs w:val="20"/>
                <w:color w:val="auto"/>
              </w:rPr>
            </w:pPr>
            <w:r>
              <w:rPr>
                <w:rFonts w:ascii="Arial" w:cs="Arial" w:eastAsia="Arial" w:hAnsi="Arial"/>
                <w:sz w:val="18"/>
                <w:szCs w:val="18"/>
                <w:color w:val="auto"/>
              </w:rPr>
              <w:t>62.6%</w:t>
            </w:r>
          </w:p>
        </w:tc>
        <w:tc>
          <w:tcPr>
            <w:tcW w:w="1580" w:type="dxa"/>
            <w:vAlign w:val="bottom"/>
            <w:shd w:val="clear" w:color="auto" w:fill="E5E5E5"/>
          </w:tcPr>
          <w:p>
            <w:pPr>
              <w:jc w:val="right"/>
              <w:ind w:right="599"/>
              <w:spacing w:after="0"/>
              <w:rPr>
                <w:sz w:val="20"/>
                <w:szCs w:val="20"/>
                <w:color w:val="auto"/>
              </w:rPr>
            </w:pPr>
            <w:r>
              <w:rPr>
                <w:rFonts w:ascii="Arial" w:cs="Arial" w:eastAsia="Arial" w:hAnsi="Arial"/>
                <w:sz w:val="18"/>
                <w:szCs w:val="18"/>
                <w:color w:val="auto"/>
              </w:rPr>
              <w:t>60.9%</w:t>
            </w: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63.2%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High-speed Internet</w:t>
            </w:r>
          </w:p>
        </w:tc>
        <w:tc>
          <w:tcPr>
            <w:tcW w:w="4740" w:type="dxa"/>
            <w:vAlign w:val="bottom"/>
            <w:gridSpan w:val="2"/>
          </w:tcPr>
          <w:p>
            <w:pPr>
              <w:jc w:val="right"/>
              <w:ind w:right="746"/>
              <w:spacing w:after="0"/>
              <w:rPr>
                <w:sz w:val="20"/>
                <w:szCs w:val="20"/>
                <w:color w:val="auto"/>
              </w:rPr>
            </w:pPr>
            <w:r>
              <w:rPr>
                <w:rFonts w:ascii="Arial" w:cs="Arial" w:eastAsia="Arial" w:hAnsi="Arial"/>
                <w:sz w:val="18"/>
                <w:szCs w:val="18"/>
                <w:color w:val="auto"/>
              </w:rPr>
              <w:t>21.9</w:t>
            </w:r>
          </w:p>
        </w:tc>
        <w:tc>
          <w:tcPr>
            <w:tcW w:w="960" w:type="dxa"/>
            <w:vAlign w:val="bottom"/>
          </w:tcPr>
          <w:p>
            <w:pPr>
              <w:jc w:val="right"/>
              <w:ind w:right="435"/>
              <w:spacing w:after="0"/>
              <w:rPr>
                <w:sz w:val="20"/>
                <w:szCs w:val="20"/>
                <w:color w:val="auto"/>
              </w:rPr>
            </w:pPr>
            <w:r>
              <w:rPr>
                <w:rFonts w:ascii="Arial" w:cs="Arial" w:eastAsia="Arial" w:hAnsi="Arial"/>
                <w:sz w:val="18"/>
                <w:szCs w:val="18"/>
                <w:color w:val="auto"/>
              </w:rPr>
              <w:t>20.9</w:t>
            </w:r>
          </w:p>
        </w:tc>
        <w:tc>
          <w:tcPr>
            <w:tcW w:w="1580" w:type="dxa"/>
            <w:vAlign w:val="bottom"/>
          </w:tcPr>
          <w:p>
            <w:pPr>
              <w:jc w:val="right"/>
              <w:ind w:right="739"/>
              <w:spacing w:after="0"/>
              <w:rPr>
                <w:sz w:val="20"/>
                <w:szCs w:val="20"/>
                <w:color w:val="auto"/>
              </w:rPr>
            </w:pPr>
            <w:r>
              <w:rPr>
                <w:rFonts w:ascii="Arial" w:cs="Arial" w:eastAsia="Arial" w:hAnsi="Arial"/>
                <w:sz w:val="18"/>
                <w:szCs w:val="18"/>
                <w:color w:val="auto"/>
              </w:rPr>
              <w:t>21.8</w:t>
            </w:r>
          </w:p>
        </w:tc>
        <w:tc>
          <w:tcPr>
            <w:tcW w:w="620" w:type="dxa"/>
            <w:vAlign w:val="bottom"/>
          </w:tcPr>
          <w:p>
            <w:pPr>
              <w:jc w:val="right"/>
              <w:ind w:right="95"/>
              <w:spacing w:after="0"/>
              <w:rPr>
                <w:sz w:val="20"/>
                <w:szCs w:val="20"/>
                <w:color w:val="auto"/>
              </w:rPr>
            </w:pPr>
            <w:r>
              <w:rPr>
                <w:rFonts w:ascii="Arial" w:cs="Arial" w:eastAsia="Arial" w:hAnsi="Arial"/>
                <w:sz w:val="18"/>
                <w:szCs w:val="18"/>
                <w:color w:val="auto"/>
              </w:rPr>
              <w:t>20.4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E5E5E5"/>
          </w:tcPr>
          <w:p>
            <w:pPr>
              <w:spacing w:after="0"/>
              <w:rPr>
                <w:sz w:val="20"/>
                <w:szCs w:val="20"/>
                <w:color w:val="auto"/>
              </w:rPr>
            </w:pPr>
            <w:r>
              <w:rPr>
                <w:rFonts w:ascii="Arial" w:cs="Arial" w:eastAsia="Arial" w:hAnsi="Arial"/>
                <w:sz w:val="18"/>
                <w:szCs w:val="18"/>
                <w:color w:val="auto"/>
              </w:rPr>
              <w:t>Phone</w:t>
            </w:r>
          </w:p>
        </w:tc>
        <w:tc>
          <w:tcPr>
            <w:tcW w:w="4740" w:type="dxa"/>
            <w:vAlign w:val="bottom"/>
            <w:gridSpan w:val="2"/>
            <w:shd w:val="clear" w:color="auto" w:fill="E5E5E5"/>
          </w:tcPr>
          <w:p>
            <w:pPr>
              <w:jc w:val="right"/>
              <w:ind w:right="746"/>
              <w:spacing w:after="0"/>
              <w:rPr>
                <w:sz w:val="20"/>
                <w:szCs w:val="20"/>
                <w:color w:val="auto"/>
              </w:rPr>
            </w:pPr>
            <w:r>
              <w:rPr>
                <w:rFonts w:ascii="Arial" w:cs="Arial" w:eastAsia="Arial" w:hAnsi="Arial"/>
                <w:sz w:val="18"/>
                <w:szCs w:val="18"/>
                <w:color w:val="auto"/>
              </w:rPr>
              <w:t>6.4</w:t>
            </w:r>
          </w:p>
        </w:tc>
        <w:tc>
          <w:tcPr>
            <w:tcW w:w="960" w:type="dxa"/>
            <w:vAlign w:val="bottom"/>
            <w:shd w:val="clear" w:color="auto" w:fill="E5E5E5"/>
          </w:tcPr>
          <w:p>
            <w:pPr>
              <w:jc w:val="right"/>
              <w:ind w:right="435"/>
              <w:spacing w:after="0"/>
              <w:rPr>
                <w:sz w:val="20"/>
                <w:szCs w:val="20"/>
                <w:color w:val="auto"/>
              </w:rPr>
            </w:pPr>
            <w:r>
              <w:rPr>
                <w:rFonts w:ascii="Arial" w:cs="Arial" w:eastAsia="Arial" w:hAnsi="Arial"/>
                <w:sz w:val="18"/>
                <w:szCs w:val="18"/>
                <w:color w:val="auto"/>
              </w:rPr>
              <w:t>3.9</w:t>
            </w:r>
          </w:p>
        </w:tc>
        <w:tc>
          <w:tcPr>
            <w:tcW w:w="1580" w:type="dxa"/>
            <w:vAlign w:val="bottom"/>
            <w:shd w:val="clear" w:color="auto" w:fill="E5E5E5"/>
          </w:tcPr>
          <w:p>
            <w:pPr>
              <w:jc w:val="right"/>
              <w:ind w:right="739"/>
              <w:spacing w:after="0"/>
              <w:rPr>
                <w:sz w:val="20"/>
                <w:szCs w:val="20"/>
                <w:color w:val="auto"/>
              </w:rPr>
            </w:pPr>
            <w:r>
              <w:rPr>
                <w:rFonts w:ascii="Arial" w:cs="Arial" w:eastAsia="Arial" w:hAnsi="Arial"/>
                <w:sz w:val="18"/>
                <w:szCs w:val="18"/>
                <w:color w:val="auto"/>
              </w:rPr>
              <w:t>5.7</w:t>
            </w:r>
          </w:p>
        </w:tc>
        <w:tc>
          <w:tcPr>
            <w:tcW w:w="620" w:type="dxa"/>
            <w:vAlign w:val="bottom"/>
            <w:shd w:val="clear" w:color="auto" w:fill="E5E5E5"/>
          </w:tcPr>
          <w:p>
            <w:pPr>
              <w:jc w:val="right"/>
              <w:ind w:right="95"/>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Advertising</w:t>
            </w:r>
          </w:p>
        </w:tc>
        <w:tc>
          <w:tcPr>
            <w:tcW w:w="4740" w:type="dxa"/>
            <w:vAlign w:val="bottom"/>
            <w:gridSpan w:val="2"/>
          </w:tcPr>
          <w:p>
            <w:pPr>
              <w:jc w:val="right"/>
              <w:ind w:right="746"/>
              <w:spacing w:after="0"/>
              <w:rPr>
                <w:sz w:val="20"/>
                <w:szCs w:val="20"/>
                <w:color w:val="auto"/>
              </w:rPr>
            </w:pPr>
            <w:r>
              <w:rPr>
                <w:rFonts w:ascii="Arial" w:cs="Arial" w:eastAsia="Arial" w:hAnsi="Arial"/>
                <w:sz w:val="18"/>
                <w:szCs w:val="18"/>
                <w:color w:val="auto"/>
              </w:rPr>
              <w:t>5.5</w:t>
            </w:r>
          </w:p>
        </w:tc>
        <w:tc>
          <w:tcPr>
            <w:tcW w:w="960" w:type="dxa"/>
            <w:vAlign w:val="bottom"/>
          </w:tcPr>
          <w:p>
            <w:pPr>
              <w:jc w:val="right"/>
              <w:ind w:right="435"/>
              <w:spacing w:after="0"/>
              <w:rPr>
                <w:sz w:val="20"/>
                <w:szCs w:val="20"/>
                <w:color w:val="auto"/>
              </w:rPr>
            </w:pPr>
            <w:r>
              <w:rPr>
                <w:rFonts w:ascii="Arial" w:cs="Arial" w:eastAsia="Arial" w:hAnsi="Arial"/>
                <w:sz w:val="18"/>
                <w:szCs w:val="18"/>
                <w:color w:val="auto"/>
              </w:rPr>
              <w:t>5.8</w:t>
            </w:r>
          </w:p>
        </w:tc>
        <w:tc>
          <w:tcPr>
            <w:tcW w:w="1580" w:type="dxa"/>
            <w:vAlign w:val="bottom"/>
          </w:tcPr>
          <w:p>
            <w:pPr>
              <w:jc w:val="right"/>
              <w:ind w:right="739"/>
              <w:spacing w:after="0"/>
              <w:rPr>
                <w:sz w:val="20"/>
                <w:szCs w:val="20"/>
                <w:color w:val="auto"/>
              </w:rPr>
            </w:pPr>
            <w:r>
              <w:rPr>
                <w:rFonts w:ascii="Arial" w:cs="Arial" w:eastAsia="Arial" w:hAnsi="Arial"/>
                <w:sz w:val="18"/>
                <w:szCs w:val="18"/>
                <w:color w:val="auto"/>
              </w:rPr>
              <w:t>5.1</w:t>
            </w:r>
          </w:p>
        </w:tc>
        <w:tc>
          <w:tcPr>
            <w:tcW w:w="620" w:type="dxa"/>
            <w:vAlign w:val="bottom"/>
          </w:tcPr>
          <w:p>
            <w:pPr>
              <w:jc w:val="right"/>
              <w:ind w:right="95"/>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Other</w:t>
            </w:r>
          </w:p>
        </w:tc>
        <w:tc>
          <w:tcPr>
            <w:tcW w:w="2820" w:type="dxa"/>
            <w:vAlign w:val="bottom"/>
            <w:tcBorders>
              <w:bottom w:val="single" w:sz="8" w:color="E5E5E5"/>
            </w:tcBorders>
            <w:shd w:val="clear" w:color="auto" w:fill="E5E5E5"/>
          </w:tcPr>
          <w:p>
            <w:pPr>
              <w:spacing w:after="0"/>
              <w:rPr>
                <w:sz w:val="18"/>
                <w:szCs w:val="18"/>
                <w:color w:val="auto"/>
              </w:rPr>
            </w:pPr>
          </w:p>
        </w:tc>
        <w:tc>
          <w:tcPr>
            <w:tcW w:w="1920" w:type="dxa"/>
            <w:vAlign w:val="bottom"/>
            <w:tcBorders>
              <w:bottom w:val="single" w:sz="8" w:color="auto"/>
            </w:tcBorders>
            <w:shd w:val="clear" w:color="auto" w:fill="E5E5E5"/>
          </w:tcPr>
          <w:p>
            <w:pPr>
              <w:jc w:val="right"/>
              <w:ind w:right="746"/>
              <w:spacing w:after="0"/>
              <w:rPr>
                <w:sz w:val="20"/>
                <w:szCs w:val="20"/>
                <w:color w:val="auto"/>
              </w:rPr>
            </w:pPr>
            <w:r>
              <w:rPr>
                <w:rFonts w:ascii="Arial" w:cs="Arial" w:eastAsia="Arial" w:hAnsi="Arial"/>
                <w:sz w:val="18"/>
                <w:szCs w:val="18"/>
                <w:color w:val="auto"/>
              </w:rPr>
              <w:t>6.8</w:t>
            </w:r>
          </w:p>
        </w:tc>
        <w:tc>
          <w:tcPr>
            <w:tcW w:w="960" w:type="dxa"/>
            <w:vAlign w:val="bottom"/>
            <w:tcBorders>
              <w:bottom w:val="single" w:sz="8" w:color="auto"/>
            </w:tcBorders>
            <w:shd w:val="clear" w:color="auto" w:fill="E5E5E5"/>
          </w:tcPr>
          <w:p>
            <w:pPr>
              <w:jc w:val="right"/>
              <w:ind w:right="435"/>
              <w:spacing w:after="0"/>
              <w:rPr>
                <w:sz w:val="20"/>
                <w:szCs w:val="20"/>
                <w:color w:val="auto"/>
              </w:rPr>
            </w:pPr>
            <w:r>
              <w:rPr>
                <w:rFonts w:ascii="Arial" w:cs="Arial" w:eastAsia="Arial" w:hAnsi="Arial"/>
                <w:sz w:val="18"/>
                <w:szCs w:val="18"/>
                <w:color w:val="auto"/>
              </w:rPr>
              <w:t>6.8</w:t>
            </w:r>
          </w:p>
        </w:tc>
        <w:tc>
          <w:tcPr>
            <w:tcW w:w="1580" w:type="dxa"/>
            <w:vAlign w:val="bottom"/>
            <w:tcBorders>
              <w:bottom w:val="single" w:sz="8" w:color="auto"/>
            </w:tcBorders>
            <w:shd w:val="clear" w:color="auto" w:fill="E5E5E5"/>
          </w:tcPr>
          <w:p>
            <w:pPr>
              <w:jc w:val="right"/>
              <w:ind w:right="739"/>
              <w:spacing w:after="0"/>
              <w:rPr>
                <w:sz w:val="20"/>
                <w:szCs w:val="20"/>
                <w:color w:val="auto"/>
              </w:rPr>
            </w:pPr>
            <w:r>
              <w:rPr>
                <w:rFonts w:ascii="Arial" w:cs="Arial" w:eastAsia="Arial" w:hAnsi="Arial"/>
                <w:sz w:val="18"/>
                <w:szCs w:val="18"/>
                <w:color w:val="auto"/>
              </w:rPr>
              <w:t>6.5</w:t>
            </w:r>
          </w:p>
        </w:tc>
        <w:tc>
          <w:tcPr>
            <w:tcW w:w="620" w:type="dxa"/>
            <w:vAlign w:val="bottom"/>
            <w:tcBorders>
              <w:bottom w:val="single" w:sz="8" w:color="auto"/>
            </w:tcBorders>
            <w:shd w:val="clear" w:color="auto" w:fill="E5E5E5"/>
          </w:tcPr>
          <w:p>
            <w:pPr>
              <w:jc w:val="right"/>
              <w:ind w:right="95"/>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4740" w:type="dxa"/>
            <w:vAlign w:val="bottom"/>
            <w:gridSpan w:val="2"/>
          </w:tcPr>
          <w:p>
            <w:pPr>
              <w:jc w:val="right"/>
              <w:ind w:right="566"/>
              <w:spacing w:after="0"/>
              <w:rPr>
                <w:sz w:val="20"/>
                <w:szCs w:val="20"/>
                <w:color w:val="auto"/>
              </w:rPr>
            </w:pPr>
            <w:r>
              <w:rPr>
                <w:rFonts w:ascii="Arial" w:cs="Arial" w:eastAsia="Arial" w:hAnsi="Arial"/>
                <w:sz w:val="18"/>
                <w:szCs w:val="18"/>
                <w:b w:val="1"/>
                <w:bCs w:val="1"/>
                <w:color w:val="auto"/>
              </w:rPr>
              <w:t>100%</w:t>
            </w:r>
          </w:p>
        </w:tc>
        <w:tc>
          <w:tcPr>
            <w:tcW w:w="960" w:type="dxa"/>
            <w:vAlign w:val="bottom"/>
          </w:tcPr>
          <w:p>
            <w:pPr>
              <w:jc w:val="right"/>
              <w:ind w:right="255"/>
              <w:spacing w:after="0"/>
              <w:rPr>
                <w:sz w:val="20"/>
                <w:szCs w:val="20"/>
                <w:color w:val="auto"/>
              </w:rPr>
            </w:pPr>
            <w:r>
              <w:rPr>
                <w:rFonts w:ascii="Arial" w:cs="Arial" w:eastAsia="Arial" w:hAnsi="Arial"/>
                <w:sz w:val="18"/>
                <w:szCs w:val="18"/>
                <w:b w:val="1"/>
                <w:bCs w:val="1"/>
                <w:color w:val="auto"/>
              </w:rPr>
              <w:t>100%</w:t>
            </w:r>
          </w:p>
        </w:tc>
        <w:tc>
          <w:tcPr>
            <w:tcW w:w="1580" w:type="dxa"/>
            <w:vAlign w:val="bottom"/>
          </w:tcPr>
          <w:p>
            <w:pPr>
              <w:jc w:val="right"/>
              <w:ind w:right="559"/>
              <w:spacing w:after="0"/>
              <w:rPr>
                <w:sz w:val="20"/>
                <w:szCs w:val="20"/>
                <w:color w:val="auto"/>
              </w:rPr>
            </w:pPr>
            <w:r>
              <w:rPr>
                <w:rFonts w:ascii="Arial" w:cs="Arial" w:eastAsia="Arial" w:hAnsi="Arial"/>
                <w:sz w:val="18"/>
                <w:szCs w:val="18"/>
                <w:b w:val="1"/>
                <w:bCs w:val="1"/>
                <w:color w:val="auto"/>
              </w:rPr>
              <w:t>100%</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100%</w:t>
            </w:r>
          </w:p>
        </w:tc>
        <w:tc>
          <w:tcPr>
            <w:tcW w:w="20" w:type="dxa"/>
            <w:vAlign w:val="bottom"/>
          </w:tcPr>
          <w:p>
            <w:pPr>
              <w:spacing w:after="0"/>
              <w:rPr>
                <w:sz w:val="18"/>
                <w:szCs w:val="18"/>
                <w:color w:val="auto"/>
              </w:rPr>
            </w:pPr>
          </w:p>
        </w:tc>
      </w:tr>
      <w:tr>
        <w:trPr>
          <w:trHeight w:val="363"/>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820" w:type="dxa"/>
            <w:vAlign w:val="bottom"/>
          </w:tcPr>
          <w:p>
            <w:pPr>
              <w:jc w:val="right"/>
              <w:ind w:right="435"/>
              <w:spacing w:after="0"/>
              <w:rPr>
                <w:sz w:val="20"/>
                <w:szCs w:val="20"/>
                <w:color w:val="auto"/>
              </w:rPr>
            </w:pPr>
            <w:r>
              <w:rPr>
                <w:rFonts w:ascii="Arial" w:cs="Arial" w:eastAsia="Arial" w:hAnsi="Arial"/>
                <w:sz w:val="18"/>
                <w:szCs w:val="18"/>
                <w:color w:val="auto"/>
              </w:rPr>
              <w:t>14</w:t>
            </w:r>
          </w:p>
        </w:tc>
        <w:tc>
          <w:tcPr>
            <w:tcW w:w="19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SEPTEMBER 30,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461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342" w:lineRule="exact"/>
        <w:rPr>
          <w:sz w:val="20"/>
          <w:szCs w:val="20"/>
          <w:color w:val="auto"/>
        </w:rPr>
      </w:pPr>
    </w:p>
    <w:p>
      <w:pPr>
        <w:jc w:val="both"/>
        <w:ind w:left="460" w:hanging="452"/>
        <w:spacing w:after="0" w:line="294"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regional sports and news networks (Comcast SportsNet, Comcast SportsNet Mid-Atlantic, Comcast SportsNet Chicago, Comcast SportsNet West, Cable Sports Southeast, MountainWest Sports Network, CN8-The Comcast Network, Sports Channel New England and Bay Area SportsNet) are included in our Cable segment. To be consistent with our management reporting presentation, beginning August 1, 2006, the Cable segment also included the operating results of the Houston Asset Pool (see Note 4). The operating results of the Houston Asset Pool are reversed in the Elimination column for the three and nine months ended September 30, 2006 to reconcile to our consolidated financial statements.</w:t>
      </w:r>
    </w:p>
    <w:p>
      <w:pPr>
        <w:spacing w:after="0" w:line="21" w:lineRule="exact"/>
        <w:rPr>
          <w:rFonts w:ascii="Arial" w:cs="Arial" w:eastAsia="Arial" w:hAnsi="Arial"/>
          <w:sz w:val="16"/>
          <w:szCs w:val="16"/>
          <w:color w:val="auto"/>
        </w:rPr>
      </w:pPr>
    </w:p>
    <w:p>
      <w:pPr>
        <w:jc w:val="both"/>
        <w:ind w:left="460" w:hanging="452"/>
        <w:spacing w:after="0" w:line="256"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2006 Cable segment and Corporate and Other amounts have been adjusted for segment reclassifications to be consistent with our 2007 management reporting presentation. The adjustments resulted in the reclassification of revenue for the three and nine months ended September 30, 2006 of $14 million and $39 million, respectively, and the reclassification of operating income (loss) before depreciation and amortization of $9 million and $25 million, respectively, from our Cable segment to Corporate and Other.</w:t>
      </w:r>
    </w:p>
    <w:p>
      <w:pPr>
        <w:spacing w:after="0" w:line="48"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Programming segment includes our consolidated national programming networks (E!, Style, The Golf Channel, VERSUS, G4 and AZN Television) and other entertainment-related businesses.</w:t>
      </w:r>
    </w:p>
    <w:p>
      <w:pPr>
        <w:spacing w:after="0" w:line="37"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Corporate and Other includes Comcast Spectacor, Comcast Interactive Media, a portion of operating results of our less than wholly owned technology development ventures (see “(f)” below), corporate activities and all other businesses not presented in our Cable or Programming segments.</w:t>
      </w:r>
    </w:p>
    <w:p>
      <w:pPr>
        <w:spacing w:after="0" w:line="1" w:lineRule="exact"/>
        <w:rPr>
          <w:rFonts w:ascii="Arial" w:cs="Arial" w:eastAsia="Arial" w:hAnsi="Arial"/>
          <w:sz w:val="16"/>
          <w:szCs w:val="16"/>
          <w:color w:val="auto"/>
        </w:rPr>
      </w:pPr>
    </w:p>
    <w:p>
      <w:pPr>
        <w:jc w:val="both"/>
        <w:ind w:left="460" w:hanging="452"/>
        <w:spacing w:after="0" w:line="255"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consolidate our less than wholly owned technology development ventures, which we control or of which we are considered the primary beneficiary. These ventures are with various corporate partners, such as Motorola and Gemstar. The ventures have been created to share the costs of development of new technologies for set-top boxes and other devices. The results of these entities are included within Corporate and Other. Cost allocations are made to the Cable segment based on our percentage ownership in each entity. The remaining net costs related to the minority corporate partners are included in Corporate and Other.</w:t>
      </w:r>
    </w:p>
    <w:p>
      <w:pPr>
        <w:spacing w:after="0" w:line="48"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Included in the Eliminations column are intersegment transactions that our segments enter into with one another. The most common types of transactions are the following:</w:t>
      </w:r>
    </w:p>
    <w:p>
      <w:pPr>
        <w:spacing w:after="0" w:line="37" w:lineRule="exact"/>
        <w:rPr>
          <w:rFonts w:ascii="Arial" w:cs="Arial" w:eastAsia="Arial" w:hAnsi="Arial"/>
          <w:sz w:val="18"/>
          <w:szCs w:val="18"/>
          <w:color w:val="auto"/>
        </w:rPr>
      </w:pPr>
    </w:p>
    <w:p>
      <w:pPr>
        <w:ind w:left="1020" w:right="1260" w:hanging="215"/>
        <w:spacing w:after="0" w:line="268" w:lineRule="auto"/>
        <w:tabs>
          <w:tab w:leader="none" w:pos="1020" w:val="left"/>
        </w:tabs>
        <w:numPr>
          <w:ilvl w:val="1"/>
          <w:numId w:val="6"/>
        </w:numPr>
        <w:rPr>
          <w:rFonts w:ascii="Arial" w:cs="Arial" w:eastAsia="Arial" w:hAnsi="Arial"/>
          <w:sz w:val="18"/>
          <w:szCs w:val="18"/>
          <w:color w:val="auto"/>
        </w:rPr>
      </w:pPr>
      <w:r>
        <w:rPr>
          <w:rFonts w:ascii="Arial" w:cs="Arial" w:eastAsia="Arial" w:hAnsi="Arial"/>
          <w:sz w:val="18"/>
          <w:szCs w:val="18"/>
          <w:color w:val="auto"/>
        </w:rPr>
        <w:t>our Programming segment generates revenue by selling cable network programming to our Cable segment, which represents a substantial majority of the revenue elimination amount</w:t>
      </w:r>
    </w:p>
    <w:p>
      <w:pPr>
        <w:spacing w:after="0" w:line="37" w:lineRule="exact"/>
        <w:rPr>
          <w:rFonts w:ascii="Arial" w:cs="Arial" w:eastAsia="Arial" w:hAnsi="Arial"/>
          <w:sz w:val="18"/>
          <w:szCs w:val="18"/>
          <w:color w:val="auto"/>
        </w:rPr>
      </w:pPr>
    </w:p>
    <w:p>
      <w:pPr>
        <w:ind w:left="1020" w:right="1260" w:hanging="215"/>
        <w:spacing w:after="0" w:line="268" w:lineRule="auto"/>
        <w:tabs>
          <w:tab w:leader="none" w:pos="1020" w:val="left"/>
        </w:tabs>
        <w:numPr>
          <w:ilvl w:val="1"/>
          <w:numId w:val="6"/>
        </w:numPr>
        <w:rPr>
          <w:rFonts w:ascii="Arial" w:cs="Arial" w:eastAsia="Arial" w:hAnsi="Arial"/>
          <w:sz w:val="18"/>
          <w:szCs w:val="18"/>
          <w:color w:val="auto"/>
        </w:rPr>
      </w:pPr>
      <w:r>
        <w:rPr>
          <w:rFonts w:ascii="Arial" w:cs="Arial" w:eastAsia="Arial" w:hAnsi="Arial"/>
          <w:sz w:val="18"/>
          <w:szCs w:val="18"/>
          <w:color w:val="auto"/>
        </w:rPr>
        <w:t>our Cable segment receives incentives offered by our Programming segment when negotiating programming contracts that are recorded as a reduction of programming expenses</w:t>
      </w:r>
    </w:p>
    <w:p>
      <w:pPr>
        <w:spacing w:after="0" w:line="37" w:lineRule="exact"/>
        <w:rPr>
          <w:rFonts w:ascii="Arial" w:cs="Arial" w:eastAsia="Arial" w:hAnsi="Arial"/>
          <w:sz w:val="18"/>
          <w:szCs w:val="18"/>
          <w:color w:val="auto"/>
        </w:rPr>
      </w:pPr>
    </w:p>
    <w:p>
      <w:pPr>
        <w:ind w:left="1020" w:hanging="215"/>
        <w:spacing w:after="0"/>
        <w:tabs>
          <w:tab w:leader="none" w:pos="1020" w:val="left"/>
        </w:tabs>
        <w:numPr>
          <w:ilvl w:val="1"/>
          <w:numId w:val="6"/>
        </w:numPr>
        <w:rPr>
          <w:rFonts w:ascii="Arial" w:cs="Arial" w:eastAsia="Arial" w:hAnsi="Arial"/>
          <w:sz w:val="18"/>
          <w:szCs w:val="18"/>
          <w:color w:val="auto"/>
        </w:rPr>
      </w:pPr>
      <w:r>
        <w:rPr>
          <w:rFonts w:ascii="Arial" w:cs="Arial" w:eastAsia="Arial" w:hAnsi="Arial"/>
          <w:sz w:val="18"/>
          <w:szCs w:val="18"/>
          <w:color w:val="auto"/>
        </w:rPr>
        <w:t>our Cable segment generates revenue by selling the use of satellite feeds to our Programming segment</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Non-U.S. revenues were not significant in any period. No single customer accounted for a significant amount of our revenue in any period.</w:t>
      </w:r>
    </w:p>
    <w:p>
      <w:pPr>
        <w:spacing w:after="0" w:line="99" w:lineRule="exact"/>
        <w:rPr>
          <w:rFonts w:ascii="Arial" w:cs="Arial" w:eastAsia="Arial" w:hAnsi="Arial"/>
          <w:sz w:val="16"/>
          <w:szCs w:val="16"/>
          <w:color w:val="auto"/>
        </w:rPr>
      </w:pPr>
    </w:p>
    <w:p>
      <w:pPr>
        <w:jc w:val="both"/>
        <w:ind w:left="460" w:hanging="452"/>
        <w:spacing w:after="0" w:line="288"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measure the performance of our operating segments, we use operating income (loss) before depreciation and amortization, excluding impairment charges related to fixed and intangible assets, and gains or losses from the sale of assets, if any. This measure eliminates the significant level of noncash depreciation and amortization expense that results from the capital-intensive nature of our businesses and from intangible assets recognized in business combinations. It is also unaffected by our capital structure or investment activities. We use this measure to evaluate our consolidated operating performance,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that of other companies in our industries, although our measure may not be directly comparable to similar measures used by other companies. This measure should not be considered a substitute for operating income (loss), net income (loss), net cash provided by operating activities or other measures of performance or liquidity reported in accordance with GAAP.</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SEPTEMBER 30, 2007</w:t>
      </w:r>
    </w:p>
    <w:p>
      <w:pPr>
        <w:spacing w:after="0" w:line="1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13: Condensed Consolidating Financial Information</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Comcast Corporation and five of our cable holding company subsidiaries, Comcast Cable Communications, LLC (“CCCL”), Comcast Cable Communications Holdings, Inc. (“CCCH”), Comcast MO Group, Inc. (“Comcast MO Group”), Comcast Cable Holdings, LLC (“CCH”), and Comcast MO of Delaware, LLC (“Comcast MO of Delaware”), fully and unconditionally guarantee each other’s debt securities. Comcast MO Group, CCH and Comcast MO of Delaware are collectively referred to as the “Combined CCHMO Parents.”</w:t>
      </w:r>
    </w:p>
    <w:p>
      <w:pPr>
        <w:spacing w:after="0" w:line="76"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 xml:space="preserve">Comcast Corporation unconditionally guarantees Comcast Holdings’ ZONES due October 2029 and its 10 </w:t>
      </w:r>
      <w:r>
        <w:rPr>
          <w:rFonts w:ascii="Arial" w:cs="Arial" w:eastAsia="Arial" w:hAnsi="Arial"/>
          <w:sz w:val="22"/>
          <w:szCs w:val="22"/>
          <w:color w:val="auto"/>
          <w:vertAlign w:val="superscript"/>
        </w:rPr>
        <w:t>5</w:t>
      </w:r>
      <w:r>
        <w:rPr>
          <w:rFonts w:ascii="Arial" w:cs="Arial" w:eastAsia="Arial" w:hAnsi="Arial"/>
          <w:sz w:val="18"/>
          <w:szCs w:val="18"/>
          <w:color w:val="auto"/>
        </w:rPr>
        <w:t>/8% Senior Subordinated Debentures due 2012, both of which were issued by Comcast Holdings. Accordingly, we have included Comcast Holdings’ condensed consolidated information for all periods presented. Our condensed consolidating financial information is presented below: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Consolidating Balance Sheet</w:t>
      </w:r>
    </w:p>
    <w:p>
      <w:pPr>
        <w:jc w:val="center"/>
        <w:spacing w:after="0"/>
        <w:rPr>
          <w:sz w:val="20"/>
          <w:szCs w:val="20"/>
          <w:color w:val="auto"/>
        </w:rPr>
      </w:pPr>
      <w:r>
        <w:rPr>
          <w:rFonts w:ascii="Arial" w:cs="Arial" w:eastAsia="Arial" w:hAnsi="Arial"/>
          <w:sz w:val="22"/>
          <w:szCs w:val="22"/>
          <w:b w:val="1"/>
          <w:bCs w:val="1"/>
          <w:color w:val="auto"/>
        </w:rPr>
        <w:t>September 30, 2007</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Elimination</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Combined</w:t>
            </w: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ind w:right="233"/>
              <w:spacing w:after="0" w:line="149" w:lineRule="exact"/>
              <w:rPr>
                <w:sz w:val="20"/>
                <w:szCs w:val="20"/>
                <w:color w:val="auto"/>
              </w:rPr>
            </w:pPr>
            <w:r>
              <w:rPr>
                <w:rFonts w:ascii="Arial" w:cs="Arial" w:eastAsia="Arial" w:hAnsi="Arial"/>
                <w:sz w:val="14"/>
                <w:szCs w:val="14"/>
                <w:b w:val="1"/>
                <w:bCs w:val="1"/>
                <w:color w:val="auto"/>
              </w:rPr>
              <w:t>Non-</w:t>
            </w:r>
          </w:p>
        </w:tc>
        <w:tc>
          <w:tcPr>
            <w:tcW w:w="260" w:type="dxa"/>
            <w:vAlign w:val="bottom"/>
          </w:tcPr>
          <w:p>
            <w:pPr>
              <w:spacing w:after="0"/>
              <w:rPr>
                <w:sz w:val="12"/>
                <w:szCs w:val="12"/>
                <w:color w:val="auto"/>
              </w:rPr>
            </w:pPr>
          </w:p>
        </w:tc>
        <w:tc>
          <w:tcPr>
            <w:tcW w:w="840" w:type="dxa"/>
            <w:vAlign w:val="bottom"/>
          </w:tcPr>
          <w:p>
            <w:pPr>
              <w:jc w:val="center"/>
              <w:ind w:right="213"/>
              <w:spacing w:after="0" w:line="149" w:lineRule="exact"/>
              <w:rPr>
                <w:sz w:val="20"/>
                <w:szCs w:val="20"/>
                <w:color w:val="auto"/>
              </w:rPr>
            </w:pPr>
            <w:r>
              <w:rPr>
                <w:rFonts w:ascii="Arial" w:cs="Arial" w:eastAsia="Arial" w:hAnsi="Arial"/>
                <w:sz w:val="14"/>
                <w:szCs w:val="14"/>
                <w:b w:val="1"/>
                <w:bCs w:val="1"/>
                <w:color w:val="auto"/>
                <w:w w:val="88"/>
              </w:rPr>
              <w:t>and</w:t>
            </w:r>
          </w:p>
        </w:tc>
        <w:tc>
          <w:tcPr>
            <w:tcW w:w="900" w:type="dxa"/>
            <w:vAlign w:val="bottom"/>
            <w:gridSpan w:val="3"/>
          </w:tcPr>
          <w:p>
            <w:pPr>
              <w:ind w:left="120"/>
              <w:spacing w:after="0" w:line="149" w:lineRule="exact"/>
              <w:rPr>
                <w:sz w:val="20"/>
                <w:szCs w:val="20"/>
                <w:color w:val="auto"/>
              </w:rPr>
            </w:pPr>
            <w:r>
              <w:rPr>
                <w:rFonts w:ascii="Arial" w:cs="Arial" w:eastAsia="Arial" w:hAnsi="Arial"/>
                <w:sz w:val="14"/>
                <w:szCs w:val="14"/>
                <w:b w:val="1"/>
                <w:bCs w:val="1"/>
                <w:color w:val="auto"/>
                <w:w w:val="85"/>
              </w:rPr>
              <w:t>Consolidated</w:t>
            </w: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880" w:type="dxa"/>
            <w:vAlign w:val="bottom"/>
            <w:gridSpan w:val="2"/>
          </w:tcPr>
          <w:p>
            <w:pPr>
              <w:jc w:val="right"/>
              <w:ind w:right="53"/>
              <w:spacing w:after="0" w:line="149" w:lineRule="exact"/>
              <w:rPr>
                <w:sz w:val="20"/>
                <w:szCs w:val="20"/>
                <w:color w:val="auto"/>
              </w:rPr>
            </w:pPr>
            <w:r>
              <w:rPr>
                <w:rFonts w:ascii="Arial" w:cs="Arial" w:eastAsia="Arial" w:hAnsi="Arial"/>
                <w:sz w:val="14"/>
                <w:szCs w:val="14"/>
                <w:b w:val="1"/>
                <w:bCs w:val="1"/>
                <w:color w:val="auto"/>
              </w:rPr>
              <w:t>Comcast</w:t>
            </w:r>
          </w:p>
        </w:tc>
        <w:tc>
          <w:tcPr>
            <w:tcW w:w="180" w:type="dxa"/>
            <w:vAlign w:val="bottom"/>
          </w:tcPr>
          <w:p>
            <w:pPr>
              <w:spacing w:after="0"/>
              <w:rPr>
                <w:sz w:val="12"/>
                <w:szCs w:val="12"/>
                <w:color w:val="auto"/>
              </w:rPr>
            </w:pPr>
          </w:p>
        </w:tc>
        <w:tc>
          <w:tcPr>
            <w:tcW w:w="600" w:type="dxa"/>
            <w:vAlign w:val="bottom"/>
          </w:tcPr>
          <w:p>
            <w:pPr>
              <w:jc w:val="center"/>
              <w:ind w:right="94"/>
              <w:spacing w:after="0" w:line="149" w:lineRule="exact"/>
              <w:rPr>
                <w:sz w:val="20"/>
                <w:szCs w:val="20"/>
                <w:color w:val="auto"/>
              </w:rPr>
            </w:pPr>
            <w:r>
              <w:rPr>
                <w:rFonts w:ascii="Arial" w:cs="Arial" w:eastAsia="Arial" w:hAnsi="Arial"/>
                <w:sz w:val="14"/>
                <w:szCs w:val="14"/>
                <w:b w:val="1"/>
                <w:bCs w:val="1"/>
                <w:color w:val="auto"/>
                <w:w w:val="97"/>
              </w:rPr>
              <w:t>CCCL</w:t>
            </w:r>
          </w:p>
        </w:tc>
        <w:tc>
          <w:tcPr>
            <w:tcW w:w="200" w:type="dxa"/>
            <w:vAlign w:val="bottom"/>
          </w:tcPr>
          <w:p>
            <w:pPr>
              <w:spacing w:after="0"/>
              <w:rPr>
                <w:sz w:val="12"/>
                <w:szCs w:val="12"/>
                <w:color w:val="auto"/>
              </w:rPr>
            </w:pPr>
          </w:p>
        </w:tc>
        <w:tc>
          <w:tcPr>
            <w:tcW w:w="580" w:type="dxa"/>
            <w:vAlign w:val="bottom"/>
          </w:tcPr>
          <w:p>
            <w:pPr>
              <w:jc w:val="right"/>
              <w:ind w:right="114"/>
              <w:spacing w:after="0" w:line="149" w:lineRule="exact"/>
              <w:rPr>
                <w:sz w:val="20"/>
                <w:szCs w:val="20"/>
                <w:color w:val="auto"/>
              </w:rPr>
            </w:pPr>
            <w:r>
              <w:rPr>
                <w:rFonts w:ascii="Arial" w:cs="Arial" w:eastAsia="Arial" w:hAnsi="Arial"/>
                <w:sz w:val="14"/>
                <w:szCs w:val="14"/>
                <w:b w:val="1"/>
                <w:bCs w:val="1"/>
                <w:color w:val="auto"/>
                <w:w w:val="88"/>
              </w:rPr>
              <w:t>CCCH</w:t>
            </w:r>
          </w:p>
        </w:tc>
        <w:tc>
          <w:tcPr>
            <w:tcW w:w="820" w:type="dxa"/>
            <w:vAlign w:val="bottom"/>
            <w:gridSpan w:val="2"/>
          </w:tcPr>
          <w:p>
            <w:pPr>
              <w:jc w:val="right"/>
              <w:ind w:right="52"/>
              <w:spacing w:after="0" w:line="149" w:lineRule="exact"/>
              <w:rPr>
                <w:sz w:val="20"/>
                <w:szCs w:val="20"/>
                <w:color w:val="auto"/>
              </w:rPr>
            </w:pPr>
            <w:r>
              <w:rPr>
                <w:rFonts w:ascii="Arial" w:cs="Arial" w:eastAsia="Arial" w:hAnsi="Arial"/>
                <w:sz w:val="14"/>
                <w:szCs w:val="14"/>
                <w:b w:val="1"/>
                <w:bCs w:val="1"/>
                <w:color w:val="auto"/>
              </w:rPr>
              <w:t>CCHMO</w:t>
            </w:r>
          </w:p>
        </w:tc>
        <w:tc>
          <w:tcPr>
            <w:tcW w:w="800" w:type="dxa"/>
            <w:vAlign w:val="bottom"/>
            <w:gridSpan w:val="2"/>
          </w:tcPr>
          <w:p>
            <w:pPr>
              <w:jc w:val="right"/>
              <w:ind w:right="72"/>
              <w:spacing w:after="0" w:line="149" w:lineRule="exact"/>
              <w:rPr>
                <w:sz w:val="20"/>
                <w:szCs w:val="20"/>
                <w:color w:val="auto"/>
              </w:rPr>
            </w:pPr>
            <w:r>
              <w:rPr>
                <w:rFonts w:ascii="Arial" w:cs="Arial" w:eastAsia="Arial" w:hAnsi="Arial"/>
                <w:sz w:val="14"/>
                <w:szCs w:val="14"/>
                <w:b w:val="1"/>
                <w:bCs w:val="1"/>
                <w:color w:val="auto"/>
              </w:rPr>
              <w:t>Comcast</w:t>
            </w:r>
          </w:p>
        </w:tc>
        <w:tc>
          <w:tcPr>
            <w:tcW w:w="920" w:type="dxa"/>
            <w:vAlign w:val="bottom"/>
            <w:gridSpan w:val="2"/>
          </w:tcPr>
          <w:p>
            <w:pPr>
              <w:jc w:val="right"/>
              <w:ind w:right="53"/>
              <w:spacing w:after="0" w:line="149" w:lineRule="exact"/>
              <w:rPr>
                <w:sz w:val="20"/>
                <w:szCs w:val="20"/>
                <w:color w:val="auto"/>
              </w:rPr>
            </w:pPr>
            <w:r>
              <w:rPr>
                <w:rFonts w:ascii="Arial" w:cs="Arial" w:eastAsia="Arial" w:hAnsi="Arial"/>
                <w:sz w:val="14"/>
                <w:szCs w:val="14"/>
                <w:b w:val="1"/>
                <w:bCs w:val="1"/>
                <w:color w:val="auto"/>
              </w:rPr>
              <w:t>Guarantor</w:t>
            </w:r>
          </w:p>
        </w:tc>
        <w:tc>
          <w:tcPr>
            <w:tcW w:w="110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Consolidation</w:t>
            </w:r>
          </w:p>
        </w:tc>
        <w:tc>
          <w:tcPr>
            <w:tcW w:w="22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84"/>
              </w:rPr>
              <w:t>Comcast</w:t>
            </w:r>
          </w:p>
        </w:tc>
      </w:tr>
      <w:tr>
        <w:trPr>
          <w:trHeight w:val="161"/>
        </w:trPr>
        <w:tc>
          <w:tcPr>
            <w:tcW w:w="44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14"/>
                <w:szCs w:val="14"/>
                <w:color w:val="auto"/>
              </w:rPr>
            </w:pPr>
          </w:p>
        </w:tc>
        <w:tc>
          <w:tcPr>
            <w:tcW w:w="600" w:type="dxa"/>
            <w:vAlign w:val="bottom"/>
          </w:tcPr>
          <w:p>
            <w:pPr>
              <w:jc w:val="right"/>
              <w:ind w:right="113"/>
              <w:spacing w:after="0"/>
              <w:rPr>
                <w:sz w:val="20"/>
                <w:szCs w:val="20"/>
                <w:color w:val="auto"/>
              </w:rPr>
            </w:pPr>
            <w:r>
              <w:rPr>
                <w:rFonts w:ascii="Arial" w:cs="Arial" w:eastAsia="Arial" w:hAnsi="Arial"/>
                <w:sz w:val="14"/>
                <w:szCs w:val="14"/>
                <w:b w:val="1"/>
                <w:bCs w:val="1"/>
                <w:color w:val="auto"/>
                <w:w w:val="87"/>
              </w:rPr>
              <w:t>Parent</w:t>
            </w:r>
          </w:p>
        </w:tc>
        <w:tc>
          <w:tcPr>
            <w:tcW w:w="180" w:type="dxa"/>
            <w:vAlign w:val="bottom"/>
          </w:tcPr>
          <w:p>
            <w:pPr>
              <w:spacing w:after="0"/>
              <w:rPr>
                <w:sz w:val="14"/>
                <w:szCs w:val="14"/>
                <w:color w:val="auto"/>
              </w:rPr>
            </w:pPr>
          </w:p>
        </w:tc>
        <w:tc>
          <w:tcPr>
            <w:tcW w:w="600" w:type="dxa"/>
            <w:vAlign w:val="bottom"/>
          </w:tcPr>
          <w:p>
            <w:pPr>
              <w:jc w:val="center"/>
              <w:ind w:right="94"/>
              <w:spacing w:after="0"/>
              <w:rPr>
                <w:sz w:val="20"/>
                <w:szCs w:val="20"/>
                <w:color w:val="auto"/>
              </w:rPr>
            </w:pPr>
            <w:r>
              <w:rPr>
                <w:rFonts w:ascii="Arial" w:cs="Arial" w:eastAsia="Arial" w:hAnsi="Arial"/>
                <w:sz w:val="14"/>
                <w:szCs w:val="14"/>
                <w:b w:val="1"/>
                <w:bCs w:val="1"/>
                <w:color w:val="auto"/>
                <w:w w:val="87"/>
              </w:rPr>
              <w:t>Parent</w:t>
            </w:r>
          </w:p>
        </w:tc>
        <w:tc>
          <w:tcPr>
            <w:tcW w:w="200" w:type="dxa"/>
            <w:vAlign w:val="bottom"/>
          </w:tcPr>
          <w:p>
            <w:pPr>
              <w:spacing w:after="0"/>
              <w:rPr>
                <w:sz w:val="14"/>
                <w:szCs w:val="14"/>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w w:val="82"/>
              </w:rPr>
              <w:t>Parent</w:t>
            </w:r>
          </w:p>
        </w:tc>
        <w:tc>
          <w:tcPr>
            <w:tcW w:w="82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Parents</w:t>
            </w:r>
          </w:p>
        </w:tc>
        <w:tc>
          <w:tcPr>
            <w:tcW w:w="80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Holdings</w:t>
            </w: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w w:val="96"/>
              </w:rPr>
              <w:t>Subsidiaries</w:t>
            </w: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Adjustments</w:t>
            </w:r>
          </w:p>
        </w:tc>
        <w:tc>
          <w:tcPr>
            <w:tcW w:w="900" w:type="dxa"/>
            <w:vAlign w:val="bottom"/>
            <w:gridSpan w:val="3"/>
          </w:tcPr>
          <w:p>
            <w:pPr>
              <w:ind w:left="140"/>
              <w:spacing w:after="0"/>
              <w:rPr>
                <w:sz w:val="20"/>
                <w:szCs w:val="20"/>
                <w:color w:val="auto"/>
              </w:rPr>
            </w:pPr>
            <w:r>
              <w:rPr>
                <w:rFonts w:ascii="Arial" w:cs="Arial" w:eastAsia="Arial" w:hAnsi="Arial"/>
                <w:sz w:val="14"/>
                <w:szCs w:val="14"/>
                <w:b w:val="1"/>
                <w:bCs w:val="1"/>
                <w:color w:val="auto"/>
                <w:w w:val="92"/>
              </w:rPr>
              <w:t>Corporation</w:t>
            </w:r>
          </w:p>
        </w:tc>
      </w:tr>
      <w:tr>
        <w:trPr>
          <w:trHeight w:val="210"/>
        </w:trPr>
        <w:tc>
          <w:tcPr>
            <w:tcW w:w="20" w:type="dxa"/>
            <w:vAlign w:val="bottom"/>
          </w:tcPr>
          <w:p>
            <w:pPr>
              <w:spacing w:after="0"/>
              <w:rPr>
                <w:sz w:val="18"/>
                <w:szCs w:val="18"/>
                <w:color w:val="auto"/>
              </w:rPr>
            </w:pPr>
          </w:p>
        </w:tc>
        <w:tc>
          <w:tcPr>
            <w:tcW w:w="44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18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84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2,949</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2,949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Investments</w:t>
            </w:r>
          </w:p>
        </w:tc>
        <w:tc>
          <w:tcPr>
            <w:tcW w:w="2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65</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2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1,598</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1,598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Other current assets</w:t>
            </w:r>
          </w:p>
        </w:tc>
        <w:tc>
          <w:tcPr>
            <w:tcW w:w="2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14</w:t>
            </w:r>
          </w:p>
        </w:tc>
        <w:tc>
          <w:tcPr>
            <w:tcW w:w="1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770</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785</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440" w:type="dxa"/>
            <w:vAlign w:val="bottom"/>
          </w:tcPr>
          <w:p>
            <w:pPr>
              <w:ind w:left="420"/>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14</w:t>
            </w: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5,382</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5,397</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440" w:type="dxa"/>
            <w:vAlign w:val="bottom"/>
            <w:shd w:val="clear" w:color="auto" w:fill="E5E5E5"/>
          </w:tcPr>
          <w:p>
            <w:pPr>
              <w:spacing w:after="0"/>
              <w:rPr>
                <w:sz w:val="20"/>
                <w:szCs w:val="20"/>
                <w:color w:val="auto"/>
              </w:rPr>
            </w:pPr>
            <w:r>
              <w:rPr>
                <w:rFonts w:ascii="Arial" w:cs="Arial" w:eastAsia="Arial" w:hAnsi="Arial"/>
                <w:sz w:val="18"/>
                <w:szCs w:val="18"/>
                <w:color w:val="auto"/>
              </w:rPr>
              <w:t>Investments</w:t>
            </w:r>
          </w:p>
        </w:tc>
        <w:tc>
          <w:tcPr>
            <w:tcW w:w="2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6,223</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6,223</w:t>
            </w:r>
          </w:p>
        </w:tc>
        <w:tc>
          <w:tcPr>
            <w:tcW w:w="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90"/>
              </w:rPr>
              <w:t>Investments in and amounts due from subsidiaries eliminated</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upon consolidation</w:t>
            </w:r>
          </w:p>
        </w:tc>
        <w:tc>
          <w:tcPr>
            <w:tcW w:w="280" w:type="dxa"/>
            <w:vAlign w:val="bottom"/>
          </w:tcPr>
          <w:p>
            <w:pPr>
              <w:spacing w:after="0"/>
              <w:rPr>
                <w:sz w:val="19"/>
                <w:szCs w:val="19"/>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w w:val="87"/>
              </w:rPr>
              <w:t>68,125</w:t>
            </w:r>
          </w:p>
        </w:tc>
        <w:tc>
          <w:tcPr>
            <w:tcW w:w="180" w:type="dxa"/>
            <w:vAlign w:val="bottom"/>
          </w:tcPr>
          <w:p>
            <w:pPr>
              <w:spacing w:after="0"/>
              <w:rPr>
                <w:sz w:val="19"/>
                <w:szCs w:val="19"/>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w w:val="87"/>
              </w:rPr>
              <w:t>31,992</w:t>
            </w:r>
          </w:p>
        </w:tc>
        <w:tc>
          <w:tcPr>
            <w:tcW w:w="200" w:type="dxa"/>
            <w:vAlign w:val="bottom"/>
          </w:tcPr>
          <w:p>
            <w:pPr>
              <w:spacing w:after="0"/>
              <w:rPr>
                <w:sz w:val="19"/>
                <w:szCs w:val="19"/>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w w:val="83"/>
              </w:rPr>
              <w:t>39,289</w:t>
            </w:r>
          </w:p>
        </w:tc>
        <w:tc>
          <w:tcPr>
            <w:tcW w:w="220" w:type="dxa"/>
            <w:vAlign w:val="bottom"/>
          </w:tcPr>
          <w:p>
            <w:pPr>
              <w:spacing w:after="0"/>
              <w:rPr>
                <w:sz w:val="19"/>
                <w:szCs w:val="19"/>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w w:val="87"/>
              </w:rPr>
              <w:t>42,375</w:t>
            </w:r>
          </w:p>
        </w:tc>
        <w:tc>
          <w:tcPr>
            <w:tcW w:w="200" w:type="dxa"/>
            <w:vAlign w:val="bottom"/>
          </w:tcPr>
          <w:p>
            <w:pPr>
              <w:spacing w:after="0"/>
              <w:rPr>
                <w:sz w:val="19"/>
                <w:szCs w:val="19"/>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w w:val="83"/>
              </w:rPr>
              <w:t>25,359</w:t>
            </w:r>
          </w:p>
        </w:tc>
        <w:tc>
          <w:tcPr>
            <w:tcW w:w="220" w:type="dxa"/>
            <w:vAlign w:val="bottom"/>
          </w:tcPr>
          <w:p>
            <w:pPr>
              <w:spacing w:after="0"/>
              <w:rPr>
                <w:sz w:val="19"/>
                <w:szCs w:val="19"/>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1,971</w:t>
            </w:r>
          </w:p>
        </w:tc>
        <w:tc>
          <w:tcPr>
            <w:tcW w:w="260" w:type="dxa"/>
            <w:vAlign w:val="bottom"/>
          </w:tcPr>
          <w:p>
            <w:pPr>
              <w:spacing w:after="0"/>
              <w:rPr>
                <w:sz w:val="19"/>
                <w:szCs w:val="19"/>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w w:val="90"/>
              </w:rPr>
              <w:t>(209,111)</w:t>
            </w:r>
          </w:p>
        </w:tc>
        <w:tc>
          <w:tcPr>
            <w:tcW w:w="22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8"/>
        </w:trPr>
        <w:tc>
          <w:tcPr>
            <w:tcW w:w="20" w:type="dxa"/>
            <w:vAlign w:val="bottom"/>
          </w:tcPr>
          <w:p>
            <w:pPr>
              <w:spacing w:after="0"/>
              <w:rPr>
                <w:sz w:val="18"/>
                <w:szCs w:val="18"/>
                <w:color w:val="auto"/>
              </w:rPr>
            </w:pPr>
          </w:p>
        </w:tc>
        <w:tc>
          <w:tcPr>
            <w:tcW w:w="4440" w:type="dxa"/>
            <w:vAlign w:val="bottom"/>
            <w:shd w:val="clear" w:color="auto" w:fill="E5E5E5"/>
          </w:tcPr>
          <w:p>
            <w:pPr>
              <w:spacing w:after="0"/>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119</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23,093</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23,213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Franchise rights</w:t>
            </w:r>
          </w:p>
        </w:tc>
        <w:tc>
          <w:tcPr>
            <w:tcW w:w="2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58,080</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58,080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E5E5E5"/>
          </w:tcPr>
          <w:p>
            <w:pPr>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14,549</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14,549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2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5,092</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5,092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Other noncurrent assets, net</w:t>
            </w:r>
          </w:p>
        </w:tc>
        <w:tc>
          <w:tcPr>
            <w:tcW w:w="2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246</w:t>
            </w:r>
          </w:p>
        </w:tc>
        <w:tc>
          <w:tcPr>
            <w:tcW w:w="1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18</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30</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311</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617</w:t>
            </w: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4440" w:type="dxa"/>
            <w:vAlign w:val="bottom"/>
          </w:tcPr>
          <w:p>
            <w:pPr>
              <w:ind w:left="42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87"/>
              </w:rPr>
              <w:t>68,504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w w:val="87"/>
              </w:rPr>
              <w:t>32,005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w w:val="83"/>
              </w:rPr>
              <w:t>39,308</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87"/>
              </w:rPr>
              <w:t>42,375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3"/>
              </w:rPr>
              <w:t>25,389</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89"/>
              </w:rPr>
              <w:t>114,701</w:t>
            </w:r>
          </w:p>
        </w:tc>
        <w:tc>
          <w:tcPr>
            <w:tcW w:w="2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90"/>
              </w:rPr>
              <w:t>(209,111)</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113,171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Accounts payable and accrued expenses related</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440" w:type="dxa"/>
            <w:vAlign w:val="bottom"/>
          </w:tcPr>
          <w:p>
            <w:pPr>
              <w:ind w:left="420"/>
              <w:spacing w:after="0"/>
              <w:rPr>
                <w:sz w:val="20"/>
                <w:szCs w:val="20"/>
                <w:color w:val="auto"/>
              </w:rPr>
            </w:pPr>
            <w:r>
              <w:rPr>
                <w:rFonts w:ascii="Arial" w:cs="Arial" w:eastAsia="Arial" w:hAnsi="Arial"/>
                <w:sz w:val="18"/>
                <w:szCs w:val="18"/>
                <w:color w:val="auto"/>
              </w:rPr>
              <w:t>to trade creditors</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3,013</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3,014</w:t>
            </w:r>
          </w:p>
        </w:tc>
      </w:tr>
      <w:tr>
        <w:trPr>
          <w:trHeight w:val="218"/>
        </w:trPr>
        <w:tc>
          <w:tcPr>
            <w:tcW w:w="20" w:type="dxa"/>
            <w:vAlign w:val="bottom"/>
          </w:tcPr>
          <w:p>
            <w:pPr>
              <w:spacing w:after="0"/>
              <w:rPr>
                <w:sz w:val="18"/>
                <w:szCs w:val="18"/>
                <w:color w:val="auto"/>
              </w:rPr>
            </w:pPr>
          </w:p>
        </w:tc>
        <w:tc>
          <w:tcPr>
            <w:tcW w:w="44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595</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233</w:t>
            </w:r>
          </w:p>
        </w:tc>
        <w:tc>
          <w:tcPr>
            <w:tcW w:w="2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50</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42</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75</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1,931</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2,926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Current portion of long-term debt</w:t>
            </w:r>
          </w:p>
        </w:tc>
        <w:tc>
          <w:tcPr>
            <w:tcW w:w="2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348</w:t>
            </w:r>
          </w:p>
        </w:tc>
        <w:tc>
          <w:tcPr>
            <w:tcW w:w="2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325</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91</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764</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440" w:type="dxa"/>
            <w:vAlign w:val="bottom"/>
          </w:tcPr>
          <w:p>
            <w:pPr>
              <w:ind w:left="42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596</w:t>
            </w: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581</w:t>
            </w: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50</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367</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75</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5,035</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6,704</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440" w:type="dxa"/>
            <w:vAlign w:val="bottom"/>
            <w:shd w:val="clear" w:color="auto" w:fill="E5E5E5"/>
          </w:tcPr>
          <w:p>
            <w:pPr>
              <w:spacing w:after="0"/>
              <w:rPr>
                <w:sz w:val="20"/>
                <w:szCs w:val="20"/>
                <w:color w:val="auto"/>
              </w:rPr>
            </w:pPr>
            <w:r>
              <w:rPr>
                <w:rFonts w:ascii="Arial" w:cs="Arial" w:eastAsia="Arial" w:hAnsi="Arial"/>
                <w:sz w:val="18"/>
                <w:szCs w:val="18"/>
                <w:color w:val="auto"/>
              </w:rPr>
              <w:t>Long-term debt, less current portion</w:t>
            </w:r>
          </w:p>
        </w:tc>
        <w:tc>
          <w:tcPr>
            <w:tcW w:w="2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w w:val="87"/>
              </w:rPr>
              <w:t>18,775</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4,072</w:t>
            </w:r>
          </w:p>
        </w:tc>
        <w:tc>
          <w:tcPr>
            <w:tcW w:w="2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3,498</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2,719</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985</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291</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30,340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6,176</w:t>
            </w:r>
          </w:p>
        </w:tc>
        <w:tc>
          <w:tcPr>
            <w:tcW w:w="18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936</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19,458</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26,570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E5E5E5"/>
          </w:tcPr>
          <w:p>
            <w:pPr>
              <w:spacing w:after="0"/>
              <w:rPr>
                <w:sz w:val="20"/>
                <w:szCs w:val="20"/>
                <w:color w:val="auto"/>
              </w:rPr>
            </w:pPr>
            <w:r>
              <w:rPr>
                <w:rFonts w:ascii="Arial" w:cs="Arial" w:eastAsia="Arial" w:hAnsi="Arial"/>
                <w:sz w:val="18"/>
                <w:szCs w:val="18"/>
                <w:color w:val="auto"/>
              </w:rPr>
              <w:t>Other noncurrent liabilities</w:t>
            </w:r>
          </w:p>
        </w:tc>
        <w:tc>
          <w:tcPr>
            <w:tcW w:w="2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1,069</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22</w:t>
            </w:r>
          </w:p>
        </w:tc>
        <w:tc>
          <w:tcPr>
            <w:tcW w:w="2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116</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6,197</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7,404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Minority interest</w:t>
            </w:r>
          </w:p>
        </w:tc>
        <w:tc>
          <w:tcPr>
            <w:tcW w:w="2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265</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Stockholders’ Equity</w:t>
            </w:r>
          </w:p>
        </w:tc>
        <w:tc>
          <w:tcPr>
            <w:tcW w:w="28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2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Other stockholders’ equity</w:t>
            </w:r>
          </w:p>
        </w:tc>
        <w:tc>
          <w:tcPr>
            <w:tcW w:w="2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w w:val="87"/>
              </w:rPr>
              <w:t>41,853</w:t>
            </w:r>
          </w:p>
        </w:tc>
        <w:tc>
          <w:tcPr>
            <w:tcW w:w="1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w w:val="87"/>
              </w:rPr>
              <w:t>27,330</w:t>
            </w:r>
          </w:p>
        </w:tc>
        <w:tc>
          <w:tcPr>
            <w:tcW w:w="2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w w:val="83"/>
              </w:rPr>
              <w:t>35,760</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w w:val="87"/>
              </w:rPr>
              <w:t>39,289</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w w:val="83"/>
              </w:rPr>
              <w:t>23,277</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83,455</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w w:val="90"/>
              </w:rPr>
              <w:t>(209,111)</w:t>
            </w:r>
          </w:p>
        </w:tc>
        <w:tc>
          <w:tcPr>
            <w:tcW w:w="2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41,853</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440" w:type="dxa"/>
            <w:vAlign w:val="bottom"/>
          </w:tcPr>
          <w:p>
            <w:pPr>
              <w:ind w:left="42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87"/>
              </w:rPr>
              <w:t>41,888</w:t>
            </w: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87"/>
              </w:rPr>
              <w:t>27,330</w:t>
            </w: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83"/>
              </w:rPr>
              <w:t>35,760</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87"/>
              </w:rPr>
              <w:t>39,289</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83"/>
              </w:rPr>
              <w:t>23,277</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83,455</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90"/>
              </w:rPr>
              <w:t>(209,111)</w:t>
            </w: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41,888</w:t>
            </w: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4440" w:type="dxa"/>
            <w:vAlign w:val="bottom"/>
            <w:tcBorders>
              <w:bottom w:val="single" w:sz="8" w:color="E5E5E5"/>
            </w:tcBorders>
            <w:shd w:val="clear" w:color="auto" w:fill="E5E5E5"/>
          </w:tcPr>
          <w:p>
            <w:pPr>
              <w:ind w:left="420"/>
              <w:spacing w:after="0"/>
              <w:rPr>
                <w:sz w:val="20"/>
                <w:szCs w:val="20"/>
                <w:color w:val="auto"/>
              </w:rPr>
            </w:pPr>
            <w:r>
              <w:rPr>
                <w:rFonts w:ascii="Arial" w:cs="Arial" w:eastAsia="Arial" w:hAnsi="Arial"/>
                <w:sz w:val="18"/>
                <w:szCs w:val="18"/>
                <w:b w:val="1"/>
                <w:bCs w:val="1"/>
                <w:color w:val="auto"/>
              </w:rPr>
              <w:t>Total liabilities and stockholders’ equity</w:t>
            </w:r>
          </w:p>
        </w:tc>
        <w:tc>
          <w:tcPr>
            <w:tcW w:w="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w w:val="87"/>
              </w:rPr>
              <w:t>68,504</w:t>
            </w:r>
          </w:p>
        </w:tc>
        <w:tc>
          <w:tcPr>
            <w:tcW w:w="1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b w:val="1"/>
                <w:bCs w:val="1"/>
                <w:color w:val="auto"/>
                <w:w w:val="87"/>
              </w:rPr>
              <w:t>32,005</w:t>
            </w:r>
          </w:p>
        </w:tc>
        <w:tc>
          <w:tcPr>
            <w:tcW w:w="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b w:val="1"/>
                <w:bCs w:val="1"/>
                <w:color w:val="auto"/>
                <w:w w:val="83"/>
              </w:rPr>
              <w:t>39,308</w:t>
            </w:r>
          </w:p>
        </w:tc>
        <w:tc>
          <w:tcPr>
            <w:tcW w:w="22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b w:val="1"/>
                <w:bCs w:val="1"/>
                <w:color w:val="auto"/>
                <w:w w:val="87"/>
              </w:rPr>
              <w:t>42,375</w:t>
            </w:r>
          </w:p>
        </w:tc>
        <w:tc>
          <w:tcPr>
            <w:tcW w:w="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b w:val="1"/>
                <w:bCs w:val="1"/>
                <w:color w:val="auto"/>
                <w:w w:val="83"/>
              </w:rPr>
              <w:t>25,389</w:t>
            </w:r>
          </w:p>
        </w:tc>
        <w:tc>
          <w:tcPr>
            <w:tcW w:w="22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w w:val="89"/>
              </w:rPr>
              <w:t>114,701</w:t>
            </w:r>
          </w:p>
        </w:tc>
        <w:tc>
          <w:tcPr>
            <w:tcW w:w="26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b w:val="1"/>
                <w:bCs w:val="1"/>
                <w:color w:val="auto"/>
                <w:w w:val="90"/>
              </w:rPr>
              <w:t>(209,111)</w:t>
            </w:r>
          </w:p>
        </w:tc>
        <w:tc>
          <w:tcPr>
            <w:tcW w:w="22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98"/>
              </w:rPr>
              <w:t>113,171</w:t>
            </w:r>
          </w:p>
        </w:tc>
        <w:tc>
          <w:tcPr>
            <w:tcW w:w="20" w:type="dxa"/>
            <w:vAlign w:val="bottom"/>
          </w:tcPr>
          <w:p>
            <w:pPr>
              <w:spacing w:after="0"/>
              <w:rPr>
                <w:sz w:val="18"/>
                <w:szCs w:val="18"/>
                <w:color w:val="auto"/>
              </w:rPr>
            </w:pPr>
          </w:p>
        </w:tc>
      </w:tr>
      <w:tr>
        <w:trPr>
          <w:trHeight w:val="363"/>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center"/>
              <w:ind w:right="114"/>
              <w:spacing w:after="0"/>
              <w:rPr>
                <w:sz w:val="20"/>
                <w:szCs w:val="20"/>
                <w:color w:val="auto"/>
              </w:rPr>
            </w:pPr>
            <w:r>
              <w:rPr>
                <w:rFonts w:ascii="Arial" w:cs="Arial" w:eastAsia="Arial" w:hAnsi="Arial"/>
                <w:sz w:val="18"/>
                <w:szCs w:val="18"/>
                <w:color w:val="auto"/>
                <w:w w:val="99"/>
              </w:rPr>
              <w:t>16</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SEPTEMBER 30, 2007</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Consolidating Balance Sheet</w:t>
      </w:r>
    </w:p>
    <w:p>
      <w:pPr>
        <w:jc w:val="center"/>
        <w:spacing w:after="0"/>
        <w:rPr>
          <w:sz w:val="20"/>
          <w:szCs w:val="20"/>
          <w:color w:val="auto"/>
        </w:rPr>
      </w:pPr>
      <w:r>
        <w:rPr>
          <w:rFonts w:ascii="Arial" w:cs="Arial" w:eastAsia="Arial" w:hAnsi="Arial"/>
          <w:sz w:val="22"/>
          <w:szCs w:val="22"/>
          <w:b w:val="1"/>
          <w:bCs w:val="1"/>
          <w:color w:val="auto"/>
        </w:rPr>
        <w:t>December 31, 2006</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Elimination</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Combined</w:t>
            </w: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jc w:val="right"/>
              <w:ind w:right="233"/>
              <w:spacing w:after="0" w:line="149" w:lineRule="exact"/>
              <w:rPr>
                <w:sz w:val="20"/>
                <w:szCs w:val="20"/>
                <w:color w:val="auto"/>
              </w:rPr>
            </w:pPr>
            <w:r>
              <w:rPr>
                <w:rFonts w:ascii="Arial" w:cs="Arial" w:eastAsia="Arial" w:hAnsi="Arial"/>
                <w:sz w:val="14"/>
                <w:szCs w:val="14"/>
                <w:b w:val="1"/>
                <w:bCs w:val="1"/>
                <w:color w:val="auto"/>
              </w:rPr>
              <w:t>Non-</w:t>
            </w:r>
          </w:p>
        </w:tc>
        <w:tc>
          <w:tcPr>
            <w:tcW w:w="260" w:type="dxa"/>
            <w:vAlign w:val="bottom"/>
          </w:tcPr>
          <w:p>
            <w:pPr>
              <w:spacing w:after="0"/>
              <w:rPr>
                <w:sz w:val="12"/>
                <w:szCs w:val="12"/>
                <w:color w:val="auto"/>
              </w:rPr>
            </w:pPr>
          </w:p>
        </w:tc>
        <w:tc>
          <w:tcPr>
            <w:tcW w:w="840" w:type="dxa"/>
            <w:vAlign w:val="bottom"/>
          </w:tcPr>
          <w:p>
            <w:pPr>
              <w:jc w:val="center"/>
              <w:ind w:right="213"/>
              <w:spacing w:after="0" w:line="149" w:lineRule="exact"/>
              <w:rPr>
                <w:sz w:val="20"/>
                <w:szCs w:val="20"/>
                <w:color w:val="auto"/>
              </w:rPr>
            </w:pPr>
            <w:r>
              <w:rPr>
                <w:rFonts w:ascii="Arial" w:cs="Arial" w:eastAsia="Arial" w:hAnsi="Arial"/>
                <w:sz w:val="14"/>
                <w:szCs w:val="14"/>
                <w:b w:val="1"/>
                <w:bCs w:val="1"/>
                <w:color w:val="auto"/>
                <w:w w:val="88"/>
              </w:rPr>
              <w:t>and</w:t>
            </w:r>
          </w:p>
        </w:tc>
        <w:tc>
          <w:tcPr>
            <w:tcW w:w="900" w:type="dxa"/>
            <w:vAlign w:val="bottom"/>
            <w:gridSpan w:val="3"/>
          </w:tcPr>
          <w:p>
            <w:pPr>
              <w:ind w:left="120"/>
              <w:spacing w:after="0" w:line="149" w:lineRule="exact"/>
              <w:rPr>
                <w:sz w:val="20"/>
                <w:szCs w:val="20"/>
                <w:color w:val="auto"/>
              </w:rPr>
            </w:pPr>
            <w:r>
              <w:rPr>
                <w:rFonts w:ascii="Arial" w:cs="Arial" w:eastAsia="Arial" w:hAnsi="Arial"/>
                <w:sz w:val="14"/>
                <w:szCs w:val="14"/>
                <w:b w:val="1"/>
                <w:bCs w:val="1"/>
                <w:color w:val="auto"/>
                <w:w w:val="85"/>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020" w:type="dxa"/>
            <w:vAlign w:val="bottom"/>
            <w:gridSpan w:val="2"/>
          </w:tcPr>
          <w:p>
            <w:pPr>
              <w:jc w:val="right"/>
              <w:ind w:right="53"/>
              <w:spacing w:after="0" w:line="149" w:lineRule="exact"/>
              <w:rPr>
                <w:sz w:val="20"/>
                <w:szCs w:val="20"/>
                <w:color w:val="auto"/>
              </w:rPr>
            </w:pPr>
            <w:r>
              <w:rPr>
                <w:rFonts w:ascii="Arial" w:cs="Arial" w:eastAsia="Arial" w:hAnsi="Arial"/>
                <w:sz w:val="14"/>
                <w:szCs w:val="14"/>
                <w:b w:val="1"/>
                <w:bCs w:val="1"/>
                <w:color w:val="auto"/>
              </w:rPr>
              <w:t>Comcast</w:t>
            </w:r>
          </w:p>
        </w:tc>
        <w:tc>
          <w:tcPr>
            <w:tcW w:w="180" w:type="dxa"/>
            <w:vAlign w:val="bottom"/>
          </w:tcPr>
          <w:p>
            <w:pPr>
              <w:spacing w:after="0"/>
              <w:rPr>
                <w:sz w:val="12"/>
                <w:szCs w:val="12"/>
                <w:color w:val="auto"/>
              </w:rPr>
            </w:pPr>
          </w:p>
        </w:tc>
        <w:tc>
          <w:tcPr>
            <w:tcW w:w="600" w:type="dxa"/>
            <w:vAlign w:val="bottom"/>
          </w:tcPr>
          <w:p>
            <w:pPr>
              <w:jc w:val="center"/>
              <w:ind w:right="94"/>
              <w:spacing w:after="0" w:line="149" w:lineRule="exact"/>
              <w:rPr>
                <w:sz w:val="20"/>
                <w:szCs w:val="20"/>
                <w:color w:val="auto"/>
              </w:rPr>
            </w:pPr>
            <w:r>
              <w:rPr>
                <w:rFonts w:ascii="Arial" w:cs="Arial" w:eastAsia="Arial" w:hAnsi="Arial"/>
                <w:sz w:val="14"/>
                <w:szCs w:val="14"/>
                <w:b w:val="1"/>
                <w:bCs w:val="1"/>
                <w:color w:val="auto"/>
                <w:w w:val="97"/>
              </w:rPr>
              <w:t>CCCL</w:t>
            </w:r>
          </w:p>
        </w:tc>
        <w:tc>
          <w:tcPr>
            <w:tcW w:w="200" w:type="dxa"/>
            <w:vAlign w:val="bottom"/>
          </w:tcPr>
          <w:p>
            <w:pPr>
              <w:spacing w:after="0"/>
              <w:rPr>
                <w:sz w:val="12"/>
                <w:szCs w:val="12"/>
                <w:color w:val="auto"/>
              </w:rPr>
            </w:pPr>
          </w:p>
        </w:tc>
        <w:tc>
          <w:tcPr>
            <w:tcW w:w="580" w:type="dxa"/>
            <w:vAlign w:val="bottom"/>
          </w:tcPr>
          <w:p>
            <w:pPr>
              <w:jc w:val="right"/>
              <w:ind w:right="114"/>
              <w:spacing w:after="0" w:line="149" w:lineRule="exact"/>
              <w:rPr>
                <w:sz w:val="20"/>
                <w:szCs w:val="20"/>
                <w:color w:val="auto"/>
              </w:rPr>
            </w:pPr>
            <w:r>
              <w:rPr>
                <w:rFonts w:ascii="Arial" w:cs="Arial" w:eastAsia="Arial" w:hAnsi="Arial"/>
                <w:sz w:val="14"/>
                <w:szCs w:val="14"/>
                <w:b w:val="1"/>
                <w:bCs w:val="1"/>
                <w:color w:val="auto"/>
                <w:w w:val="88"/>
              </w:rPr>
              <w:t>CCCH</w:t>
            </w:r>
          </w:p>
        </w:tc>
        <w:tc>
          <w:tcPr>
            <w:tcW w:w="820" w:type="dxa"/>
            <w:vAlign w:val="bottom"/>
            <w:gridSpan w:val="2"/>
          </w:tcPr>
          <w:p>
            <w:pPr>
              <w:jc w:val="right"/>
              <w:ind w:right="52"/>
              <w:spacing w:after="0" w:line="149" w:lineRule="exact"/>
              <w:rPr>
                <w:sz w:val="20"/>
                <w:szCs w:val="20"/>
                <w:color w:val="auto"/>
              </w:rPr>
            </w:pPr>
            <w:r>
              <w:rPr>
                <w:rFonts w:ascii="Arial" w:cs="Arial" w:eastAsia="Arial" w:hAnsi="Arial"/>
                <w:sz w:val="14"/>
                <w:szCs w:val="14"/>
                <w:b w:val="1"/>
                <w:bCs w:val="1"/>
                <w:color w:val="auto"/>
              </w:rPr>
              <w:t>CCHMO</w:t>
            </w:r>
          </w:p>
        </w:tc>
        <w:tc>
          <w:tcPr>
            <w:tcW w:w="800" w:type="dxa"/>
            <w:vAlign w:val="bottom"/>
            <w:gridSpan w:val="2"/>
          </w:tcPr>
          <w:p>
            <w:pPr>
              <w:jc w:val="right"/>
              <w:ind w:right="72"/>
              <w:spacing w:after="0" w:line="149" w:lineRule="exact"/>
              <w:rPr>
                <w:sz w:val="20"/>
                <w:szCs w:val="20"/>
                <w:color w:val="auto"/>
              </w:rPr>
            </w:pPr>
            <w:r>
              <w:rPr>
                <w:rFonts w:ascii="Arial" w:cs="Arial" w:eastAsia="Arial" w:hAnsi="Arial"/>
                <w:sz w:val="14"/>
                <w:szCs w:val="14"/>
                <w:b w:val="1"/>
                <w:bCs w:val="1"/>
                <w:color w:val="auto"/>
              </w:rPr>
              <w:t>Comcast</w:t>
            </w:r>
          </w:p>
        </w:tc>
        <w:tc>
          <w:tcPr>
            <w:tcW w:w="920" w:type="dxa"/>
            <w:vAlign w:val="bottom"/>
            <w:gridSpan w:val="2"/>
          </w:tcPr>
          <w:p>
            <w:pPr>
              <w:jc w:val="right"/>
              <w:ind w:right="53"/>
              <w:spacing w:after="0" w:line="149" w:lineRule="exact"/>
              <w:rPr>
                <w:sz w:val="20"/>
                <w:szCs w:val="20"/>
                <w:color w:val="auto"/>
              </w:rPr>
            </w:pPr>
            <w:r>
              <w:rPr>
                <w:rFonts w:ascii="Arial" w:cs="Arial" w:eastAsia="Arial" w:hAnsi="Arial"/>
                <w:sz w:val="14"/>
                <w:szCs w:val="14"/>
                <w:b w:val="1"/>
                <w:bCs w:val="1"/>
                <w:color w:val="auto"/>
              </w:rPr>
              <w:t>Guarantor</w:t>
            </w:r>
          </w:p>
        </w:tc>
        <w:tc>
          <w:tcPr>
            <w:tcW w:w="110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Consolidation</w:t>
            </w:r>
          </w:p>
        </w:tc>
        <w:tc>
          <w:tcPr>
            <w:tcW w:w="22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84"/>
              </w:rPr>
              <w:t>Comcast</w:t>
            </w:r>
          </w:p>
        </w:tc>
        <w:tc>
          <w:tcPr>
            <w:tcW w:w="0" w:type="dxa"/>
            <w:vAlign w:val="bottom"/>
          </w:tcPr>
          <w:p>
            <w:pPr>
              <w:spacing w:after="0"/>
              <w:rPr>
                <w:sz w:val="1"/>
                <w:szCs w:val="1"/>
                <w:color w:val="auto"/>
              </w:rPr>
            </w:pPr>
          </w:p>
        </w:tc>
      </w:tr>
      <w:tr>
        <w:trPr>
          <w:trHeight w:val="161"/>
        </w:trPr>
        <w:tc>
          <w:tcPr>
            <w:tcW w:w="43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420" w:type="dxa"/>
            <w:vAlign w:val="bottom"/>
          </w:tcPr>
          <w:p>
            <w:pPr>
              <w:spacing w:after="0"/>
              <w:rPr>
                <w:sz w:val="14"/>
                <w:szCs w:val="14"/>
                <w:color w:val="auto"/>
              </w:rPr>
            </w:pPr>
          </w:p>
        </w:tc>
        <w:tc>
          <w:tcPr>
            <w:tcW w:w="600" w:type="dxa"/>
            <w:vAlign w:val="bottom"/>
          </w:tcPr>
          <w:p>
            <w:pPr>
              <w:jc w:val="right"/>
              <w:ind w:right="113"/>
              <w:spacing w:after="0"/>
              <w:rPr>
                <w:sz w:val="20"/>
                <w:szCs w:val="20"/>
                <w:color w:val="auto"/>
              </w:rPr>
            </w:pPr>
            <w:r>
              <w:rPr>
                <w:rFonts w:ascii="Arial" w:cs="Arial" w:eastAsia="Arial" w:hAnsi="Arial"/>
                <w:sz w:val="14"/>
                <w:szCs w:val="14"/>
                <w:b w:val="1"/>
                <w:bCs w:val="1"/>
                <w:color w:val="auto"/>
                <w:w w:val="87"/>
              </w:rPr>
              <w:t>Parent</w:t>
            </w:r>
          </w:p>
        </w:tc>
        <w:tc>
          <w:tcPr>
            <w:tcW w:w="180" w:type="dxa"/>
            <w:vAlign w:val="bottom"/>
          </w:tcPr>
          <w:p>
            <w:pPr>
              <w:spacing w:after="0"/>
              <w:rPr>
                <w:sz w:val="14"/>
                <w:szCs w:val="14"/>
                <w:color w:val="auto"/>
              </w:rPr>
            </w:pPr>
          </w:p>
        </w:tc>
        <w:tc>
          <w:tcPr>
            <w:tcW w:w="600" w:type="dxa"/>
            <w:vAlign w:val="bottom"/>
          </w:tcPr>
          <w:p>
            <w:pPr>
              <w:jc w:val="center"/>
              <w:ind w:right="94"/>
              <w:spacing w:after="0"/>
              <w:rPr>
                <w:sz w:val="20"/>
                <w:szCs w:val="20"/>
                <w:color w:val="auto"/>
              </w:rPr>
            </w:pPr>
            <w:r>
              <w:rPr>
                <w:rFonts w:ascii="Arial" w:cs="Arial" w:eastAsia="Arial" w:hAnsi="Arial"/>
                <w:sz w:val="14"/>
                <w:szCs w:val="14"/>
                <w:b w:val="1"/>
                <w:bCs w:val="1"/>
                <w:color w:val="auto"/>
                <w:w w:val="87"/>
              </w:rPr>
              <w:t>Parent</w:t>
            </w:r>
          </w:p>
        </w:tc>
        <w:tc>
          <w:tcPr>
            <w:tcW w:w="200" w:type="dxa"/>
            <w:vAlign w:val="bottom"/>
          </w:tcPr>
          <w:p>
            <w:pPr>
              <w:spacing w:after="0"/>
              <w:rPr>
                <w:sz w:val="14"/>
                <w:szCs w:val="14"/>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w w:val="82"/>
              </w:rPr>
              <w:t>Parent</w:t>
            </w:r>
          </w:p>
        </w:tc>
        <w:tc>
          <w:tcPr>
            <w:tcW w:w="82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Parents</w:t>
            </w:r>
          </w:p>
        </w:tc>
        <w:tc>
          <w:tcPr>
            <w:tcW w:w="80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Holdings</w:t>
            </w: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w w:val="96"/>
              </w:rPr>
              <w:t>Subsidiaries</w:t>
            </w: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Adjustments</w:t>
            </w:r>
          </w:p>
        </w:tc>
        <w:tc>
          <w:tcPr>
            <w:tcW w:w="900" w:type="dxa"/>
            <w:vAlign w:val="bottom"/>
            <w:gridSpan w:val="3"/>
          </w:tcPr>
          <w:p>
            <w:pPr>
              <w:ind w:left="140"/>
              <w:spacing w:after="0"/>
              <w:rPr>
                <w:sz w:val="20"/>
                <w:szCs w:val="20"/>
                <w:color w:val="auto"/>
              </w:rPr>
            </w:pPr>
            <w:r>
              <w:rPr>
                <w:rFonts w:ascii="Arial" w:cs="Arial" w:eastAsia="Arial" w:hAnsi="Arial"/>
                <w:sz w:val="14"/>
                <w:szCs w:val="14"/>
                <w:b w:val="1"/>
                <w:bCs w:val="1"/>
                <w:color w:val="auto"/>
                <w:w w:val="92"/>
              </w:rPr>
              <w:t>Corporation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42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18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84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77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1,162</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Investments</w:t>
            </w:r>
          </w:p>
        </w:tc>
        <w:tc>
          <w:tcPr>
            <w:tcW w:w="4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1,735</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1,735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42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1,450</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Other current assets</w:t>
            </w:r>
          </w:p>
        </w:tc>
        <w:tc>
          <w:tcPr>
            <w:tcW w:w="4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15</w:t>
            </w:r>
          </w:p>
        </w:tc>
        <w:tc>
          <w:tcPr>
            <w:tcW w:w="1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762</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Pr>
          <w:p>
            <w:pPr>
              <w:ind w:left="420"/>
              <w:spacing w:after="0"/>
              <w:rPr>
                <w:sz w:val="20"/>
                <w:szCs w:val="20"/>
                <w:color w:val="auto"/>
              </w:rPr>
            </w:pPr>
            <w:r>
              <w:rPr>
                <w:rFonts w:ascii="Arial" w:cs="Arial" w:eastAsia="Arial" w:hAnsi="Arial"/>
                <w:sz w:val="18"/>
                <w:szCs w:val="18"/>
                <w:color w:val="auto"/>
              </w:rPr>
              <w:t>Total current assets</w:t>
            </w:r>
          </w:p>
        </w:tc>
        <w:tc>
          <w:tcPr>
            <w:tcW w:w="4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92</w:t>
            </w: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5,109</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E5E5E5"/>
          </w:tcPr>
          <w:p>
            <w:pPr>
              <w:spacing w:after="0"/>
              <w:rPr>
                <w:sz w:val="20"/>
                <w:szCs w:val="20"/>
                <w:color w:val="auto"/>
              </w:rPr>
            </w:pPr>
            <w:r>
              <w:rPr>
                <w:rFonts w:ascii="Arial" w:cs="Arial" w:eastAsia="Arial" w:hAnsi="Arial"/>
                <w:sz w:val="18"/>
                <w:szCs w:val="18"/>
                <w:color w:val="auto"/>
              </w:rPr>
              <w:t>Investments</w:t>
            </w:r>
          </w:p>
        </w:tc>
        <w:tc>
          <w:tcPr>
            <w:tcW w:w="4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8,847</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8,847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87"/>
              </w:rPr>
              <w:t>Investments in and amounts due from subsidiaries eliminated</w:t>
            </w: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upon consolidation</w:t>
            </w:r>
          </w:p>
        </w:tc>
        <w:tc>
          <w:tcPr>
            <w:tcW w:w="420" w:type="dxa"/>
            <w:vAlign w:val="bottom"/>
          </w:tcPr>
          <w:p>
            <w:pPr>
              <w:spacing w:after="0"/>
              <w:rPr>
                <w:sz w:val="19"/>
                <w:szCs w:val="19"/>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w w:val="87"/>
              </w:rPr>
              <w:t>62,622</w:t>
            </w:r>
          </w:p>
        </w:tc>
        <w:tc>
          <w:tcPr>
            <w:tcW w:w="180" w:type="dxa"/>
            <w:vAlign w:val="bottom"/>
          </w:tcPr>
          <w:p>
            <w:pPr>
              <w:spacing w:after="0"/>
              <w:rPr>
                <w:sz w:val="19"/>
                <w:szCs w:val="19"/>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w w:val="87"/>
              </w:rPr>
              <w:t>31,152</w:t>
            </w:r>
          </w:p>
        </w:tc>
        <w:tc>
          <w:tcPr>
            <w:tcW w:w="200" w:type="dxa"/>
            <w:vAlign w:val="bottom"/>
          </w:tcPr>
          <w:p>
            <w:pPr>
              <w:spacing w:after="0"/>
              <w:rPr>
                <w:sz w:val="19"/>
                <w:szCs w:val="19"/>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w w:val="83"/>
              </w:rPr>
              <w:t>37,757</w:t>
            </w:r>
          </w:p>
        </w:tc>
        <w:tc>
          <w:tcPr>
            <w:tcW w:w="220" w:type="dxa"/>
            <w:vAlign w:val="bottom"/>
          </w:tcPr>
          <w:p>
            <w:pPr>
              <w:spacing w:after="0"/>
              <w:rPr>
                <w:sz w:val="19"/>
                <w:szCs w:val="19"/>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w w:val="87"/>
              </w:rPr>
              <w:t>41,151</w:t>
            </w:r>
          </w:p>
        </w:tc>
        <w:tc>
          <w:tcPr>
            <w:tcW w:w="200" w:type="dxa"/>
            <w:vAlign w:val="bottom"/>
          </w:tcPr>
          <w:p>
            <w:pPr>
              <w:spacing w:after="0"/>
              <w:rPr>
                <w:sz w:val="19"/>
                <w:szCs w:val="19"/>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w w:val="83"/>
              </w:rPr>
              <w:t>24,250</w:t>
            </w:r>
          </w:p>
        </w:tc>
        <w:tc>
          <w:tcPr>
            <w:tcW w:w="240" w:type="dxa"/>
            <w:vAlign w:val="bottom"/>
          </w:tcPr>
          <w:p>
            <w:pPr>
              <w:spacing w:after="0"/>
              <w:rPr>
                <w:sz w:val="19"/>
                <w:szCs w:val="19"/>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1,629</w:t>
            </w:r>
          </w:p>
        </w:tc>
        <w:tc>
          <w:tcPr>
            <w:tcW w:w="260" w:type="dxa"/>
            <w:vAlign w:val="bottom"/>
          </w:tcPr>
          <w:p>
            <w:pPr>
              <w:spacing w:after="0"/>
              <w:rPr>
                <w:sz w:val="19"/>
                <w:szCs w:val="19"/>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w w:val="90"/>
              </w:rPr>
              <w:t>(198,561)</w:t>
            </w:r>
          </w:p>
        </w:tc>
        <w:tc>
          <w:tcPr>
            <w:tcW w:w="22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00" w:type="dxa"/>
            <w:vAlign w:val="bottom"/>
            <w:shd w:val="clear" w:color="auto" w:fill="E5E5E5"/>
          </w:tcPr>
          <w:p>
            <w:pPr>
              <w:spacing w:after="0"/>
              <w:rPr>
                <w:sz w:val="20"/>
                <w:szCs w:val="20"/>
                <w:color w:val="auto"/>
              </w:rPr>
            </w:pPr>
            <w:r>
              <w:rPr>
                <w:rFonts w:ascii="Arial" w:cs="Arial" w:eastAsia="Arial" w:hAnsi="Arial"/>
                <w:sz w:val="18"/>
                <w:szCs w:val="18"/>
                <w:color w:val="auto"/>
              </w:rPr>
              <w:t>Property and equipment, net</w:t>
            </w:r>
          </w:p>
        </w:tc>
        <w:tc>
          <w:tcPr>
            <w:tcW w:w="4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17</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21,230</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21,248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Franchise rights</w:t>
            </w:r>
          </w:p>
        </w:tc>
        <w:tc>
          <w:tcPr>
            <w:tcW w:w="42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55,927</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55,927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E5E5E5"/>
          </w:tcPr>
          <w:p>
            <w:pPr>
              <w:spacing w:after="0"/>
              <w:rPr>
                <w:sz w:val="20"/>
                <w:szCs w:val="20"/>
                <w:color w:val="auto"/>
              </w:rPr>
            </w:pPr>
            <w:r>
              <w:rPr>
                <w:rFonts w:ascii="Arial" w:cs="Arial" w:eastAsia="Arial" w:hAnsi="Arial"/>
                <w:sz w:val="18"/>
                <w:szCs w:val="18"/>
                <w:color w:val="auto"/>
              </w:rPr>
              <w:t>Goodwill</w:t>
            </w:r>
          </w:p>
        </w:tc>
        <w:tc>
          <w:tcPr>
            <w:tcW w:w="4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13,768</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13,768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42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4,881</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Other noncurrent assets, net</w:t>
            </w:r>
          </w:p>
        </w:tc>
        <w:tc>
          <w:tcPr>
            <w:tcW w:w="4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176</w:t>
            </w:r>
          </w:p>
        </w:tc>
        <w:tc>
          <w:tcPr>
            <w:tcW w:w="1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16</w:t>
            </w:r>
          </w:p>
        </w:tc>
        <w:tc>
          <w:tcPr>
            <w:tcW w:w="2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20</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31</w:t>
            </w:r>
          </w:p>
        </w:tc>
        <w:tc>
          <w:tcPr>
            <w:tcW w:w="2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289</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00" w:type="dxa"/>
            <w:vAlign w:val="bottom"/>
          </w:tcPr>
          <w:p>
            <w:pPr>
              <w:ind w:left="420"/>
              <w:spacing w:after="0"/>
              <w:rPr>
                <w:sz w:val="20"/>
                <w:szCs w:val="20"/>
                <w:color w:val="auto"/>
              </w:rPr>
            </w:pPr>
            <w:r>
              <w:rPr>
                <w:rFonts w:ascii="Arial" w:cs="Arial" w:eastAsia="Arial" w:hAnsi="Arial"/>
                <w:sz w:val="18"/>
                <w:szCs w:val="18"/>
                <w:b w:val="1"/>
                <w:bCs w:val="1"/>
                <w:color w:val="auto"/>
              </w:rPr>
              <w:t>Total assets</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87"/>
              </w:rPr>
              <w:t>62,907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w w:val="87"/>
              </w:rPr>
              <w:t>31,169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w w:val="83"/>
              </w:rPr>
              <w:t>37,778</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87"/>
              </w:rPr>
              <w:t>41,151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3"/>
              </w:rPr>
              <w:t>24,281</w:t>
            </w:r>
          </w:p>
        </w:tc>
        <w:tc>
          <w:tcPr>
            <w:tcW w:w="2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86"/>
              </w:rPr>
              <w:t>111,680</w:t>
            </w:r>
          </w:p>
        </w:tc>
        <w:tc>
          <w:tcPr>
            <w:tcW w:w="2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90"/>
              </w:rPr>
              <w:t>(198,561)</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110,405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4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42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Accounts payable and accrued expenses related</w:t>
            </w: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tcPr>
          <w:p>
            <w:pPr>
              <w:ind w:left="420"/>
              <w:spacing w:after="0"/>
              <w:rPr>
                <w:sz w:val="20"/>
                <w:szCs w:val="20"/>
                <w:color w:val="auto"/>
              </w:rPr>
            </w:pPr>
            <w:r>
              <w:rPr>
                <w:rFonts w:ascii="Arial" w:cs="Arial" w:eastAsia="Arial" w:hAnsi="Arial"/>
                <w:sz w:val="18"/>
                <w:szCs w:val="18"/>
                <w:color w:val="auto"/>
              </w:rPr>
              <w:t>to trade creditors</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11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2,851</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2,862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4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616</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247</w:t>
            </w:r>
          </w:p>
        </w:tc>
        <w:tc>
          <w:tcPr>
            <w:tcW w:w="2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83</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106</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69</w:t>
            </w:r>
          </w:p>
        </w:tc>
        <w:tc>
          <w:tcPr>
            <w:tcW w:w="2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1,911</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3,032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42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563</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Current portion of long-term debt</w:t>
            </w:r>
          </w:p>
        </w:tc>
        <w:tc>
          <w:tcPr>
            <w:tcW w:w="4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600</w:t>
            </w:r>
          </w:p>
        </w:tc>
        <w:tc>
          <w:tcPr>
            <w:tcW w:w="2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242</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141</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Pr>
          <w:p>
            <w:pPr>
              <w:ind w:left="420"/>
              <w:spacing w:after="0"/>
              <w:rPr>
                <w:sz w:val="20"/>
                <w:szCs w:val="20"/>
                <w:color w:val="auto"/>
              </w:rPr>
            </w:pPr>
            <w:r>
              <w:rPr>
                <w:rFonts w:ascii="Arial" w:cs="Arial" w:eastAsia="Arial" w:hAnsi="Arial"/>
                <w:sz w:val="18"/>
                <w:szCs w:val="18"/>
                <w:color w:val="auto"/>
              </w:rPr>
              <w:t>Total current liabilities</w:t>
            </w:r>
          </w:p>
        </w:tc>
        <w:tc>
          <w:tcPr>
            <w:tcW w:w="4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627</w:t>
            </w: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847</w:t>
            </w: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83</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348</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69</w:t>
            </w: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5,466</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E5E5E5"/>
          </w:tcPr>
          <w:p>
            <w:pPr>
              <w:spacing w:after="0"/>
              <w:rPr>
                <w:sz w:val="20"/>
                <w:szCs w:val="20"/>
                <w:color w:val="auto"/>
              </w:rPr>
            </w:pPr>
            <w:r>
              <w:rPr>
                <w:rFonts w:ascii="Arial" w:cs="Arial" w:eastAsia="Arial" w:hAnsi="Arial"/>
                <w:sz w:val="18"/>
                <w:szCs w:val="18"/>
                <w:color w:val="auto"/>
              </w:rPr>
              <w:t>Long term-debt, less current portion</w:t>
            </w:r>
          </w:p>
        </w:tc>
        <w:tc>
          <w:tcPr>
            <w:tcW w:w="4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w w:val="87"/>
              </w:rPr>
              <w:t>15,358</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4,397</w:t>
            </w:r>
          </w:p>
        </w:tc>
        <w:tc>
          <w:tcPr>
            <w:tcW w:w="2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3,498</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3,046</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949</w:t>
            </w:r>
          </w:p>
        </w:tc>
        <w:tc>
          <w:tcPr>
            <w:tcW w:w="2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744</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27,992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Deferred income taxes</w:t>
            </w:r>
          </w:p>
        </w:tc>
        <w:tc>
          <w:tcPr>
            <w:tcW w:w="42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4,638</w:t>
            </w:r>
          </w:p>
        </w:tc>
        <w:tc>
          <w:tcPr>
            <w:tcW w:w="18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887</w:t>
            </w:r>
          </w:p>
        </w:tc>
        <w:tc>
          <w:tcPr>
            <w:tcW w:w="24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21,564</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27,089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E5E5E5"/>
          </w:tcPr>
          <w:p>
            <w:pPr>
              <w:spacing w:after="0"/>
              <w:rPr>
                <w:sz w:val="20"/>
                <w:szCs w:val="20"/>
                <w:color w:val="auto"/>
              </w:rPr>
            </w:pPr>
            <w:r>
              <w:rPr>
                <w:rFonts w:ascii="Arial" w:cs="Arial" w:eastAsia="Arial" w:hAnsi="Arial"/>
                <w:sz w:val="18"/>
                <w:szCs w:val="18"/>
                <w:color w:val="auto"/>
              </w:rPr>
              <w:t>Other noncurrent liabilities</w:t>
            </w:r>
          </w:p>
        </w:tc>
        <w:tc>
          <w:tcPr>
            <w:tcW w:w="4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1,117</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46</w:t>
            </w:r>
          </w:p>
        </w:tc>
        <w:tc>
          <w:tcPr>
            <w:tcW w:w="2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76</w:t>
            </w:r>
          </w:p>
        </w:tc>
        <w:tc>
          <w:tcPr>
            <w:tcW w:w="2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5,237</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6,476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Minority interest</w:t>
            </w:r>
          </w:p>
        </w:tc>
        <w:tc>
          <w:tcPr>
            <w:tcW w:w="42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241</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Stockholders’ Equity</w:t>
            </w:r>
          </w:p>
        </w:tc>
        <w:tc>
          <w:tcPr>
            <w:tcW w:w="42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42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Other stockholders’ equity</w:t>
            </w:r>
          </w:p>
        </w:tc>
        <w:tc>
          <w:tcPr>
            <w:tcW w:w="4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w w:val="87"/>
              </w:rPr>
              <w:t>41,132</w:t>
            </w:r>
          </w:p>
        </w:tc>
        <w:tc>
          <w:tcPr>
            <w:tcW w:w="1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w w:val="87"/>
              </w:rPr>
              <w:t>25,879</w:t>
            </w:r>
          </w:p>
        </w:tc>
        <w:tc>
          <w:tcPr>
            <w:tcW w:w="2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w w:val="83"/>
              </w:rPr>
              <w:t>34,197</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w w:val="87"/>
              </w:rPr>
              <w:t>37,757</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w w:val="83"/>
              </w:rPr>
              <w:t>22,300</w:t>
            </w:r>
          </w:p>
        </w:tc>
        <w:tc>
          <w:tcPr>
            <w:tcW w:w="2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78,428</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w w:val="90"/>
              </w:rPr>
              <w:t>(198,561)</w:t>
            </w:r>
          </w:p>
        </w:tc>
        <w:tc>
          <w:tcPr>
            <w:tcW w:w="2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41,132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Pr>
          <w:p>
            <w:pPr>
              <w:ind w:left="420"/>
              <w:spacing w:after="0"/>
              <w:rPr>
                <w:sz w:val="20"/>
                <w:szCs w:val="20"/>
                <w:color w:val="auto"/>
              </w:rPr>
            </w:pPr>
            <w:r>
              <w:rPr>
                <w:rFonts w:ascii="Arial" w:cs="Arial" w:eastAsia="Arial" w:hAnsi="Arial"/>
                <w:sz w:val="18"/>
                <w:szCs w:val="18"/>
                <w:color w:val="auto"/>
              </w:rPr>
              <w:t>Total stockholders’ equity</w:t>
            </w:r>
          </w:p>
        </w:tc>
        <w:tc>
          <w:tcPr>
            <w:tcW w:w="4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87"/>
              </w:rPr>
              <w:t>41,167</w:t>
            </w: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87"/>
              </w:rPr>
              <w:t>25,879</w:t>
            </w: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83"/>
              </w:rPr>
              <w:t>34,197</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87"/>
              </w:rPr>
              <w:t>37,757</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83"/>
              </w:rPr>
              <w:t>22,300</w:t>
            </w: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78,428</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90"/>
              </w:rPr>
              <w:t>(198,561)</w:t>
            </w: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00" w:type="dxa"/>
            <w:vAlign w:val="bottom"/>
            <w:tcBorders>
              <w:bottom w:val="single" w:sz="8" w:color="E5E5E5"/>
            </w:tcBorders>
            <w:shd w:val="clear" w:color="auto" w:fill="E5E5E5"/>
          </w:tcPr>
          <w:p>
            <w:pPr>
              <w:ind w:left="420"/>
              <w:spacing w:after="0"/>
              <w:rPr>
                <w:sz w:val="20"/>
                <w:szCs w:val="20"/>
                <w:color w:val="auto"/>
              </w:rPr>
            </w:pPr>
            <w:r>
              <w:rPr>
                <w:rFonts w:ascii="Arial" w:cs="Arial" w:eastAsia="Arial" w:hAnsi="Arial"/>
                <w:sz w:val="18"/>
                <w:szCs w:val="18"/>
                <w:b w:val="1"/>
                <w:bCs w:val="1"/>
                <w:color w:val="auto"/>
              </w:rPr>
              <w:t>Total liabilities and stockholders’ equity</w:t>
            </w: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w w:val="87"/>
              </w:rPr>
              <w:t>62,907</w:t>
            </w:r>
          </w:p>
        </w:tc>
        <w:tc>
          <w:tcPr>
            <w:tcW w:w="1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b w:val="1"/>
                <w:bCs w:val="1"/>
                <w:color w:val="auto"/>
                <w:w w:val="87"/>
              </w:rPr>
              <w:t>31,169</w:t>
            </w:r>
          </w:p>
        </w:tc>
        <w:tc>
          <w:tcPr>
            <w:tcW w:w="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b w:val="1"/>
                <w:bCs w:val="1"/>
                <w:color w:val="auto"/>
                <w:w w:val="83"/>
              </w:rPr>
              <w:t>37,778</w:t>
            </w:r>
          </w:p>
        </w:tc>
        <w:tc>
          <w:tcPr>
            <w:tcW w:w="22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b w:val="1"/>
                <w:bCs w:val="1"/>
                <w:color w:val="auto"/>
                <w:w w:val="87"/>
              </w:rPr>
              <w:t>41,151</w:t>
            </w:r>
          </w:p>
        </w:tc>
        <w:tc>
          <w:tcPr>
            <w:tcW w:w="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b w:val="1"/>
                <w:bCs w:val="1"/>
                <w:color w:val="auto"/>
                <w:w w:val="83"/>
              </w:rPr>
              <w:t>24,281</w:t>
            </w:r>
          </w:p>
        </w:tc>
        <w:tc>
          <w:tcPr>
            <w:tcW w:w="24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w w:val="86"/>
              </w:rPr>
              <w:t>111,680</w:t>
            </w:r>
          </w:p>
        </w:tc>
        <w:tc>
          <w:tcPr>
            <w:tcW w:w="26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b w:val="1"/>
                <w:bCs w:val="1"/>
                <w:color w:val="auto"/>
                <w:w w:val="90"/>
              </w:rPr>
              <w:t>(198,561)</w:t>
            </w:r>
          </w:p>
        </w:tc>
        <w:tc>
          <w:tcPr>
            <w:tcW w:w="22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98"/>
              </w:rPr>
              <w:t>110,405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center"/>
              <w:ind w:right="114"/>
              <w:spacing w:after="0"/>
              <w:rPr>
                <w:sz w:val="20"/>
                <w:szCs w:val="20"/>
                <w:color w:val="auto"/>
              </w:rPr>
            </w:pPr>
            <w:r>
              <w:rPr>
                <w:rFonts w:ascii="Arial" w:cs="Arial" w:eastAsia="Arial" w:hAnsi="Arial"/>
                <w:sz w:val="18"/>
                <w:szCs w:val="18"/>
                <w:color w:val="auto"/>
                <w:w w:val="99"/>
              </w:rPr>
              <w:t>17</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SEPTEMBER 30, 2007</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Consolidating Statement of Operations</w:t>
      </w:r>
    </w:p>
    <w:p>
      <w:pPr>
        <w:jc w:val="center"/>
        <w:spacing w:after="0"/>
        <w:rPr>
          <w:sz w:val="20"/>
          <w:szCs w:val="20"/>
          <w:color w:val="auto"/>
        </w:rPr>
      </w:pPr>
      <w:r>
        <w:rPr>
          <w:rFonts w:ascii="Arial" w:cs="Arial" w:eastAsia="Arial" w:hAnsi="Arial"/>
          <w:sz w:val="22"/>
          <w:szCs w:val="22"/>
          <w:b w:val="1"/>
          <w:bCs w:val="1"/>
          <w:color w:val="auto"/>
        </w:rPr>
        <w:t>For the Three Months Ended September 30, 2007</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Elimination</w:t>
            </w: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20" w:type="dxa"/>
            <w:vAlign w:val="bottom"/>
            <w:gridSpan w:val="2"/>
          </w:tcPr>
          <w:p>
            <w:pPr>
              <w:jc w:val="right"/>
              <w:ind w:right="132"/>
              <w:spacing w:after="0" w:line="149" w:lineRule="exact"/>
              <w:rPr>
                <w:sz w:val="20"/>
                <w:szCs w:val="20"/>
                <w:color w:val="auto"/>
              </w:rPr>
            </w:pPr>
            <w:r>
              <w:rPr>
                <w:rFonts w:ascii="Arial" w:cs="Arial" w:eastAsia="Arial" w:hAnsi="Arial"/>
                <w:sz w:val="14"/>
                <w:szCs w:val="14"/>
                <w:b w:val="1"/>
                <w:bCs w:val="1"/>
                <w:color w:val="auto"/>
              </w:rPr>
              <w:t>Combined</w:t>
            </w:r>
          </w:p>
        </w:tc>
        <w:tc>
          <w:tcPr>
            <w:tcW w:w="9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Non-</w:t>
            </w:r>
          </w:p>
        </w:tc>
        <w:tc>
          <w:tcPr>
            <w:tcW w:w="400" w:type="dxa"/>
            <w:vAlign w:val="bottom"/>
          </w:tcPr>
          <w:p>
            <w:pPr>
              <w:spacing w:after="0"/>
              <w:rPr>
                <w:sz w:val="12"/>
                <w:szCs w:val="12"/>
                <w:color w:val="auto"/>
              </w:rPr>
            </w:pPr>
          </w:p>
        </w:tc>
        <w:tc>
          <w:tcPr>
            <w:tcW w:w="840" w:type="dxa"/>
            <w:vAlign w:val="bottom"/>
          </w:tcPr>
          <w:p>
            <w:pPr>
              <w:jc w:val="center"/>
              <w:ind w:right="334"/>
              <w:spacing w:after="0" w:line="149" w:lineRule="exact"/>
              <w:rPr>
                <w:sz w:val="20"/>
                <w:szCs w:val="20"/>
                <w:color w:val="auto"/>
              </w:rPr>
            </w:pPr>
            <w:r>
              <w:rPr>
                <w:rFonts w:ascii="Arial" w:cs="Arial" w:eastAsia="Arial" w:hAnsi="Arial"/>
                <w:sz w:val="14"/>
                <w:szCs w:val="14"/>
                <w:b w:val="1"/>
                <w:bCs w:val="1"/>
                <w:color w:val="auto"/>
                <w:w w:val="88"/>
              </w:rPr>
              <w:t>and</w:t>
            </w:r>
          </w:p>
        </w:tc>
        <w:tc>
          <w:tcPr>
            <w:tcW w:w="102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w w:val="92"/>
              </w:rPr>
              <w:t>Consolidated</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040" w:type="dxa"/>
            <w:vAlign w:val="bottom"/>
          </w:tcPr>
          <w:p>
            <w:pPr>
              <w:jc w:val="right"/>
              <w:ind w:right="116"/>
              <w:spacing w:after="0" w:line="149" w:lineRule="exact"/>
              <w:rPr>
                <w:sz w:val="20"/>
                <w:szCs w:val="20"/>
                <w:color w:val="auto"/>
              </w:rPr>
            </w:pPr>
            <w:r>
              <w:rPr>
                <w:rFonts w:ascii="Arial" w:cs="Arial" w:eastAsia="Arial" w:hAnsi="Arial"/>
                <w:sz w:val="14"/>
                <w:szCs w:val="14"/>
                <w:b w:val="1"/>
                <w:bCs w:val="1"/>
                <w:color w:val="auto"/>
              </w:rPr>
              <w:t>Comcast</w:t>
            </w:r>
          </w:p>
        </w:tc>
        <w:tc>
          <w:tcPr>
            <w:tcW w:w="780" w:type="dxa"/>
            <w:vAlign w:val="bottom"/>
          </w:tcPr>
          <w:p>
            <w:pPr>
              <w:jc w:val="right"/>
              <w:ind w:right="116"/>
              <w:spacing w:after="0" w:line="149" w:lineRule="exact"/>
              <w:rPr>
                <w:sz w:val="20"/>
                <w:szCs w:val="20"/>
                <w:color w:val="auto"/>
              </w:rPr>
            </w:pPr>
            <w:r>
              <w:rPr>
                <w:rFonts w:ascii="Arial" w:cs="Arial" w:eastAsia="Arial" w:hAnsi="Arial"/>
                <w:sz w:val="14"/>
                <w:szCs w:val="14"/>
                <w:b w:val="1"/>
                <w:bCs w:val="1"/>
                <w:color w:val="auto"/>
              </w:rPr>
              <w:t>CCCL</w:t>
            </w:r>
          </w:p>
        </w:tc>
        <w:tc>
          <w:tcPr>
            <w:tcW w:w="820" w:type="dxa"/>
            <w:vAlign w:val="bottom"/>
          </w:tcPr>
          <w:p>
            <w:pPr>
              <w:jc w:val="right"/>
              <w:ind w:right="116"/>
              <w:spacing w:after="0" w:line="149" w:lineRule="exact"/>
              <w:rPr>
                <w:sz w:val="20"/>
                <w:szCs w:val="20"/>
                <w:color w:val="auto"/>
              </w:rPr>
            </w:pPr>
            <w:r>
              <w:rPr>
                <w:rFonts w:ascii="Arial" w:cs="Arial" w:eastAsia="Arial" w:hAnsi="Arial"/>
                <w:sz w:val="14"/>
                <w:szCs w:val="14"/>
                <w:b w:val="1"/>
                <w:bCs w:val="1"/>
                <w:color w:val="auto"/>
              </w:rPr>
              <w:t>CCCH</w:t>
            </w:r>
          </w:p>
        </w:tc>
        <w:tc>
          <w:tcPr>
            <w:tcW w:w="1020" w:type="dxa"/>
            <w:vAlign w:val="bottom"/>
            <w:gridSpan w:val="2"/>
          </w:tcPr>
          <w:p>
            <w:pPr>
              <w:jc w:val="right"/>
              <w:ind w:right="152"/>
              <w:spacing w:after="0" w:line="149" w:lineRule="exact"/>
              <w:rPr>
                <w:sz w:val="20"/>
                <w:szCs w:val="20"/>
                <w:color w:val="auto"/>
              </w:rPr>
            </w:pPr>
            <w:r>
              <w:rPr>
                <w:rFonts w:ascii="Arial" w:cs="Arial" w:eastAsia="Arial" w:hAnsi="Arial"/>
                <w:sz w:val="14"/>
                <w:szCs w:val="14"/>
                <w:b w:val="1"/>
                <w:bCs w:val="1"/>
                <w:color w:val="auto"/>
              </w:rPr>
              <w:t>CCHMO</w:t>
            </w:r>
          </w:p>
        </w:tc>
        <w:tc>
          <w:tcPr>
            <w:tcW w:w="920" w:type="dxa"/>
            <w:vAlign w:val="bottom"/>
          </w:tcPr>
          <w:p>
            <w:pPr>
              <w:jc w:val="right"/>
              <w:ind w:right="136"/>
              <w:spacing w:after="0" w:line="149" w:lineRule="exact"/>
              <w:rPr>
                <w:sz w:val="20"/>
                <w:szCs w:val="20"/>
                <w:color w:val="auto"/>
              </w:rPr>
            </w:pPr>
            <w:r>
              <w:rPr>
                <w:rFonts w:ascii="Arial" w:cs="Arial" w:eastAsia="Arial" w:hAnsi="Arial"/>
                <w:sz w:val="14"/>
                <w:szCs w:val="14"/>
                <w:b w:val="1"/>
                <w:bCs w:val="1"/>
                <w:color w:val="auto"/>
              </w:rPr>
              <w:t>Comcast</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Guarantor</w:t>
            </w: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Consolidation</w:t>
            </w:r>
          </w:p>
        </w:tc>
        <w:tc>
          <w:tcPr>
            <w:tcW w:w="300" w:type="dxa"/>
            <w:vAlign w:val="bottom"/>
          </w:tcPr>
          <w:p>
            <w:pPr>
              <w:spacing w:after="0"/>
              <w:rPr>
                <w:sz w:val="12"/>
                <w:szCs w:val="12"/>
                <w:color w:val="auto"/>
              </w:rPr>
            </w:pPr>
          </w:p>
        </w:tc>
        <w:tc>
          <w:tcPr>
            <w:tcW w:w="720" w:type="dxa"/>
            <w:vAlign w:val="bottom"/>
          </w:tcPr>
          <w:p>
            <w:pPr>
              <w:jc w:val="right"/>
              <w:ind w:right="114"/>
              <w:spacing w:after="0" w:line="149" w:lineRule="exact"/>
              <w:rPr>
                <w:sz w:val="20"/>
                <w:szCs w:val="20"/>
                <w:color w:val="auto"/>
              </w:rPr>
            </w:pPr>
            <w:r>
              <w:rPr>
                <w:rFonts w:ascii="Arial" w:cs="Arial" w:eastAsia="Arial" w:hAnsi="Arial"/>
                <w:sz w:val="14"/>
                <w:szCs w:val="14"/>
                <w:b w:val="1"/>
                <w:bCs w:val="1"/>
                <w:color w:val="auto"/>
                <w:w w:val="84"/>
              </w:rPr>
              <w:t>Comcast</w:t>
            </w:r>
          </w:p>
        </w:tc>
      </w:tr>
      <w:tr>
        <w:trPr>
          <w:trHeight w:val="161"/>
        </w:trPr>
        <w:tc>
          <w:tcPr>
            <w:tcW w:w="34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040" w:type="dxa"/>
            <w:vAlign w:val="bottom"/>
          </w:tcPr>
          <w:p>
            <w:pPr>
              <w:jc w:val="right"/>
              <w:ind w:right="176"/>
              <w:spacing w:after="0"/>
              <w:rPr>
                <w:sz w:val="20"/>
                <w:szCs w:val="20"/>
                <w:color w:val="auto"/>
              </w:rPr>
            </w:pPr>
            <w:r>
              <w:rPr>
                <w:rFonts w:ascii="Arial" w:cs="Arial" w:eastAsia="Arial" w:hAnsi="Arial"/>
                <w:sz w:val="14"/>
                <w:szCs w:val="14"/>
                <w:b w:val="1"/>
                <w:bCs w:val="1"/>
                <w:color w:val="auto"/>
              </w:rPr>
              <w:t>Parent</w:t>
            </w:r>
          </w:p>
        </w:tc>
        <w:tc>
          <w:tcPr>
            <w:tcW w:w="780" w:type="dxa"/>
            <w:vAlign w:val="bottom"/>
          </w:tcPr>
          <w:p>
            <w:pPr>
              <w:jc w:val="right"/>
              <w:ind w:right="116"/>
              <w:spacing w:after="0"/>
              <w:rPr>
                <w:sz w:val="20"/>
                <w:szCs w:val="20"/>
                <w:color w:val="auto"/>
              </w:rPr>
            </w:pPr>
            <w:r>
              <w:rPr>
                <w:rFonts w:ascii="Arial" w:cs="Arial" w:eastAsia="Arial" w:hAnsi="Arial"/>
                <w:sz w:val="14"/>
                <w:szCs w:val="14"/>
                <w:b w:val="1"/>
                <w:bCs w:val="1"/>
                <w:color w:val="auto"/>
              </w:rPr>
              <w:t>Parent</w:t>
            </w:r>
          </w:p>
        </w:tc>
        <w:tc>
          <w:tcPr>
            <w:tcW w:w="820" w:type="dxa"/>
            <w:vAlign w:val="bottom"/>
          </w:tcPr>
          <w:p>
            <w:pPr>
              <w:jc w:val="right"/>
              <w:ind w:right="136"/>
              <w:spacing w:after="0"/>
              <w:rPr>
                <w:sz w:val="20"/>
                <w:szCs w:val="20"/>
                <w:color w:val="auto"/>
              </w:rPr>
            </w:pPr>
            <w:r>
              <w:rPr>
                <w:rFonts w:ascii="Arial" w:cs="Arial" w:eastAsia="Arial" w:hAnsi="Arial"/>
                <w:sz w:val="14"/>
                <w:szCs w:val="14"/>
                <w:b w:val="1"/>
                <w:bCs w:val="1"/>
                <w:color w:val="auto"/>
              </w:rPr>
              <w:t>Parent</w:t>
            </w:r>
          </w:p>
        </w:tc>
        <w:tc>
          <w:tcPr>
            <w:tcW w:w="102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Parents</w:t>
            </w:r>
          </w:p>
        </w:tc>
        <w:tc>
          <w:tcPr>
            <w:tcW w:w="920" w:type="dxa"/>
            <w:vAlign w:val="bottom"/>
          </w:tcPr>
          <w:p>
            <w:pPr>
              <w:jc w:val="right"/>
              <w:ind w:right="116"/>
              <w:spacing w:after="0"/>
              <w:rPr>
                <w:sz w:val="20"/>
                <w:szCs w:val="20"/>
                <w:color w:val="auto"/>
              </w:rPr>
            </w:pPr>
            <w:r>
              <w:rPr>
                <w:rFonts w:ascii="Arial" w:cs="Arial" w:eastAsia="Arial" w:hAnsi="Arial"/>
                <w:sz w:val="14"/>
                <w:szCs w:val="14"/>
                <w:b w:val="1"/>
                <w:bCs w:val="1"/>
                <w:color w:val="auto"/>
              </w:rPr>
              <w:t>Holdings</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4"/>
              </w:rPr>
              <w:t>Subsidiaries</w:t>
            </w: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Adjustments</w:t>
            </w:r>
          </w:p>
        </w:tc>
        <w:tc>
          <w:tcPr>
            <w:tcW w:w="1020" w:type="dxa"/>
            <w:vAlign w:val="bottom"/>
            <w:gridSpan w:val="2"/>
          </w:tcPr>
          <w:p>
            <w:pPr>
              <w:ind w:left="200"/>
              <w:spacing w:after="0"/>
              <w:rPr>
                <w:sz w:val="20"/>
                <w:szCs w:val="20"/>
                <w:color w:val="auto"/>
              </w:rPr>
            </w:pPr>
            <w:r>
              <w:rPr>
                <w:rFonts w:ascii="Arial" w:cs="Arial" w:eastAsia="Arial" w:hAnsi="Arial"/>
                <w:sz w:val="14"/>
                <w:szCs w:val="14"/>
                <w:b w:val="1"/>
                <w:bCs w:val="1"/>
                <w:color w:val="auto"/>
                <w:w w:val="99"/>
              </w:rPr>
              <w:t>Corporation</w:t>
            </w:r>
          </w:p>
        </w:tc>
      </w:tr>
      <w:tr>
        <w:trPr>
          <w:trHeight w:val="210"/>
        </w:trPr>
        <w:tc>
          <w:tcPr>
            <w:tcW w:w="20" w:type="dxa"/>
            <w:vAlign w:val="bottom"/>
          </w:tcPr>
          <w:p>
            <w:pPr>
              <w:spacing w:after="0"/>
              <w:rPr>
                <w:sz w:val="18"/>
                <w:szCs w:val="18"/>
                <w:color w:val="auto"/>
              </w:rPr>
            </w:pPr>
          </w:p>
        </w:tc>
        <w:tc>
          <w:tcPr>
            <w:tcW w:w="34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Revenues</w:t>
            </w:r>
          </w:p>
        </w:tc>
        <w:tc>
          <w:tcPr>
            <w:tcW w:w="1040" w:type="dxa"/>
            <w:vAlign w:val="bottom"/>
            <w:tcBorders>
              <w:top w:val="single" w:sz="8" w:color="auto"/>
            </w:tcBorders>
            <w:shd w:val="clear" w:color="auto" w:fill="E5E5E5"/>
          </w:tcPr>
          <w:p>
            <w:pPr>
              <w:spacing w:after="0"/>
              <w:rPr>
                <w:sz w:val="18"/>
                <w:szCs w:val="18"/>
                <w:color w:val="auto"/>
              </w:rPr>
            </w:pPr>
          </w:p>
        </w:tc>
        <w:tc>
          <w:tcPr>
            <w:tcW w:w="780" w:type="dxa"/>
            <w:vAlign w:val="bottom"/>
            <w:tcBorders>
              <w:top w:val="single" w:sz="8" w:color="auto"/>
            </w:tcBorders>
            <w:shd w:val="clear" w:color="auto" w:fill="E5E5E5"/>
          </w:tcPr>
          <w:p>
            <w:pPr>
              <w:spacing w:after="0"/>
              <w:rPr>
                <w:sz w:val="18"/>
                <w:szCs w:val="18"/>
                <w:color w:val="auto"/>
              </w:rPr>
            </w:pPr>
          </w:p>
        </w:tc>
        <w:tc>
          <w:tcPr>
            <w:tcW w:w="820" w:type="dxa"/>
            <w:vAlign w:val="bottom"/>
            <w:tcBorders>
              <w:top w:val="single" w:sz="8" w:color="auto"/>
            </w:tcBorders>
            <w:shd w:val="clear" w:color="auto" w:fill="E5E5E5"/>
          </w:tcPr>
          <w:p>
            <w:pPr>
              <w:spacing w:after="0"/>
              <w:rPr>
                <w:sz w:val="18"/>
                <w:szCs w:val="18"/>
                <w:color w:val="auto"/>
              </w:rPr>
            </w:pPr>
          </w:p>
        </w:tc>
        <w:tc>
          <w:tcPr>
            <w:tcW w:w="460" w:type="dxa"/>
            <w:vAlign w:val="bottom"/>
            <w:tcBorders>
              <w:top w:val="single" w:sz="8" w:color="auto"/>
            </w:tcBorders>
            <w:shd w:val="clear" w:color="auto" w:fill="E5E5E5"/>
          </w:tcPr>
          <w:p>
            <w:pPr>
              <w:spacing w:after="0"/>
              <w:rPr>
                <w:sz w:val="18"/>
                <w:szCs w:val="18"/>
                <w:color w:val="auto"/>
              </w:rPr>
            </w:pPr>
          </w:p>
        </w:tc>
        <w:tc>
          <w:tcPr>
            <w:tcW w:w="560" w:type="dxa"/>
            <w:vAlign w:val="bottom"/>
            <w:tcBorders>
              <w:top w:val="single" w:sz="8" w:color="auto"/>
            </w:tcBorders>
            <w:shd w:val="clear" w:color="auto" w:fill="E5E5E5"/>
          </w:tcPr>
          <w:p>
            <w:pPr>
              <w:spacing w:after="0"/>
              <w:rPr>
                <w:sz w:val="18"/>
                <w:szCs w:val="18"/>
                <w:color w:val="auto"/>
              </w:rPr>
            </w:pPr>
          </w:p>
        </w:tc>
        <w:tc>
          <w:tcPr>
            <w:tcW w:w="920" w:type="dxa"/>
            <w:vAlign w:val="bottom"/>
            <w:tcBorders>
              <w:top w:val="single" w:sz="8" w:color="auto"/>
            </w:tcBorders>
            <w:shd w:val="clear" w:color="auto" w:fill="E5E5E5"/>
          </w:tcPr>
          <w:p>
            <w:pPr>
              <w:spacing w:after="0"/>
              <w:rPr>
                <w:sz w:val="18"/>
                <w:szCs w:val="18"/>
                <w:color w:val="auto"/>
              </w:rPr>
            </w:pPr>
          </w:p>
        </w:tc>
        <w:tc>
          <w:tcPr>
            <w:tcW w:w="1120" w:type="dxa"/>
            <w:vAlign w:val="bottom"/>
            <w:tcBorders>
              <w:top w:val="single" w:sz="8" w:color="auto"/>
            </w:tcBorders>
            <w:shd w:val="clear" w:color="auto" w:fill="E5E5E5"/>
          </w:tcPr>
          <w:p>
            <w:pPr>
              <w:spacing w:after="0"/>
              <w:rPr>
                <w:sz w:val="18"/>
                <w:szCs w:val="18"/>
                <w:color w:val="auto"/>
              </w:rPr>
            </w:pPr>
          </w:p>
        </w:tc>
        <w:tc>
          <w:tcPr>
            <w:tcW w:w="400" w:type="dxa"/>
            <w:vAlign w:val="bottom"/>
            <w:tcBorders>
              <w:top w:val="single" w:sz="8" w:color="auto"/>
            </w:tcBorders>
            <w:shd w:val="clear" w:color="auto" w:fill="E5E5E5"/>
          </w:tcPr>
          <w:p>
            <w:pPr>
              <w:spacing w:after="0"/>
              <w:rPr>
                <w:sz w:val="18"/>
                <w:szCs w:val="18"/>
                <w:color w:val="auto"/>
              </w:rPr>
            </w:pPr>
          </w:p>
        </w:tc>
        <w:tc>
          <w:tcPr>
            <w:tcW w:w="840" w:type="dxa"/>
            <w:vAlign w:val="bottom"/>
            <w:tcBorders>
              <w:top w:val="single" w:sz="8" w:color="auto"/>
            </w:tcBorders>
            <w:shd w:val="clear" w:color="auto" w:fill="E5E5E5"/>
          </w:tcPr>
          <w:p>
            <w:pPr>
              <w:spacing w:after="0"/>
              <w:rPr>
                <w:sz w:val="18"/>
                <w:szCs w:val="18"/>
                <w:color w:val="auto"/>
              </w:rPr>
            </w:pPr>
          </w:p>
        </w:tc>
        <w:tc>
          <w:tcPr>
            <w:tcW w:w="30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200"/>
              <w:spacing w:after="0"/>
              <w:rPr>
                <w:sz w:val="20"/>
                <w:szCs w:val="20"/>
                <w:color w:val="auto"/>
              </w:rPr>
            </w:pPr>
            <w:r>
              <w:rPr>
                <w:rFonts w:ascii="Arial" w:cs="Arial" w:eastAsia="Arial" w:hAnsi="Arial"/>
                <w:sz w:val="18"/>
                <w:szCs w:val="18"/>
                <w:color w:val="auto"/>
              </w:rPr>
              <w:t>Service revenues</w:t>
            </w:r>
          </w:p>
        </w:tc>
        <w:tc>
          <w:tcPr>
            <w:tcW w:w="1040" w:type="dxa"/>
            <w:vAlign w:val="bottom"/>
          </w:tcPr>
          <w:p>
            <w:pPr>
              <w:jc w:val="right"/>
              <w:ind w:right="116"/>
              <w:spacing w:after="0"/>
              <w:rPr>
                <w:sz w:val="20"/>
                <w:szCs w:val="20"/>
                <w:color w:val="auto"/>
              </w:rPr>
            </w:pPr>
            <w:r>
              <w:rPr>
                <w:rFonts w:ascii="Arial" w:cs="Arial" w:eastAsia="Arial" w:hAnsi="Arial"/>
                <w:sz w:val="18"/>
                <w:szCs w:val="18"/>
                <w:color w:val="auto"/>
              </w:rPr>
              <w:t>$   —</w:t>
            </w:r>
          </w:p>
        </w:tc>
        <w:tc>
          <w:tcPr>
            <w:tcW w:w="780" w:type="dxa"/>
            <w:vAlign w:val="bottom"/>
          </w:tcPr>
          <w:p>
            <w:pPr>
              <w:jc w:val="right"/>
              <w:ind w:right="116"/>
              <w:spacing w:after="0"/>
              <w:rPr>
                <w:sz w:val="20"/>
                <w:szCs w:val="20"/>
                <w:color w:val="auto"/>
              </w:rPr>
            </w:pPr>
            <w:r>
              <w:rPr>
                <w:rFonts w:ascii="Arial" w:cs="Arial" w:eastAsia="Arial" w:hAnsi="Arial"/>
                <w:sz w:val="18"/>
                <w:szCs w:val="18"/>
                <w:color w:val="auto"/>
              </w:rPr>
              <w:t>$  —</w:t>
            </w:r>
          </w:p>
        </w:tc>
        <w:tc>
          <w:tcPr>
            <w:tcW w:w="820" w:type="dxa"/>
            <w:vAlign w:val="bottom"/>
          </w:tcPr>
          <w:p>
            <w:pPr>
              <w:jc w:val="right"/>
              <w:ind w:right="116"/>
              <w:spacing w:after="0"/>
              <w:rPr>
                <w:sz w:val="20"/>
                <w:szCs w:val="20"/>
                <w:color w:val="auto"/>
              </w:rPr>
            </w:pPr>
            <w:r>
              <w:rPr>
                <w:rFonts w:ascii="Arial" w:cs="Arial" w:eastAsia="Arial" w:hAnsi="Arial"/>
                <w:sz w:val="18"/>
                <w:szCs w:val="18"/>
                <w:color w:val="auto"/>
              </w:rPr>
              <w:t>$  —</w:t>
            </w:r>
          </w:p>
        </w:tc>
        <w:tc>
          <w:tcPr>
            <w:tcW w:w="460" w:type="dxa"/>
            <w:vAlign w:val="bottom"/>
          </w:tcPr>
          <w:p>
            <w:pPr>
              <w:jc w:val="right"/>
              <w:ind w:right="107"/>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6"/>
              <w:spacing w:after="0"/>
              <w:rPr>
                <w:sz w:val="20"/>
                <w:szCs w:val="20"/>
                <w:color w:val="auto"/>
              </w:rPr>
            </w:pPr>
            <w:r>
              <w:rPr>
                <w:rFonts w:ascii="Arial" w:cs="Arial" w:eastAsia="Arial" w:hAnsi="Arial"/>
                <w:sz w:val="18"/>
                <w:szCs w:val="18"/>
                <w:color w:val="auto"/>
              </w:rPr>
              <w:t>$   —</w:t>
            </w:r>
          </w:p>
        </w:tc>
        <w:tc>
          <w:tcPr>
            <w:tcW w:w="1120" w:type="dxa"/>
            <w:vAlign w:val="bottom"/>
          </w:tcPr>
          <w:p>
            <w:pPr>
              <w:jc w:val="right"/>
              <w:ind w:right="118"/>
              <w:spacing w:after="0"/>
              <w:rPr>
                <w:sz w:val="20"/>
                <w:szCs w:val="20"/>
                <w:color w:val="auto"/>
              </w:rPr>
            </w:pPr>
            <w:r>
              <w:rPr>
                <w:rFonts w:ascii="Arial" w:cs="Arial" w:eastAsia="Arial" w:hAnsi="Arial"/>
                <w:sz w:val="18"/>
                <w:szCs w:val="18"/>
                <w:color w:val="auto"/>
              </w:rPr>
              <w:t>$   7,781</w:t>
            </w:r>
          </w:p>
        </w:tc>
        <w:tc>
          <w:tcPr>
            <w:tcW w:w="400" w:type="dxa"/>
            <w:vAlign w:val="bottom"/>
          </w:tcPr>
          <w:p>
            <w:pPr>
              <w:jc w:val="right"/>
              <w:ind w:right="27"/>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300" w:type="dxa"/>
            <w:vAlign w:val="bottom"/>
          </w:tcPr>
          <w:p>
            <w:pPr>
              <w:ind w:left="18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7,781</w:t>
            </w:r>
          </w:p>
        </w:tc>
      </w:tr>
      <w:tr>
        <w:trPr>
          <w:trHeight w:val="216"/>
        </w:trPr>
        <w:tc>
          <w:tcPr>
            <w:tcW w:w="20" w:type="dxa"/>
            <w:vAlign w:val="bottom"/>
          </w:tcPr>
          <w:p>
            <w:pPr>
              <w:spacing w:after="0"/>
              <w:rPr>
                <w:sz w:val="18"/>
                <w:szCs w:val="18"/>
                <w:color w:val="auto"/>
              </w:rPr>
            </w:pPr>
          </w:p>
        </w:tc>
        <w:tc>
          <w:tcPr>
            <w:tcW w:w="344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Management fee revenue</w:t>
            </w:r>
          </w:p>
        </w:tc>
        <w:tc>
          <w:tcPr>
            <w:tcW w:w="1040" w:type="dxa"/>
            <w:vAlign w:val="bottom"/>
            <w:tcBorders>
              <w:bottom w:val="single" w:sz="8" w:color="auto"/>
            </w:tcBorders>
            <w:shd w:val="clear" w:color="auto" w:fill="E5E5E5"/>
          </w:tcPr>
          <w:p>
            <w:pPr>
              <w:jc w:val="right"/>
              <w:ind w:right="116"/>
              <w:spacing w:after="0"/>
              <w:rPr>
                <w:sz w:val="20"/>
                <w:szCs w:val="20"/>
                <w:color w:val="auto"/>
              </w:rPr>
            </w:pPr>
            <w:r>
              <w:rPr>
                <w:rFonts w:ascii="Arial" w:cs="Arial" w:eastAsia="Arial" w:hAnsi="Arial"/>
                <w:sz w:val="18"/>
                <w:szCs w:val="18"/>
                <w:color w:val="auto"/>
              </w:rPr>
              <w:t>159</w:t>
            </w:r>
          </w:p>
        </w:tc>
        <w:tc>
          <w:tcPr>
            <w:tcW w:w="780" w:type="dxa"/>
            <w:vAlign w:val="bottom"/>
            <w:tcBorders>
              <w:bottom w:val="single" w:sz="8" w:color="auto"/>
            </w:tcBorders>
            <w:shd w:val="clear" w:color="auto" w:fill="E5E5E5"/>
          </w:tcPr>
          <w:p>
            <w:pPr>
              <w:jc w:val="right"/>
              <w:ind w:right="116"/>
              <w:spacing w:after="0"/>
              <w:rPr>
                <w:sz w:val="20"/>
                <w:szCs w:val="20"/>
                <w:color w:val="auto"/>
              </w:rPr>
            </w:pPr>
            <w:r>
              <w:rPr>
                <w:rFonts w:ascii="Arial" w:cs="Arial" w:eastAsia="Arial" w:hAnsi="Arial"/>
                <w:sz w:val="18"/>
                <w:szCs w:val="18"/>
                <w:color w:val="auto"/>
              </w:rPr>
              <w:t>55</w:t>
            </w:r>
          </w:p>
        </w:tc>
        <w:tc>
          <w:tcPr>
            <w:tcW w:w="820" w:type="dxa"/>
            <w:vAlign w:val="bottom"/>
            <w:tcBorders>
              <w:bottom w:val="single" w:sz="8" w:color="auto"/>
            </w:tcBorders>
            <w:shd w:val="clear" w:color="auto" w:fill="E5E5E5"/>
          </w:tcPr>
          <w:p>
            <w:pPr>
              <w:jc w:val="right"/>
              <w:ind w:right="116"/>
              <w:spacing w:after="0"/>
              <w:rPr>
                <w:sz w:val="20"/>
                <w:szCs w:val="20"/>
                <w:color w:val="auto"/>
              </w:rPr>
            </w:pPr>
            <w:r>
              <w:rPr>
                <w:rFonts w:ascii="Arial" w:cs="Arial" w:eastAsia="Arial" w:hAnsi="Arial"/>
                <w:sz w:val="18"/>
                <w:szCs w:val="18"/>
                <w:color w:val="auto"/>
              </w:rPr>
              <w:t>85</w:t>
            </w:r>
          </w:p>
        </w:tc>
        <w:tc>
          <w:tcPr>
            <w:tcW w:w="46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85</w:t>
            </w:r>
          </w:p>
        </w:tc>
        <w:tc>
          <w:tcPr>
            <w:tcW w:w="920" w:type="dxa"/>
            <w:vAlign w:val="bottom"/>
            <w:tcBorders>
              <w:bottom w:val="single" w:sz="8" w:color="auto"/>
            </w:tcBorders>
            <w:shd w:val="clear" w:color="auto" w:fill="E5E5E5"/>
          </w:tcPr>
          <w:p>
            <w:pPr>
              <w:jc w:val="right"/>
              <w:ind w:right="116"/>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E5E5E5"/>
          </w:tcPr>
          <w:p>
            <w:pPr>
              <w:jc w:val="right"/>
              <w:ind w:right="118"/>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74"/>
              <w:spacing w:after="0"/>
              <w:rPr>
                <w:sz w:val="20"/>
                <w:szCs w:val="20"/>
                <w:color w:val="auto"/>
              </w:rPr>
            </w:pPr>
            <w:r>
              <w:rPr>
                <w:rFonts w:ascii="Arial" w:cs="Arial" w:eastAsia="Arial" w:hAnsi="Arial"/>
                <w:sz w:val="18"/>
                <w:szCs w:val="18"/>
                <w:color w:val="auto"/>
              </w:rPr>
              <w:t>(384)</w:t>
            </w:r>
          </w:p>
        </w:tc>
        <w:tc>
          <w:tcPr>
            <w:tcW w:w="3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4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159</w:t>
            </w:r>
          </w:p>
        </w:tc>
        <w:tc>
          <w:tcPr>
            <w:tcW w:w="78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55</w:t>
            </w:r>
          </w:p>
        </w:tc>
        <w:tc>
          <w:tcPr>
            <w:tcW w:w="82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85</w:t>
            </w:r>
          </w:p>
        </w:tc>
        <w:tc>
          <w:tcPr>
            <w:tcW w:w="4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85</w:t>
            </w:r>
          </w:p>
        </w:tc>
        <w:tc>
          <w:tcPr>
            <w:tcW w:w="92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18"/>
              <w:spacing w:after="0"/>
              <w:rPr>
                <w:sz w:val="20"/>
                <w:szCs w:val="20"/>
                <w:color w:val="auto"/>
              </w:rPr>
            </w:pPr>
            <w:r>
              <w:rPr>
                <w:rFonts w:ascii="Arial" w:cs="Arial" w:eastAsia="Arial" w:hAnsi="Arial"/>
                <w:sz w:val="18"/>
                <w:szCs w:val="18"/>
                <w:color w:val="auto"/>
              </w:rPr>
              <w:t>7,781</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(384)</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7,781</w:t>
            </w:r>
          </w:p>
        </w:tc>
      </w:tr>
      <w:tr>
        <w:trPr>
          <w:trHeight w:val="210"/>
        </w:trPr>
        <w:tc>
          <w:tcPr>
            <w:tcW w:w="20" w:type="dxa"/>
            <w:vAlign w:val="bottom"/>
          </w:tcPr>
          <w:p>
            <w:pPr>
              <w:spacing w:after="0"/>
              <w:rPr>
                <w:sz w:val="18"/>
                <w:szCs w:val="18"/>
                <w:color w:val="auto"/>
              </w:rPr>
            </w:pPr>
          </w:p>
        </w:tc>
        <w:tc>
          <w:tcPr>
            <w:tcW w:w="34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Costs and Expenses</w:t>
            </w:r>
          </w:p>
        </w:tc>
        <w:tc>
          <w:tcPr>
            <w:tcW w:w="104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112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200"/>
              <w:spacing w:after="0"/>
              <w:rPr>
                <w:sz w:val="20"/>
                <w:szCs w:val="20"/>
                <w:color w:val="auto"/>
              </w:rPr>
            </w:pPr>
            <w:r>
              <w:rPr>
                <w:rFonts w:ascii="Arial" w:cs="Arial" w:eastAsia="Arial" w:hAnsi="Arial"/>
                <w:sz w:val="18"/>
                <w:szCs w:val="18"/>
                <w:color w:val="auto"/>
              </w:rPr>
              <w:t>Operating (excluding depreciation)</w:t>
            </w:r>
          </w:p>
        </w:tc>
        <w:tc>
          <w:tcPr>
            <w:tcW w:w="104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5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8"/>
              <w:spacing w:after="0"/>
              <w:rPr>
                <w:sz w:val="20"/>
                <w:szCs w:val="20"/>
                <w:color w:val="auto"/>
              </w:rPr>
            </w:pPr>
            <w:r>
              <w:rPr>
                <w:rFonts w:ascii="Arial" w:cs="Arial" w:eastAsia="Arial" w:hAnsi="Arial"/>
                <w:sz w:val="18"/>
                <w:szCs w:val="18"/>
                <w:color w:val="auto"/>
              </w:rPr>
              <w:t>2,759</w:t>
            </w:r>
          </w:p>
        </w:tc>
        <w:tc>
          <w:tcPr>
            <w:tcW w:w="400" w:type="dxa"/>
            <w:vAlign w:val="bottom"/>
          </w:tcPr>
          <w:p>
            <w:pPr>
              <w:spacing w:after="0"/>
              <w:rPr>
                <w:sz w:val="18"/>
                <w:szCs w:val="18"/>
                <w:color w:val="auto"/>
              </w:rPr>
            </w:pPr>
          </w:p>
        </w:tc>
        <w:tc>
          <w:tcPr>
            <w:tcW w:w="84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2,759</w:t>
            </w:r>
          </w:p>
        </w:tc>
      </w:tr>
      <w:tr>
        <w:trPr>
          <w:trHeight w:val="216"/>
        </w:trPr>
        <w:tc>
          <w:tcPr>
            <w:tcW w:w="20" w:type="dxa"/>
            <w:vAlign w:val="bottom"/>
          </w:tcPr>
          <w:p>
            <w:pPr>
              <w:spacing w:after="0"/>
              <w:rPr>
                <w:sz w:val="18"/>
                <w:szCs w:val="18"/>
                <w:color w:val="auto"/>
              </w:rPr>
            </w:pPr>
          </w:p>
        </w:tc>
        <w:tc>
          <w:tcPr>
            <w:tcW w:w="34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Selling, general and administrative</w:t>
            </w:r>
          </w:p>
        </w:tc>
        <w:tc>
          <w:tcPr>
            <w:tcW w:w="1040" w:type="dxa"/>
            <w:vAlign w:val="bottom"/>
            <w:shd w:val="clear" w:color="auto" w:fill="E5E5E5"/>
          </w:tcPr>
          <w:p>
            <w:pPr>
              <w:jc w:val="right"/>
              <w:ind w:right="116"/>
              <w:spacing w:after="0"/>
              <w:rPr>
                <w:sz w:val="20"/>
                <w:szCs w:val="20"/>
                <w:color w:val="auto"/>
              </w:rPr>
            </w:pPr>
            <w:r>
              <w:rPr>
                <w:rFonts w:ascii="Arial" w:cs="Arial" w:eastAsia="Arial" w:hAnsi="Arial"/>
                <w:sz w:val="18"/>
                <w:szCs w:val="18"/>
                <w:color w:val="auto"/>
              </w:rPr>
              <w:t>67</w:t>
            </w:r>
          </w:p>
        </w:tc>
        <w:tc>
          <w:tcPr>
            <w:tcW w:w="780" w:type="dxa"/>
            <w:vAlign w:val="bottom"/>
            <w:shd w:val="clear" w:color="auto" w:fill="E5E5E5"/>
          </w:tcPr>
          <w:p>
            <w:pPr>
              <w:jc w:val="right"/>
              <w:ind w:right="116"/>
              <w:spacing w:after="0"/>
              <w:rPr>
                <w:sz w:val="20"/>
                <w:szCs w:val="20"/>
                <w:color w:val="auto"/>
              </w:rPr>
            </w:pPr>
            <w:r>
              <w:rPr>
                <w:rFonts w:ascii="Arial" w:cs="Arial" w:eastAsia="Arial" w:hAnsi="Arial"/>
                <w:sz w:val="18"/>
                <w:szCs w:val="18"/>
                <w:color w:val="auto"/>
              </w:rPr>
              <w:t>55</w:t>
            </w:r>
          </w:p>
        </w:tc>
        <w:tc>
          <w:tcPr>
            <w:tcW w:w="820" w:type="dxa"/>
            <w:vAlign w:val="bottom"/>
            <w:shd w:val="clear" w:color="auto" w:fill="E5E5E5"/>
          </w:tcPr>
          <w:p>
            <w:pPr>
              <w:jc w:val="right"/>
              <w:ind w:right="116"/>
              <w:spacing w:after="0"/>
              <w:rPr>
                <w:sz w:val="20"/>
                <w:szCs w:val="20"/>
                <w:color w:val="auto"/>
              </w:rPr>
            </w:pPr>
            <w:r>
              <w:rPr>
                <w:rFonts w:ascii="Arial" w:cs="Arial" w:eastAsia="Arial" w:hAnsi="Arial"/>
                <w:sz w:val="18"/>
                <w:szCs w:val="18"/>
                <w:color w:val="auto"/>
              </w:rPr>
              <w:t>85</w:t>
            </w:r>
          </w:p>
        </w:tc>
        <w:tc>
          <w:tcPr>
            <w:tcW w:w="46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85</w:t>
            </w:r>
          </w:p>
        </w:tc>
        <w:tc>
          <w:tcPr>
            <w:tcW w:w="920" w:type="dxa"/>
            <w:vAlign w:val="bottom"/>
            <w:shd w:val="clear" w:color="auto" w:fill="E5E5E5"/>
          </w:tcPr>
          <w:p>
            <w:pPr>
              <w:jc w:val="right"/>
              <w:ind w:right="116"/>
              <w:spacing w:after="0"/>
              <w:rPr>
                <w:sz w:val="20"/>
                <w:szCs w:val="20"/>
                <w:color w:val="auto"/>
              </w:rPr>
            </w:pPr>
            <w:r>
              <w:rPr>
                <w:rFonts w:ascii="Arial" w:cs="Arial" w:eastAsia="Arial" w:hAnsi="Arial"/>
                <w:sz w:val="18"/>
                <w:szCs w:val="18"/>
                <w:color w:val="auto"/>
              </w:rPr>
              <w:t>4</w:t>
            </w:r>
          </w:p>
        </w:tc>
        <w:tc>
          <w:tcPr>
            <w:tcW w:w="1120" w:type="dxa"/>
            <w:vAlign w:val="bottom"/>
            <w:shd w:val="clear" w:color="auto" w:fill="E5E5E5"/>
          </w:tcPr>
          <w:p>
            <w:pPr>
              <w:jc w:val="right"/>
              <w:ind w:right="118"/>
              <w:spacing w:after="0"/>
              <w:rPr>
                <w:sz w:val="20"/>
                <w:szCs w:val="20"/>
                <w:color w:val="auto"/>
              </w:rPr>
            </w:pPr>
            <w:r>
              <w:rPr>
                <w:rFonts w:ascii="Arial" w:cs="Arial" w:eastAsia="Arial" w:hAnsi="Arial"/>
                <w:sz w:val="18"/>
                <w:szCs w:val="18"/>
                <w:color w:val="auto"/>
              </w:rPr>
              <w:t>2,181</w:t>
            </w:r>
          </w:p>
        </w:tc>
        <w:tc>
          <w:tcPr>
            <w:tcW w:w="40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rPr>
              <w:t>(384)</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2,093</w:t>
            </w:r>
          </w:p>
        </w:tc>
      </w:tr>
      <w:tr>
        <w:trPr>
          <w:trHeight w:val="216"/>
        </w:trPr>
        <w:tc>
          <w:tcPr>
            <w:tcW w:w="20" w:type="dxa"/>
            <w:vAlign w:val="bottom"/>
          </w:tcPr>
          <w:p>
            <w:pPr>
              <w:spacing w:after="0"/>
              <w:rPr>
                <w:sz w:val="18"/>
                <w:szCs w:val="18"/>
                <w:color w:val="auto"/>
              </w:rPr>
            </w:pPr>
          </w:p>
        </w:tc>
        <w:tc>
          <w:tcPr>
            <w:tcW w:w="344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104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5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8"/>
              <w:spacing w:after="0"/>
              <w:rPr>
                <w:sz w:val="20"/>
                <w:szCs w:val="20"/>
                <w:color w:val="auto"/>
              </w:rPr>
            </w:pPr>
            <w:r>
              <w:rPr>
                <w:rFonts w:ascii="Arial" w:cs="Arial" w:eastAsia="Arial" w:hAnsi="Arial"/>
                <w:sz w:val="18"/>
                <w:szCs w:val="18"/>
                <w:color w:val="auto"/>
              </w:rPr>
              <w:t>1,291</w:t>
            </w:r>
          </w:p>
        </w:tc>
        <w:tc>
          <w:tcPr>
            <w:tcW w:w="400" w:type="dxa"/>
            <w:vAlign w:val="bottom"/>
          </w:tcPr>
          <w:p>
            <w:pPr>
              <w:spacing w:after="0"/>
              <w:rPr>
                <w:sz w:val="18"/>
                <w:szCs w:val="18"/>
                <w:color w:val="auto"/>
              </w:rPr>
            </w:pPr>
          </w:p>
        </w:tc>
        <w:tc>
          <w:tcPr>
            <w:tcW w:w="84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1,291</w:t>
            </w:r>
          </w:p>
        </w:tc>
      </w:tr>
      <w:tr>
        <w:trPr>
          <w:trHeight w:val="216"/>
        </w:trPr>
        <w:tc>
          <w:tcPr>
            <w:tcW w:w="20" w:type="dxa"/>
            <w:vAlign w:val="bottom"/>
          </w:tcPr>
          <w:p>
            <w:pPr>
              <w:spacing w:after="0"/>
              <w:rPr>
                <w:sz w:val="18"/>
                <w:szCs w:val="18"/>
                <w:color w:val="auto"/>
              </w:rPr>
            </w:pPr>
          </w:p>
        </w:tc>
        <w:tc>
          <w:tcPr>
            <w:tcW w:w="344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Amortization</w:t>
            </w:r>
          </w:p>
        </w:tc>
        <w:tc>
          <w:tcPr>
            <w:tcW w:w="1040" w:type="dxa"/>
            <w:vAlign w:val="bottom"/>
            <w:tcBorders>
              <w:bottom w:val="single" w:sz="8" w:color="auto"/>
            </w:tcBorders>
            <w:shd w:val="clear" w:color="auto" w:fill="E5E5E5"/>
          </w:tcPr>
          <w:p>
            <w:pPr>
              <w:jc w:val="right"/>
              <w:ind w:right="116"/>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E5E5E5"/>
          </w:tcPr>
          <w:p>
            <w:pPr>
              <w:jc w:val="right"/>
              <w:ind w:right="116"/>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E5E5E5"/>
          </w:tcPr>
          <w:p>
            <w:pPr>
              <w:jc w:val="right"/>
              <w:ind w:right="116"/>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E5E5E5"/>
          </w:tcPr>
          <w:p>
            <w:pPr>
              <w:jc w:val="right"/>
              <w:ind w:right="116"/>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E5E5E5"/>
          </w:tcPr>
          <w:p>
            <w:pPr>
              <w:jc w:val="right"/>
              <w:ind w:right="118"/>
              <w:spacing w:after="0"/>
              <w:rPr>
                <w:sz w:val="20"/>
                <w:szCs w:val="20"/>
                <w:color w:val="auto"/>
              </w:rPr>
            </w:pPr>
            <w:r>
              <w:rPr>
                <w:rFonts w:ascii="Arial" w:cs="Arial" w:eastAsia="Arial" w:hAnsi="Arial"/>
                <w:sz w:val="18"/>
                <w:szCs w:val="18"/>
                <w:color w:val="auto"/>
              </w:rPr>
              <w:t>247</w:t>
            </w:r>
          </w:p>
        </w:tc>
        <w:tc>
          <w:tcPr>
            <w:tcW w:w="40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247</w:t>
            </w: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40" w:type="dxa"/>
            <w:vAlign w:val="bottom"/>
          </w:tcPr>
          <w:p>
            <w:pPr>
              <w:jc w:val="right"/>
              <w:ind w:right="116"/>
              <w:spacing w:after="0"/>
              <w:rPr>
                <w:sz w:val="20"/>
                <w:szCs w:val="20"/>
                <w:color w:val="auto"/>
              </w:rPr>
            </w:pPr>
            <w:r>
              <w:rPr>
                <w:rFonts w:ascii="Arial" w:cs="Arial" w:eastAsia="Arial" w:hAnsi="Arial"/>
                <w:sz w:val="18"/>
                <w:szCs w:val="18"/>
                <w:color w:val="auto"/>
              </w:rPr>
              <w:t>67</w:t>
            </w:r>
          </w:p>
        </w:tc>
        <w:tc>
          <w:tcPr>
            <w:tcW w:w="780" w:type="dxa"/>
            <w:vAlign w:val="bottom"/>
          </w:tcPr>
          <w:p>
            <w:pPr>
              <w:jc w:val="right"/>
              <w:ind w:right="116"/>
              <w:spacing w:after="0"/>
              <w:rPr>
                <w:sz w:val="20"/>
                <w:szCs w:val="20"/>
                <w:color w:val="auto"/>
              </w:rPr>
            </w:pPr>
            <w:r>
              <w:rPr>
                <w:rFonts w:ascii="Arial" w:cs="Arial" w:eastAsia="Arial" w:hAnsi="Arial"/>
                <w:sz w:val="18"/>
                <w:szCs w:val="18"/>
                <w:color w:val="auto"/>
              </w:rPr>
              <w:t>55</w:t>
            </w:r>
          </w:p>
        </w:tc>
        <w:tc>
          <w:tcPr>
            <w:tcW w:w="820" w:type="dxa"/>
            <w:vAlign w:val="bottom"/>
          </w:tcPr>
          <w:p>
            <w:pPr>
              <w:jc w:val="right"/>
              <w:ind w:right="116"/>
              <w:spacing w:after="0"/>
              <w:rPr>
                <w:sz w:val="20"/>
                <w:szCs w:val="20"/>
                <w:color w:val="auto"/>
              </w:rPr>
            </w:pPr>
            <w:r>
              <w:rPr>
                <w:rFonts w:ascii="Arial" w:cs="Arial" w:eastAsia="Arial" w:hAnsi="Arial"/>
                <w:sz w:val="18"/>
                <w:szCs w:val="18"/>
                <w:color w:val="auto"/>
              </w:rPr>
              <w:t>85</w:t>
            </w:r>
          </w:p>
        </w:tc>
        <w:tc>
          <w:tcPr>
            <w:tcW w:w="460" w:type="dxa"/>
            <w:vAlign w:val="bottom"/>
          </w:tcPr>
          <w:p>
            <w:pPr>
              <w:spacing w:after="0"/>
              <w:rPr>
                <w:sz w:val="18"/>
                <w:szCs w:val="18"/>
                <w:color w:val="auto"/>
              </w:rPr>
            </w:pPr>
          </w:p>
        </w:tc>
        <w:tc>
          <w:tcPr>
            <w:tcW w:w="560" w:type="dxa"/>
            <w:vAlign w:val="bottom"/>
          </w:tcPr>
          <w:p>
            <w:pPr>
              <w:jc w:val="right"/>
              <w:ind w:right="132"/>
              <w:spacing w:after="0"/>
              <w:rPr>
                <w:sz w:val="20"/>
                <w:szCs w:val="20"/>
                <w:color w:val="auto"/>
              </w:rPr>
            </w:pPr>
            <w:r>
              <w:rPr>
                <w:rFonts w:ascii="Arial" w:cs="Arial" w:eastAsia="Arial" w:hAnsi="Arial"/>
                <w:sz w:val="18"/>
                <w:szCs w:val="18"/>
                <w:color w:val="auto"/>
              </w:rPr>
              <w:t>85</w:t>
            </w:r>
          </w:p>
        </w:tc>
        <w:tc>
          <w:tcPr>
            <w:tcW w:w="920" w:type="dxa"/>
            <w:vAlign w:val="bottom"/>
          </w:tcPr>
          <w:p>
            <w:pPr>
              <w:jc w:val="right"/>
              <w:ind w:right="116"/>
              <w:spacing w:after="0"/>
              <w:rPr>
                <w:sz w:val="20"/>
                <w:szCs w:val="20"/>
                <w:color w:val="auto"/>
              </w:rPr>
            </w:pPr>
            <w:r>
              <w:rPr>
                <w:rFonts w:ascii="Arial" w:cs="Arial" w:eastAsia="Arial" w:hAnsi="Arial"/>
                <w:sz w:val="18"/>
                <w:szCs w:val="18"/>
                <w:color w:val="auto"/>
              </w:rPr>
              <w:t>4</w:t>
            </w:r>
          </w:p>
        </w:tc>
        <w:tc>
          <w:tcPr>
            <w:tcW w:w="1120" w:type="dxa"/>
            <w:vAlign w:val="bottom"/>
          </w:tcPr>
          <w:p>
            <w:pPr>
              <w:jc w:val="right"/>
              <w:ind w:right="118"/>
              <w:spacing w:after="0"/>
              <w:rPr>
                <w:sz w:val="20"/>
                <w:szCs w:val="20"/>
                <w:color w:val="auto"/>
              </w:rPr>
            </w:pPr>
            <w:r>
              <w:rPr>
                <w:rFonts w:ascii="Arial" w:cs="Arial" w:eastAsia="Arial" w:hAnsi="Arial"/>
                <w:sz w:val="18"/>
                <w:szCs w:val="18"/>
                <w:color w:val="auto"/>
              </w:rPr>
              <w:t>6,478</w:t>
            </w:r>
          </w:p>
        </w:tc>
        <w:tc>
          <w:tcPr>
            <w:tcW w:w="400" w:type="dxa"/>
            <w:vAlign w:val="bottom"/>
          </w:tcPr>
          <w:p>
            <w:pPr>
              <w:spacing w:after="0"/>
              <w:rPr>
                <w:sz w:val="18"/>
                <w:szCs w:val="18"/>
                <w:color w:val="auto"/>
              </w:rPr>
            </w:pPr>
          </w:p>
        </w:tc>
        <w:tc>
          <w:tcPr>
            <w:tcW w:w="840" w:type="dxa"/>
            <w:vAlign w:val="bottom"/>
          </w:tcPr>
          <w:p>
            <w:pPr>
              <w:jc w:val="right"/>
              <w:ind w:right="74"/>
              <w:spacing w:after="0"/>
              <w:rPr>
                <w:sz w:val="20"/>
                <w:szCs w:val="20"/>
                <w:color w:val="auto"/>
              </w:rPr>
            </w:pPr>
            <w:r>
              <w:rPr>
                <w:rFonts w:ascii="Arial" w:cs="Arial" w:eastAsia="Arial" w:hAnsi="Arial"/>
                <w:sz w:val="18"/>
                <w:szCs w:val="18"/>
                <w:color w:val="auto"/>
              </w:rPr>
              <w:t>(384)</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2200275</wp:posOffset>
            </wp:positionH>
            <wp:positionV relativeFrom="paragraph">
              <wp:posOffset>-3175</wp:posOffset>
            </wp:positionV>
            <wp:extent cx="50514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051425"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rPr>
          <w:sz w:val="20"/>
          <w:szCs w:val="20"/>
          <w:color w:val="auto"/>
        </w:rPr>
      </w:pPr>
      <w:r>
        <w:rPr>
          <w:rFonts w:ascii="Arial" w:cs="Arial" w:eastAsia="Arial" w:hAnsi="Arial"/>
          <w:sz w:val="18"/>
          <w:szCs w:val="18"/>
          <w:color w:val="auto"/>
        </w:rPr>
        <w:t>Operating income (loss)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Interest expense</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Investment income (loss), net</w:t>
      </w:r>
    </w:p>
    <w:p>
      <w:pPr>
        <w:spacing w:after="0" w:line="9" w:lineRule="exact"/>
        <w:rPr>
          <w:sz w:val="20"/>
          <w:szCs w:val="20"/>
          <w:color w:val="auto"/>
        </w:rPr>
      </w:pPr>
    </w:p>
    <w:p>
      <w:pPr>
        <w:ind w:left="220"/>
        <w:spacing w:after="0" w:line="261" w:lineRule="auto"/>
        <w:rPr>
          <w:sz w:val="20"/>
          <w:szCs w:val="20"/>
          <w:color w:val="auto"/>
        </w:rPr>
      </w:pPr>
      <w:r>
        <w:rPr>
          <w:rFonts w:ascii="Arial" w:cs="Arial" w:eastAsia="Arial" w:hAnsi="Arial"/>
          <w:sz w:val="18"/>
          <w:szCs w:val="18"/>
          <w:color w:val="auto"/>
        </w:rPr>
        <w:t>Equity in net (losses) income of affiliates, net Other income (expense)</w:t>
      </w:r>
    </w:p>
    <w:p>
      <w:pPr>
        <w:spacing w:after="0" w:line="219" w:lineRule="exact"/>
        <w:rPr>
          <w:sz w:val="20"/>
          <w:szCs w:val="20"/>
          <w:color w:val="auto"/>
        </w:rPr>
      </w:pPr>
    </w:p>
    <w:p>
      <w:pPr>
        <w:ind w:left="220" w:hanging="215"/>
        <w:spacing w:after="0" w:line="255" w:lineRule="auto"/>
        <w:rPr>
          <w:sz w:val="20"/>
          <w:szCs w:val="20"/>
          <w:color w:val="auto"/>
        </w:rPr>
      </w:pPr>
      <w:r>
        <w:rPr>
          <w:rFonts w:ascii="Arial" w:cs="Arial" w:eastAsia="Arial" w:hAnsi="Arial"/>
          <w:sz w:val="18"/>
          <w:szCs w:val="18"/>
          <w:color w:val="auto"/>
        </w:rPr>
        <w:t>Income (loss) from continuing operations before income taxes and minority interest Income tax (expense) benefit</w:t>
      </w:r>
    </w:p>
    <w:p>
      <w:pPr>
        <w:spacing w:after="0" w:line="2" w:lineRule="exact"/>
        <w:rPr>
          <w:sz w:val="20"/>
          <w:szCs w:val="20"/>
          <w:color w:val="auto"/>
        </w:rPr>
      </w:pPr>
    </w:p>
    <w:p>
      <w:pPr>
        <w:ind w:left="220" w:hanging="215"/>
        <w:spacing w:after="0" w:line="265" w:lineRule="auto"/>
        <w:rPr>
          <w:sz w:val="20"/>
          <w:szCs w:val="20"/>
          <w:color w:val="auto"/>
        </w:rPr>
      </w:pPr>
      <w:r>
        <w:rPr>
          <w:rFonts w:ascii="Arial" w:cs="Arial" w:eastAsia="Arial" w:hAnsi="Arial"/>
          <w:sz w:val="18"/>
          <w:szCs w:val="18"/>
          <w:color w:val="auto"/>
        </w:rPr>
        <w:t>Income (loss) from continuing operations before minority interest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1140" w:type="dxa"/>
            <w:vAlign w:val="bottom"/>
          </w:tcPr>
          <w:p>
            <w:pPr>
              <w:jc w:val="right"/>
              <w:ind w:right="212"/>
              <w:spacing w:after="0"/>
              <w:rPr>
                <w:sz w:val="20"/>
                <w:szCs w:val="20"/>
                <w:color w:val="auto"/>
              </w:rPr>
            </w:pPr>
            <w:r>
              <w:rPr>
                <w:rFonts w:ascii="Arial" w:cs="Arial" w:eastAsia="Arial" w:hAnsi="Arial"/>
                <w:sz w:val="18"/>
                <w:szCs w:val="18"/>
                <w:color w:val="auto"/>
              </w:rPr>
              <w:t>92</w:t>
            </w:r>
          </w:p>
        </w:tc>
        <w:tc>
          <w:tcPr>
            <w:tcW w:w="7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52"/>
              <w:spacing w:after="0"/>
              <w:rPr>
                <w:sz w:val="20"/>
                <w:szCs w:val="20"/>
                <w:color w:val="auto"/>
              </w:rPr>
            </w:pPr>
            <w:r>
              <w:rPr>
                <w:rFonts w:ascii="Arial" w:cs="Arial" w:eastAsia="Arial" w:hAnsi="Arial"/>
                <w:sz w:val="18"/>
                <w:szCs w:val="18"/>
                <w:color w:val="auto"/>
              </w:rPr>
              <w:t>(4)</w:t>
            </w:r>
          </w:p>
        </w:tc>
        <w:tc>
          <w:tcPr>
            <w:tcW w:w="1140" w:type="dxa"/>
            <w:vAlign w:val="bottom"/>
          </w:tcPr>
          <w:p>
            <w:pPr>
              <w:jc w:val="right"/>
              <w:ind w:right="332"/>
              <w:spacing w:after="0"/>
              <w:rPr>
                <w:sz w:val="20"/>
                <w:szCs w:val="20"/>
                <w:color w:val="auto"/>
              </w:rPr>
            </w:pPr>
            <w:r>
              <w:rPr>
                <w:rFonts w:ascii="Arial" w:cs="Arial" w:eastAsia="Arial" w:hAnsi="Arial"/>
                <w:sz w:val="18"/>
                <w:szCs w:val="18"/>
                <w:color w:val="auto"/>
              </w:rPr>
              <w:t>1,303</w:t>
            </w:r>
          </w:p>
        </w:tc>
        <w:tc>
          <w:tcPr>
            <w:tcW w:w="122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1,391</w:t>
            </w:r>
          </w:p>
        </w:tc>
      </w:tr>
      <w:tr>
        <w:trPr>
          <w:trHeight w:val="425"/>
        </w:trPr>
        <w:tc>
          <w:tcPr>
            <w:tcW w:w="1140" w:type="dxa"/>
            <w:vAlign w:val="bottom"/>
          </w:tcPr>
          <w:p>
            <w:pPr>
              <w:jc w:val="right"/>
              <w:ind w:right="152"/>
              <w:spacing w:after="0"/>
              <w:rPr>
                <w:sz w:val="20"/>
                <w:szCs w:val="20"/>
                <w:color w:val="auto"/>
              </w:rPr>
            </w:pPr>
            <w:r>
              <w:rPr>
                <w:rFonts w:ascii="Arial" w:cs="Arial" w:eastAsia="Arial" w:hAnsi="Arial"/>
                <w:sz w:val="18"/>
                <w:szCs w:val="18"/>
                <w:color w:val="auto"/>
              </w:rPr>
              <w:t>(284)</w:t>
            </w:r>
          </w:p>
        </w:tc>
        <w:tc>
          <w:tcPr>
            <w:tcW w:w="780" w:type="dxa"/>
            <w:vAlign w:val="bottom"/>
          </w:tcPr>
          <w:p>
            <w:pPr>
              <w:jc w:val="right"/>
              <w:ind w:right="152"/>
              <w:spacing w:after="0"/>
              <w:rPr>
                <w:sz w:val="20"/>
                <w:szCs w:val="20"/>
                <w:color w:val="auto"/>
              </w:rPr>
            </w:pPr>
            <w:r>
              <w:rPr>
                <w:rFonts w:ascii="Arial" w:cs="Arial" w:eastAsia="Arial" w:hAnsi="Arial"/>
                <w:sz w:val="18"/>
                <w:szCs w:val="18"/>
                <w:color w:val="auto"/>
              </w:rPr>
              <w:t>(87)</w:t>
            </w:r>
          </w:p>
        </w:tc>
        <w:tc>
          <w:tcPr>
            <w:tcW w:w="920" w:type="dxa"/>
            <w:vAlign w:val="bottom"/>
          </w:tcPr>
          <w:p>
            <w:pPr>
              <w:jc w:val="right"/>
              <w:ind w:right="252"/>
              <w:spacing w:after="0"/>
              <w:rPr>
                <w:sz w:val="20"/>
                <w:szCs w:val="20"/>
                <w:color w:val="auto"/>
              </w:rPr>
            </w:pPr>
            <w:r>
              <w:rPr>
                <w:rFonts w:ascii="Arial" w:cs="Arial" w:eastAsia="Arial" w:hAnsi="Arial"/>
                <w:sz w:val="18"/>
                <w:szCs w:val="18"/>
                <w:color w:val="auto"/>
              </w:rPr>
              <w:t>(80)</w:t>
            </w:r>
          </w:p>
        </w:tc>
        <w:tc>
          <w:tcPr>
            <w:tcW w:w="980" w:type="dxa"/>
            <w:vAlign w:val="bottom"/>
          </w:tcPr>
          <w:p>
            <w:pPr>
              <w:jc w:val="right"/>
              <w:ind w:right="232"/>
              <w:spacing w:after="0"/>
              <w:rPr>
                <w:sz w:val="20"/>
                <w:szCs w:val="20"/>
                <w:color w:val="auto"/>
              </w:rPr>
            </w:pPr>
            <w:r>
              <w:rPr>
                <w:rFonts w:ascii="Arial" w:cs="Arial" w:eastAsia="Arial" w:hAnsi="Arial"/>
                <w:sz w:val="18"/>
                <w:szCs w:val="18"/>
                <w:color w:val="auto"/>
              </w:rPr>
              <w:t>(56)</w:t>
            </w:r>
          </w:p>
        </w:tc>
        <w:tc>
          <w:tcPr>
            <w:tcW w:w="960" w:type="dxa"/>
            <w:vAlign w:val="bottom"/>
          </w:tcPr>
          <w:p>
            <w:pPr>
              <w:jc w:val="right"/>
              <w:ind w:right="252"/>
              <w:spacing w:after="0"/>
              <w:rPr>
                <w:sz w:val="20"/>
                <w:szCs w:val="20"/>
                <w:color w:val="auto"/>
              </w:rPr>
            </w:pPr>
            <w:r>
              <w:rPr>
                <w:rFonts w:ascii="Arial" w:cs="Arial" w:eastAsia="Arial" w:hAnsi="Arial"/>
                <w:sz w:val="18"/>
                <w:szCs w:val="18"/>
                <w:color w:val="auto"/>
              </w:rPr>
              <w:t>(24)</w:t>
            </w:r>
          </w:p>
        </w:tc>
        <w:tc>
          <w:tcPr>
            <w:tcW w:w="1140" w:type="dxa"/>
            <w:vAlign w:val="bottom"/>
          </w:tcPr>
          <w:p>
            <w:pPr>
              <w:jc w:val="right"/>
              <w:ind w:right="272"/>
              <w:spacing w:after="0"/>
              <w:rPr>
                <w:sz w:val="20"/>
                <w:szCs w:val="20"/>
                <w:color w:val="auto"/>
              </w:rPr>
            </w:pPr>
            <w:r>
              <w:rPr>
                <w:rFonts w:ascii="Arial" w:cs="Arial" w:eastAsia="Arial" w:hAnsi="Arial"/>
                <w:sz w:val="18"/>
                <w:szCs w:val="18"/>
                <w:color w:val="auto"/>
              </w:rPr>
              <w:t>(40)</w:t>
            </w:r>
          </w:p>
        </w:tc>
        <w:tc>
          <w:tcPr>
            <w:tcW w:w="122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(571)</w:t>
            </w:r>
          </w:p>
        </w:tc>
      </w:tr>
      <w:tr>
        <w:trPr>
          <w:trHeight w:val="216"/>
        </w:trPr>
        <w:tc>
          <w:tcPr>
            <w:tcW w:w="1140" w:type="dxa"/>
            <w:vAlign w:val="bottom"/>
          </w:tcPr>
          <w:p>
            <w:pPr>
              <w:jc w:val="right"/>
              <w:ind w:right="212"/>
              <w:spacing w:after="0"/>
              <w:rPr>
                <w:sz w:val="20"/>
                <w:szCs w:val="20"/>
                <w:color w:val="auto"/>
              </w:rPr>
            </w:pPr>
            <w:r>
              <w:rPr>
                <w:rFonts w:ascii="Arial" w:cs="Arial" w:eastAsia="Arial" w:hAnsi="Arial"/>
                <w:sz w:val="18"/>
                <w:szCs w:val="18"/>
                <w:color w:val="auto"/>
              </w:rPr>
              <w:t>5</w:t>
            </w:r>
          </w:p>
        </w:tc>
        <w:tc>
          <w:tcPr>
            <w:tcW w:w="7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2"/>
              <w:spacing w:after="0"/>
              <w:rPr>
                <w:sz w:val="20"/>
                <w:szCs w:val="20"/>
                <w:color w:val="auto"/>
              </w:rPr>
            </w:pPr>
            <w:r>
              <w:rPr>
                <w:rFonts w:ascii="Arial" w:cs="Arial" w:eastAsia="Arial" w:hAnsi="Arial"/>
                <w:sz w:val="18"/>
                <w:szCs w:val="18"/>
                <w:color w:val="auto"/>
              </w:rPr>
              <w:t>33</w:t>
            </w:r>
          </w:p>
        </w:tc>
        <w:tc>
          <w:tcPr>
            <w:tcW w:w="1140" w:type="dxa"/>
            <w:vAlign w:val="bottom"/>
          </w:tcPr>
          <w:p>
            <w:pPr>
              <w:jc w:val="right"/>
              <w:ind w:right="332"/>
              <w:spacing w:after="0"/>
              <w:rPr>
                <w:sz w:val="20"/>
                <w:szCs w:val="20"/>
                <w:color w:val="auto"/>
              </w:rPr>
            </w:pPr>
            <w:r>
              <w:rPr>
                <w:rFonts w:ascii="Arial" w:cs="Arial" w:eastAsia="Arial" w:hAnsi="Arial"/>
                <w:sz w:val="18"/>
                <w:szCs w:val="18"/>
                <w:color w:val="auto"/>
              </w:rPr>
              <w:t>120</w:t>
            </w:r>
          </w:p>
        </w:tc>
        <w:tc>
          <w:tcPr>
            <w:tcW w:w="122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16"/>
        </w:trPr>
        <w:tc>
          <w:tcPr>
            <w:tcW w:w="1140" w:type="dxa"/>
            <w:vAlign w:val="bottom"/>
          </w:tcPr>
          <w:p>
            <w:pPr>
              <w:jc w:val="right"/>
              <w:ind w:right="212"/>
              <w:spacing w:after="0"/>
              <w:rPr>
                <w:sz w:val="20"/>
                <w:szCs w:val="20"/>
                <w:color w:val="auto"/>
              </w:rPr>
            </w:pPr>
            <w:r>
              <w:rPr>
                <w:rFonts w:ascii="Arial" w:cs="Arial" w:eastAsia="Arial" w:hAnsi="Arial"/>
                <w:sz w:val="18"/>
                <w:szCs w:val="18"/>
                <w:color w:val="auto"/>
              </w:rPr>
              <w:t>682</w:t>
            </w:r>
          </w:p>
        </w:tc>
        <w:tc>
          <w:tcPr>
            <w:tcW w:w="780" w:type="dxa"/>
            <w:vAlign w:val="bottom"/>
          </w:tcPr>
          <w:p>
            <w:pPr>
              <w:jc w:val="right"/>
              <w:ind w:right="212"/>
              <w:spacing w:after="0"/>
              <w:rPr>
                <w:sz w:val="20"/>
                <w:szCs w:val="20"/>
                <w:color w:val="auto"/>
              </w:rPr>
            </w:pPr>
            <w:r>
              <w:rPr>
                <w:rFonts w:ascii="Arial" w:cs="Arial" w:eastAsia="Arial" w:hAnsi="Arial"/>
                <w:sz w:val="18"/>
                <w:szCs w:val="18"/>
                <w:color w:val="auto"/>
              </w:rPr>
              <w:t>406</w:t>
            </w:r>
          </w:p>
        </w:tc>
        <w:tc>
          <w:tcPr>
            <w:tcW w:w="920" w:type="dxa"/>
            <w:vAlign w:val="bottom"/>
          </w:tcPr>
          <w:p>
            <w:pPr>
              <w:jc w:val="right"/>
              <w:ind w:right="312"/>
              <w:spacing w:after="0"/>
              <w:rPr>
                <w:sz w:val="20"/>
                <w:szCs w:val="20"/>
                <w:color w:val="auto"/>
              </w:rPr>
            </w:pPr>
            <w:r>
              <w:rPr>
                <w:rFonts w:ascii="Arial" w:cs="Arial" w:eastAsia="Arial" w:hAnsi="Arial"/>
                <w:sz w:val="18"/>
                <w:szCs w:val="18"/>
                <w:color w:val="auto"/>
              </w:rPr>
              <w:t>420</w:t>
            </w:r>
          </w:p>
        </w:tc>
        <w:tc>
          <w:tcPr>
            <w:tcW w:w="980" w:type="dxa"/>
            <w:vAlign w:val="bottom"/>
          </w:tcPr>
          <w:p>
            <w:pPr>
              <w:jc w:val="right"/>
              <w:ind w:right="292"/>
              <w:spacing w:after="0"/>
              <w:rPr>
                <w:sz w:val="20"/>
                <w:szCs w:val="20"/>
                <w:color w:val="auto"/>
              </w:rPr>
            </w:pPr>
            <w:r>
              <w:rPr>
                <w:rFonts w:ascii="Arial" w:cs="Arial" w:eastAsia="Arial" w:hAnsi="Arial"/>
                <w:sz w:val="18"/>
                <w:szCs w:val="18"/>
                <w:color w:val="auto"/>
              </w:rPr>
              <w:t>456</w:t>
            </w:r>
          </w:p>
        </w:tc>
        <w:tc>
          <w:tcPr>
            <w:tcW w:w="960" w:type="dxa"/>
            <w:vAlign w:val="bottom"/>
          </w:tcPr>
          <w:p>
            <w:pPr>
              <w:jc w:val="right"/>
              <w:ind w:right="312"/>
              <w:spacing w:after="0"/>
              <w:rPr>
                <w:sz w:val="20"/>
                <w:szCs w:val="20"/>
                <w:color w:val="auto"/>
              </w:rPr>
            </w:pPr>
            <w:r>
              <w:rPr>
                <w:rFonts w:ascii="Arial" w:cs="Arial" w:eastAsia="Arial" w:hAnsi="Arial"/>
                <w:sz w:val="18"/>
                <w:szCs w:val="18"/>
                <w:color w:val="auto"/>
              </w:rPr>
              <w:t>388</w:t>
            </w:r>
          </w:p>
        </w:tc>
        <w:tc>
          <w:tcPr>
            <w:tcW w:w="1140" w:type="dxa"/>
            <w:vAlign w:val="bottom"/>
          </w:tcPr>
          <w:p>
            <w:pPr>
              <w:jc w:val="right"/>
              <w:ind w:right="272"/>
              <w:spacing w:after="0"/>
              <w:rPr>
                <w:sz w:val="20"/>
                <w:szCs w:val="20"/>
                <w:color w:val="auto"/>
              </w:rPr>
            </w:pPr>
            <w:r>
              <w:rPr>
                <w:rFonts w:ascii="Arial" w:cs="Arial" w:eastAsia="Arial" w:hAnsi="Arial"/>
                <w:sz w:val="18"/>
                <w:szCs w:val="18"/>
                <w:color w:val="auto"/>
              </w:rPr>
              <w:t>(50)</w:t>
            </w:r>
          </w:p>
        </w:tc>
        <w:tc>
          <w:tcPr>
            <w:tcW w:w="1220" w:type="dxa"/>
            <w:vAlign w:val="bottom"/>
          </w:tcPr>
          <w:p>
            <w:pPr>
              <w:jc w:val="right"/>
              <w:ind w:right="272"/>
              <w:spacing w:after="0"/>
              <w:rPr>
                <w:sz w:val="20"/>
                <w:szCs w:val="20"/>
                <w:color w:val="auto"/>
              </w:rPr>
            </w:pPr>
            <w:r>
              <w:rPr>
                <w:rFonts w:ascii="Arial" w:cs="Arial" w:eastAsia="Arial" w:hAnsi="Arial"/>
                <w:sz w:val="18"/>
                <w:szCs w:val="18"/>
                <w:color w:val="auto"/>
              </w:rPr>
              <w:t>(2,314)</w:t>
            </w:r>
          </w:p>
        </w:tc>
        <w:tc>
          <w:tcPr>
            <w:tcW w:w="8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11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w:t>
            </w:r>
          </w:p>
        </w:tc>
        <w:tc>
          <w:tcPr>
            <w:tcW w:w="7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11"/>
        </w:trPr>
        <w:tc>
          <w:tcPr>
            <w:tcW w:w="11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402</w:t>
            </w:r>
          </w:p>
        </w:tc>
        <w:tc>
          <w:tcPr>
            <w:tcW w:w="7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319</w:t>
            </w: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340</w:t>
            </w:r>
          </w:p>
        </w:tc>
        <w:tc>
          <w:tcPr>
            <w:tcW w:w="9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400</w:t>
            </w:r>
          </w:p>
        </w:tc>
        <w:tc>
          <w:tcPr>
            <w:tcW w:w="96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397</w:t>
            </w:r>
          </w:p>
        </w:tc>
        <w:tc>
          <w:tcPr>
            <w:tcW w:w="11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30</w:t>
            </w:r>
          </w:p>
        </w:tc>
        <w:tc>
          <w:tcPr>
            <w:tcW w:w="12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(2,314)</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w:t>
            </w:r>
          </w:p>
        </w:tc>
      </w:tr>
      <w:tr>
        <w:trPr>
          <w:trHeight w:val="417"/>
        </w:trPr>
        <w:tc>
          <w:tcPr>
            <w:tcW w:w="1140" w:type="dxa"/>
            <w:vAlign w:val="bottom"/>
          </w:tcPr>
          <w:p>
            <w:pPr>
              <w:jc w:val="right"/>
              <w:ind w:right="212"/>
              <w:spacing w:after="0"/>
              <w:rPr>
                <w:sz w:val="20"/>
                <w:szCs w:val="20"/>
                <w:color w:val="auto"/>
              </w:rPr>
            </w:pPr>
            <w:r>
              <w:rPr>
                <w:rFonts w:ascii="Arial" w:cs="Arial" w:eastAsia="Arial" w:hAnsi="Arial"/>
                <w:sz w:val="18"/>
                <w:szCs w:val="18"/>
                <w:color w:val="auto"/>
              </w:rPr>
              <w:t>494</w:t>
            </w:r>
          </w:p>
        </w:tc>
        <w:tc>
          <w:tcPr>
            <w:tcW w:w="780" w:type="dxa"/>
            <w:vAlign w:val="bottom"/>
          </w:tcPr>
          <w:p>
            <w:pPr>
              <w:jc w:val="right"/>
              <w:ind w:right="212"/>
              <w:spacing w:after="0"/>
              <w:rPr>
                <w:sz w:val="20"/>
                <w:szCs w:val="20"/>
                <w:color w:val="auto"/>
              </w:rPr>
            </w:pPr>
            <w:r>
              <w:rPr>
                <w:rFonts w:ascii="Arial" w:cs="Arial" w:eastAsia="Arial" w:hAnsi="Arial"/>
                <w:sz w:val="18"/>
                <w:szCs w:val="18"/>
                <w:color w:val="auto"/>
              </w:rPr>
              <w:t>319</w:t>
            </w:r>
          </w:p>
        </w:tc>
        <w:tc>
          <w:tcPr>
            <w:tcW w:w="920" w:type="dxa"/>
            <w:vAlign w:val="bottom"/>
          </w:tcPr>
          <w:p>
            <w:pPr>
              <w:jc w:val="right"/>
              <w:ind w:right="312"/>
              <w:spacing w:after="0"/>
              <w:rPr>
                <w:sz w:val="20"/>
                <w:szCs w:val="20"/>
                <w:color w:val="auto"/>
              </w:rPr>
            </w:pPr>
            <w:r>
              <w:rPr>
                <w:rFonts w:ascii="Arial" w:cs="Arial" w:eastAsia="Arial" w:hAnsi="Arial"/>
                <w:sz w:val="18"/>
                <w:szCs w:val="18"/>
                <w:color w:val="auto"/>
              </w:rPr>
              <w:t>340</w:t>
            </w:r>
          </w:p>
        </w:tc>
        <w:tc>
          <w:tcPr>
            <w:tcW w:w="980" w:type="dxa"/>
            <w:vAlign w:val="bottom"/>
          </w:tcPr>
          <w:p>
            <w:pPr>
              <w:jc w:val="right"/>
              <w:ind w:right="292"/>
              <w:spacing w:after="0"/>
              <w:rPr>
                <w:sz w:val="20"/>
                <w:szCs w:val="20"/>
                <w:color w:val="auto"/>
              </w:rPr>
            </w:pPr>
            <w:r>
              <w:rPr>
                <w:rFonts w:ascii="Arial" w:cs="Arial" w:eastAsia="Arial" w:hAnsi="Arial"/>
                <w:sz w:val="18"/>
                <w:szCs w:val="18"/>
                <w:color w:val="auto"/>
              </w:rPr>
              <w:t>400</w:t>
            </w:r>
          </w:p>
        </w:tc>
        <w:tc>
          <w:tcPr>
            <w:tcW w:w="960" w:type="dxa"/>
            <w:vAlign w:val="bottom"/>
          </w:tcPr>
          <w:p>
            <w:pPr>
              <w:jc w:val="right"/>
              <w:ind w:right="312"/>
              <w:spacing w:after="0"/>
              <w:rPr>
                <w:sz w:val="20"/>
                <w:szCs w:val="20"/>
                <w:color w:val="auto"/>
              </w:rPr>
            </w:pPr>
            <w:r>
              <w:rPr>
                <w:rFonts w:ascii="Arial" w:cs="Arial" w:eastAsia="Arial" w:hAnsi="Arial"/>
                <w:sz w:val="18"/>
                <w:szCs w:val="18"/>
                <w:color w:val="auto"/>
              </w:rPr>
              <w:t>393</w:t>
            </w:r>
          </w:p>
        </w:tc>
        <w:tc>
          <w:tcPr>
            <w:tcW w:w="1140" w:type="dxa"/>
            <w:vAlign w:val="bottom"/>
          </w:tcPr>
          <w:p>
            <w:pPr>
              <w:jc w:val="right"/>
              <w:ind w:right="332"/>
              <w:spacing w:after="0"/>
              <w:rPr>
                <w:sz w:val="20"/>
                <w:szCs w:val="20"/>
                <w:color w:val="auto"/>
              </w:rPr>
            </w:pPr>
            <w:r>
              <w:rPr>
                <w:rFonts w:ascii="Arial" w:cs="Arial" w:eastAsia="Arial" w:hAnsi="Arial"/>
                <w:sz w:val="18"/>
                <w:szCs w:val="18"/>
                <w:color w:val="auto"/>
              </w:rPr>
              <w:t>1,333</w:t>
            </w:r>
          </w:p>
        </w:tc>
        <w:tc>
          <w:tcPr>
            <w:tcW w:w="1220" w:type="dxa"/>
            <w:vAlign w:val="bottom"/>
          </w:tcPr>
          <w:p>
            <w:pPr>
              <w:jc w:val="right"/>
              <w:ind w:right="272"/>
              <w:spacing w:after="0"/>
              <w:rPr>
                <w:sz w:val="20"/>
                <w:szCs w:val="20"/>
                <w:color w:val="auto"/>
              </w:rPr>
            </w:pPr>
            <w:r>
              <w:rPr>
                <w:rFonts w:ascii="Arial" w:cs="Arial" w:eastAsia="Arial" w:hAnsi="Arial"/>
                <w:sz w:val="18"/>
                <w:szCs w:val="18"/>
                <w:color w:val="auto"/>
              </w:rPr>
              <w:t>(2,314)</w:t>
            </w:r>
          </w:p>
        </w:tc>
        <w:tc>
          <w:tcPr>
            <w:tcW w:w="820" w:type="dxa"/>
            <w:vAlign w:val="bottom"/>
          </w:tcPr>
          <w:p>
            <w:pPr>
              <w:jc w:val="right"/>
              <w:spacing w:after="0"/>
              <w:rPr>
                <w:sz w:val="20"/>
                <w:szCs w:val="20"/>
                <w:color w:val="auto"/>
              </w:rPr>
            </w:pPr>
            <w:r>
              <w:rPr>
                <w:rFonts w:ascii="Arial" w:cs="Arial" w:eastAsia="Arial" w:hAnsi="Arial"/>
                <w:sz w:val="18"/>
                <w:szCs w:val="18"/>
                <w:color w:val="auto"/>
              </w:rPr>
              <w:t>965</w:t>
            </w:r>
          </w:p>
        </w:tc>
      </w:tr>
      <w:tr>
        <w:trPr>
          <w:trHeight w:val="223"/>
        </w:trPr>
        <w:tc>
          <w:tcPr>
            <w:tcW w:w="11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66</w:t>
            </w:r>
          </w:p>
        </w:tc>
        <w:tc>
          <w:tcPr>
            <w:tcW w:w="7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31</w:t>
            </w: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28</w:t>
            </w:r>
          </w:p>
        </w:tc>
        <w:tc>
          <w:tcPr>
            <w:tcW w:w="9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w:t>
            </w:r>
          </w:p>
        </w:tc>
        <w:tc>
          <w:tcPr>
            <w:tcW w:w="9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(2)</w:t>
            </w:r>
          </w:p>
        </w:tc>
        <w:tc>
          <w:tcPr>
            <w:tcW w:w="11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(564)</w:t>
            </w:r>
          </w:p>
        </w:tc>
        <w:tc>
          <w:tcPr>
            <w:tcW w:w="12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w:t>
            </w:r>
          </w:p>
        </w:tc>
      </w:tr>
      <w:tr>
        <w:trPr>
          <w:trHeight w:val="425"/>
        </w:trPr>
        <w:tc>
          <w:tcPr>
            <w:tcW w:w="1140" w:type="dxa"/>
            <w:vAlign w:val="bottom"/>
          </w:tcPr>
          <w:p>
            <w:pPr>
              <w:jc w:val="right"/>
              <w:ind w:right="212"/>
              <w:spacing w:after="0"/>
              <w:rPr>
                <w:sz w:val="20"/>
                <w:szCs w:val="20"/>
                <w:color w:val="auto"/>
              </w:rPr>
            </w:pPr>
            <w:r>
              <w:rPr>
                <w:rFonts w:ascii="Arial" w:cs="Arial" w:eastAsia="Arial" w:hAnsi="Arial"/>
                <w:sz w:val="18"/>
                <w:szCs w:val="18"/>
                <w:color w:val="auto"/>
              </w:rPr>
              <w:t>560</w:t>
            </w:r>
          </w:p>
        </w:tc>
        <w:tc>
          <w:tcPr>
            <w:tcW w:w="780" w:type="dxa"/>
            <w:vAlign w:val="bottom"/>
          </w:tcPr>
          <w:p>
            <w:pPr>
              <w:jc w:val="right"/>
              <w:ind w:right="212"/>
              <w:spacing w:after="0"/>
              <w:rPr>
                <w:sz w:val="20"/>
                <w:szCs w:val="20"/>
                <w:color w:val="auto"/>
              </w:rPr>
            </w:pPr>
            <w:r>
              <w:rPr>
                <w:rFonts w:ascii="Arial" w:cs="Arial" w:eastAsia="Arial" w:hAnsi="Arial"/>
                <w:sz w:val="18"/>
                <w:szCs w:val="18"/>
                <w:color w:val="auto"/>
              </w:rPr>
              <w:t>350</w:t>
            </w:r>
          </w:p>
        </w:tc>
        <w:tc>
          <w:tcPr>
            <w:tcW w:w="920" w:type="dxa"/>
            <w:vAlign w:val="bottom"/>
          </w:tcPr>
          <w:p>
            <w:pPr>
              <w:jc w:val="right"/>
              <w:ind w:right="312"/>
              <w:spacing w:after="0"/>
              <w:rPr>
                <w:sz w:val="20"/>
                <w:szCs w:val="20"/>
                <w:color w:val="auto"/>
              </w:rPr>
            </w:pPr>
            <w:r>
              <w:rPr>
                <w:rFonts w:ascii="Arial" w:cs="Arial" w:eastAsia="Arial" w:hAnsi="Arial"/>
                <w:sz w:val="18"/>
                <w:szCs w:val="18"/>
                <w:color w:val="auto"/>
              </w:rPr>
              <w:t>368</w:t>
            </w:r>
          </w:p>
        </w:tc>
        <w:tc>
          <w:tcPr>
            <w:tcW w:w="980" w:type="dxa"/>
            <w:vAlign w:val="bottom"/>
          </w:tcPr>
          <w:p>
            <w:pPr>
              <w:jc w:val="right"/>
              <w:ind w:right="292"/>
              <w:spacing w:after="0"/>
              <w:rPr>
                <w:sz w:val="20"/>
                <w:szCs w:val="20"/>
                <w:color w:val="auto"/>
              </w:rPr>
            </w:pPr>
            <w:r>
              <w:rPr>
                <w:rFonts w:ascii="Arial" w:cs="Arial" w:eastAsia="Arial" w:hAnsi="Arial"/>
                <w:sz w:val="18"/>
                <w:szCs w:val="18"/>
                <w:color w:val="auto"/>
              </w:rPr>
              <w:t>420</w:t>
            </w:r>
          </w:p>
        </w:tc>
        <w:tc>
          <w:tcPr>
            <w:tcW w:w="960" w:type="dxa"/>
            <w:vAlign w:val="bottom"/>
          </w:tcPr>
          <w:p>
            <w:pPr>
              <w:jc w:val="right"/>
              <w:ind w:right="312"/>
              <w:spacing w:after="0"/>
              <w:rPr>
                <w:sz w:val="20"/>
                <w:szCs w:val="20"/>
                <w:color w:val="auto"/>
              </w:rPr>
            </w:pPr>
            <w:r>
              <w:rPr>
                <w:rFonts w:ascii="Arial" w:cs="Arial" w:eastAsia="Arial" w:hAnsi="Arial"/>
                <w:sz w:val="18"/>
                <w:szCs w:val="18"/>
                <w:color w:val="auto"/>
              </w:rPr>
              <w:t>391</w:t>
            </w:r>
          </w:p>
        </w:tc>
        <w:tc>
          <w:tcPr>
            <w:tcW w:w="1140" w:type="dxa"/>
            <w:vAlign w:val="bottom"/>
          </w:tcPr>
          <w:p>
            <w:pPr>
              <w:jc w:val="right"/>
              <w:ind w:right="332"/>
              <w:spacing w:after="0"/>
              <w:rPr>
                <w:sz w:val="20"/>
                <w:szCs w:val="20"/>
                <w:color w:val="auto"/>
              </w:rPr>
            </w:pPr>
            <w:r>
              <w:rPr>
                <w:rFonts w:ascii="Arial" w:cs="Arial" w:eastAsia="Arial" w:hAnsi="Arial"/>
                <w:sz w:val="18"/>
                <w:szCs w:val="18"/>
                <w:color w:val="auto"/>
              </w:rPr>
              <w:t>769</w:t>
            </w:r>
          </w:p>
        </w:tc>
        <w:tc>
          <w:tcPr>
            <w:tcW w:w="1220" w:type="dxa"/>
            <w:vAlign w:val="bottom"/>
          </w:tcPr>
          <w:p>
            <w:pPr>
              <w:jc w:val="right"/>
              <w:ind w:right="272"/>
              <w:spacing w:after="0"/>
              <w:rPr>
                <w:sz w:val="20"/>
                <w:szCs w:val="20"/>
                <w:color w:val="auto"/>
              </w:rPr>
            </w:pPr>
            <w:r>
              <w:rPr>
                <w:rFonts w:ascii="Arial" w:cs="Arial" w:eastAsia="Arial" w:hAnsi="Arial"/>
                <w:sz w:val="18"/>
                <w:szCs w:val="18"/>
                <w:color w:val="auto"/>
              </w:rPr>
              <w:t>(2,314)</w:t>
            </w:r>
          </w:p>
        </w:tc>
        <w:tc>
          <w:tcPr>
            <w:tcW w:w="820" w:type="dxa"/>
            <w:vAlign w:val="bottom"/>
          </w:tcPr>
          <w:p>
            <w:pPr>
              <w:jc w:val="right"/>
              <w:spacing w:after="0"/>
              <w:rPr>
                <w:sz w:val="20"/>
                <w:szCs w:val="20"/>
                <w:color w:val="auto"/>
              </w:rPr>
            </w:pPr>
            <w:r>
              <w:rPr>
                <w:rFonts w:ascii="Arial" w:cs="Arial" w:eastAsia="Arial" w:hAnsi="Arial"/>
                <w:sz w:val="18"/>
                <w:szCs w:val="18"/>
                <w:color w:val="auto"/>
              </w:rPr>
              <w:t>544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-1670050</wp:posOffset>
            </wp:positionV>
            <wp:extent cx="72466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-1395730</wp:posOffset>
            </wp:positionV>
            <wp:extent cx="72466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-1121410</wp:posOffset>
            </wp:positionV>
            <wp:extent cx="72466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-838200</wp:posOffset>
            </wp:positionV>
            <wp:extent cx="724662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-418465</wp:posOffset>
            </wp:positionV>
            <wp:extent cx="724662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9" w:lineRule="exact"/>
        <w:rPr>
          <w:sz w:val="20"/>
          <w:szCs w:val="20"/>
          <w:color w:val="auto"/>
        </w:rPr>
      </w:pPr>
    </w:p>
    <w:p>
      <w:pPr>
        <w:sectPr>
          <w:pgSz w:w="11900" w:h="16838" w:orient="portrait"/>
          <w:cols w:equalWidth="0" w:num="2">
            <w:col w:w="3420" w:space="40"/>
            <w:col w:w="796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3440" w:type="dxa"/>
            <w:vAlign w:val="bottom"/>
            <w:tcBorders>
              <w:bottom w:val="single" w:sz="8" w:color="E5E5E5"/>
            </w:tcBorders>
            <w:shd w:val="clear" w:color="auto" w:fill="E5E5E5"/>
          </w:tcPr>
          <w:p>
            <w:pPr>
              <w:spacing w:after="0" w:line="200" w:lineRule="exact"/>
              <w:rPr>
                <w:sz w:val="20"/>
                <w:szCs w:val="20"/>
                <w:color w:val="auto"/>
              </w:rPr>
            </w:pPr>
            <w:r>
              <w:rPr>
                <w:rFonts w:ascii="Arial" w:cs="Arial" w:eastAsia="Arial" w:hAnsi="Arial"/>
                <w:sz w:val="18"/>
                <w:szCs w:val="18"/>
                <w:color w:val="auto"/>
              </w:rPr>
              <w:t>Minority interest</w:t>
            </w:r>
          </w:p>
        </w:tc>
        <w:tc>
          <w:tcPr>
            <w:tcW w:w="1040" w:type="dxa"/>
            <w:vAlign w:val="bottom"/>
            <w:tcBorders>
              <w:bottom w:val="single" w:sz="8" w:color="auto"/>
            </w:tcBorders>
            <w:shd w:val="clear" w:color="auto" w:fill="E5E5E5"/>
          </w:tcPr>
          <w:p>
            <w:pPr>
              <w:jc w:val="right"/>
              <w:ind w:right="112"/>
              <w:spacing w:after="0" w:line="200"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E5E5E5"/>
          </w:tcPr>
          <w:p>
            <w:pPr>
              <w:jc w:val="right"/>
              <w:ind w:right="112"/>
              <w:spacing w:after="0" w:line="200"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E5E5E5"/>
          </w:tcPr>
          <w:p>
            <w:pPr>
              <w:jc w:val="right"/>
              <w:ind w:right="112"/>
              <w:spacing w:after="0" w:line="200"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E5E5E5"/>
          </w:tcPr>
          <w:p>
            <w:pPr>
              <w:jc w:val="right"/>
              <w:ind w:right="132"/>
              <w:spacing w:after="0" w:line="200"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E5E5E5"/>
          </w:tcPr>
          <w:p>
            <w:pPr>
              <w:jc w:val="right"/>
              <w:ind w:right="112"/>
              <w:spacing w:after="0" w:line="200" w:lineRule="exact"/>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E5E5E5"/>
          </w:tcPr>
          <w:p>
            <w:pPr>
              <w:spacing w:after="0"/>
              <w:rPr>
                <w:sz w:val="17"/>
                <w:szCs w:val="17"/>
                <w:color w:val="auto"/>
              </w:rPr>
            </w:pPr>
          </w:p>
        </w:tc>
        <w:tc>
          <w:tcPr>
            <w:tcW w:w="640" w:type="dxa"/>
            <w:vAlign w:val="bottom"/>
            <w:tcBorders>
              <w:bottom w:val="single" w:sz="8" w:color="auto"/>
            </w:tcBorders>
            <w:shd w:val="clear" w:color="auto" w:fill="E5E5E5"/>
          </w:tcPr>
          <w:p>
            <w:pPr>
              <w:jc w:val="right"/>
              <w:ind w:right="112"/>
              <w:spacing w:after="0" w:line="200" w:lineRule="exact"/>
              <w:rPr>
                <w:sz w:val="20"/>
                <w:szCs w:val="20"/>
                <w:color w:val="auto"/>
              </w:rPr>
            </w:pPr>
            <w:r>
              <w:rPr>
                <w:rFonts w:ascii="Arial" w:cs="Arial" w:eastAsia="Arial" w:hAnsi="Arial"/>
                <w:sz w:val="18"/>
                <w:szCs w:val="18"/>
                <w:color w:val="auto"/>
              </w:rPr>
              <w:t>16</w:t>
            </w:r>
          </w:p>
        </w:tc>
        <w:tc>
          <w:tcPr>
            <w:tcW w:w="1240" w:type="dxa"/>
            <w:vAlign w:val="bottom"/>
            <w:tcBorders>
              <w:bottom w:val="single" w:sz="8" w:color="auto"/>
            </w:tcBorders>
            <w:shd w:val="clear" w:color="auto" w:fill="E5E5E5"/>
          </w:tcPr>
          <w:p>
            <w:pPr>
              <w:jc w:val="right"/>
              <w:ind w:right="132"/>
              <w:spacing w:after="0" w:line="200" w:lineRule="exact"/>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E5E5E5"/>
          </w:tcPr>
          <w:p>
            <w:pPr>
              <w:spacing w:after="0"/>
              <w:rPr>
                <w:sz w:val="17"/>
                <w:szCs w:val="17"/>
                <w:color w:val="auto"/>
              </w:rPr>
            </w:pPr>
          </w:p>
        </w:tc>
        <w:tc>
          <w:tcPr>
            <w:tcW w:w="540" w:type="dxa"/>
            <w:vAlign w:val="bottom"/>
            <w:tcBorders>
              <w:bottom w:val="single" w:sz="8" w:color="auto"/>
            </w:tcBorders>
            <w:shd w:val="clear" w:color="auto" w:fill="E5E5E5"/>
          </w:tcPr>
          <w:p>
            <w:pPr>
              <w:jc w:val="right"/>
              <w:spacing w:after="0" w:line="200" w:lineRule="exact"/>
              <w:rPr>
                <w:sz w:val="20"/>
                <w:szCs w:val="20"/>
                <w:color w:val="auto"/>
              </w:rPr>
            </w:pPr>
            <w:r>
              <w:rPr>
                <w:rFonts w:ascii="Arial" w:cs="Arial" w:eastAsia="Arial" w:hAnsi="Arial"/>
                <w:sz w:val="18"/>
                <w:szCs w:val="18"/>
                <w:color w:val="auto"/>
              </w:rPr>
              <w:t>16</w:t>
            </w:r>
          </w:p>
        </w:tc>
      </w:tr>
      <w:tr>
        <w:trPr>
          <w:trHeight w:val="217"/>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10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  560</w:t>
            </w:r>
          </w:p>
        </w:tc>
        <w:tc>
          <w:tcPr>
            <w:tcW w:w="7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$ 350</w:t>
            </w:r>
          </w:p>
        </w:tc>
        <w:tc>
          <w:tcPr>
            <w:tcW w:w="8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$ 368</w:t>
            </w:r>
          </w:p>
        </w:tc>
        <w:tc>
          <w:tcPr>
            <w:tcW w:w="10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   420</w:t>
            </w:r>
          </w:p>
        </w:tc>
        <w:tc>
          <w:tcPr>
            <w:tcW w:w="9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  391</w:t>
            </w:r>
          </w:p>
        </w:tc>
        <w:tc>
          <w:tcPr>
            <w:tcW w:w="4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785</w:t>
            </w: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   (2,314)</w:t>
            </w:r>
          </w:p>
        </w:tc>
        <w:tc>
          <w:tcPr>
            <w:tcW w:w="4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560</w:t>
            </w:r>
          </w:p>
        </w:tc>
      </w:tr>
      <w:tr>
        <w:trPr>
          <w:trHeight w:val="363"/>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jc w:val="right"/>
              <w:ind w:right="192"/>
              <w:spacing w:after="0"/>
              <w:rPr>
                <w:sz w:val="20"/>
                <w:szCs w:val="20"/>
                <w:color w:val="auto"/>
              </w:rPr>
            </w:pPr>
            <w:r>
              <w:rPr>
                <w:rFonts w:ascii="Arial" w:cs="Arial" w:eastAsia="Arial" w:hAnsi="Arial"/>
                <w:sz w:val="18"/>
                <w:szCs w:val="18"/>
                <w:color w:val="auto"/>
              </w:rPr>
              <w:t>18</w:t>
            </w: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SEPTEMBER 30, 2007</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Consolidating Statement of Operations</w:t>
      </w:r>
    </w:p>
    <w:p>
      <w:pPr>
        <w:jc w:val="center"/>
        <w:spacing w:after="0"/>
        <w:rPr>
          <w:sz w:val="20"/>
          <w:szCs w:val="20"/>
          <w:color w:val="auto"/>
        </w:rPr>
      </w:pPr>
      <w:r>
        <w:rPr>
          <w:rFonts w:ascii="Arial" w:cs="Arial" w:eastAsia="Arial" w:hAnsi="Arial"/>
          <w:sz w:val="22"/>
          <w:szCs w:val="22"/>
          <w:b w:val="1"/>
          <w:bCs w:val="1"/>
          <w:color w:val="auto"/>
        </w:rPr>
        <w:t>For the Three Months Ended September 30, 2006</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Elimination</w:t>
            </w: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Combined</w:t>
            </w: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jc w:val="right"/>
              <w:ind w:right="313"/>
              <w:spacing w:after="0" w:line="149" w:lineRule="exact"/>
              <w:rPr>
                <w:sz w:val="20"/>
                <w:szCs w:val="20"/>
                <w:color w:val="auto"/>
              </w:rPr>
            </w:pPr>
            <w:r>
              <w:rPr>
                <w:rFonts w:ascii="Arial" w:cs="Arial" w:eastAsia="Arial" w:hAnsi="Arial"/>
                <w:sz w:val="14"/>
                <w:szCs w:val="14"/>
                <w:b w:val="1"/>
                <w:bCs w:val="1"/>
                <w:color w:val="auto"/>
              </w:rPr>
              <w:t>Non-</w:t>
            </w:r>
          </w:p>
        </w:tc>
        <w:tc>
          <w:tcPr>
            <w:tcW w:w="320" w:type="dxa"/>
            <w:vAlign w:val="bottom"/>
          </w:tcPr>
          <w:p>
            <w:pPr>
              <w:spacing w:after="0"/>
              <w:rPr>
                <w:sz w:val="12"/>
                <w:szCs w:val="12"/>
                <w:color w:val="auto"/>
              </w:rPr>
            </w:pPr>
          </w:p>
        </w:tc>
        <w:tc>
          <w:tcPr>
            <w:tcW w:w="800" w:type="dxa"/>
            <w:vAlign w:val="bottom"/>
          </w:tcPr>
          <w:p>
            <w:pPr>
              <w:jc w:val="center"/>
              <w:ind w:right="293"/>
              <w:spacing w:after="0" w:line="149" w:lineRule="exact"/>
              <w:rPr>
                <w:sz w:val="20"/>
                <w:szCs w:val="20"/>
                <w:color w:val="auto"/>
              </w:rPr>
            </w:pPr>
            <w:r>
              <w:rPr>
                <w:rFonts w:ascii="Arial" w:cs="Arial" w:eastAsia="Arial" w:hAnsi="Arial"/>
                <w:sz w:val="14"/>
                <w:szCs w:val="14"/>
                <w:b w:val="1"/>
                <w:bCs w:val="1"/>
                <w:color w:val="auto"/>
                <w:w w:val="88"/>
              </w:rPr>
              <w:t>and</w:t>
            </w:r>
          </w:p>
        </w:tc>
        <w:tc>
          <w:tcPr>
            <w:tcW w:w="96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w w:val="92"/>
              </w:rPr>
              <w:t>Consolidated</w:t>
            </w: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94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Comcast</w:t>
            </w:r>
          </w:p>
        </w:tc>
        <w:tc>
          <w:tcPr>
            <w:tcW w:w="74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CCCL</w:t>
            </w:r>
          </w:p>
        </w:tc>
        <w:tc>
          <w:tcPr>
            <w:tcW w:w="6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CCCH</w:t>
            </w:r>
          </w:p>
        </w:tc>
        <w:tc>
          <w:tcPr>
            <w:tcW w:w="920" w:type="dxa"/>
            <w:vAlign w:val="bottom"/>
            <w:gridSpan w:val="2"/>
          </w:tcPr>
          <w:p>
            <w:pPr>
              <w:jc w:val="right"/>
              <w:ind w:right="152"/>
              <w:spacing w:after="0" w:line="149" w:lineRule="exact"/>
              <w:rPr>
                <w:sz w:val="20"/>
                <w:szCs w:val="20"/>
                <w:color w:val="auto"/>
              </w:rPr>
            </w:pPr>
            <w:r>
              <w:rPr>
                <w:rFonts w:ascii="Arial" w:cs="Arial" w:eastAsia="Arial" w:hAnsi="Arial"/>
                <w:sz w:val="14"/>
                <w:szCs w:val="14"/>
                <w:b w:val="1"/>
                <w:bCs w:val="1"/>
                <w:color w:val="auto"/>
              </w:rPr>
              <w:t>CCHMO</w:t>
            </w:r>
          </w:p>
        </w:tc>
        <w:tc>
          <w:tcPr>
            <w:tcW w:w="82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Comcast</w:t>
            </w:r>
          </w:p>
        </w:tc>
        <w:tc>
          <w:tcPr>
            <w:tcW w:w="1040" w:type="dxa"/>
            <w:vAlign w:val="bottom"/>
            <w:gridSpan w:val="2"/>
          </w:tcPr>
          <w:p>
            <w:pPr>
              <w:jc w:val="right"/>
              <w:ind w:right="153"/>
              <w:spacing w:after="0" w:line="149" w:lineRule="exact"/>
              <w:rPr>
                <w:sz w:val="20"/>
                <w:szCs w:val="20"/>
                <w:color w:val="auto"/>
              </w:rPr>
            </w:pPr>
            <w:r>
              <w:rPr>
                <w:rFonts w:ascii="Arial" w:cs="Arial" w:eastAsia="Arial" w:hAnsi="Arial"/>
                <w:sz w:val="14"/>
                <w:szCs w:val="14"/>
                <w:b w:val="1"/>
                <w:bCs w:val="1"/>
                <w:color w:val="auto"/>
              </w:rPr>
              <w:t>Guarantor</w:t>
            </w: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Consolidation</w:t>
            </w:r>
          </w:p>
        </w:tc>
        <w:tc>
          <w:tcPr>
            <w:tcW w:w="240" w:type="dxa"/>
            <w:vAlign w:val="bottom"/>
          </w:tcPr>
          <w:p>
            <w:pPr>
              <w:spacing w:after="0"/>
              <w:rPr>
                <w:sz w:val="12"/>
                <w:szCs w:val="12"/>
                <w:color w:val="auto"/>
              </w:rPr>
            </w:pPr>
          </w:p>
        </w:tc>
        <w:tc>
          <w:tcPr>
            <w:tcW w:w="720" w:type="dxa"/>
            <w:vAlign w:val="bottom"/>
          </w:tcPr>
          <w:p>
            <w:pPr>
              <w:jc w:val="right"/>
              <w:ind w:right="113"/>
              <w:spacing w:after="0" w:line="149" w:lineRule="exact"/>
              <w:rPr>
                <w:sz w:val="20"/>
                <w:szCs w:val="20"/>
                <w:color w:val="auto"/>
              </w:rPr>
            </w:pPr>
            <w:r>
              <w:rPr>
                <w:rFonts w:ascii="Arial" w:cs="Arial" w:eastAsia="Arial" w:hAnsi="Arial"/>
                <w:sz w:val="14"/>
                <w:szCs w:val="14"/>
                <w:b w:val="1"/>
                <w:bCs w:val="1"/>
                <w:color w:val="auto"/>
                <w:w w:val="84"/>
              </w:rPr>
              <w:t>Comcast</w:t>
            </w:r>
          </w:p>
        </w:tc>
      </w:tr>
      <w:tr>
        <w:trPr>
          <w:trHeight w:val="161"/>
        </w:trPr>
        <w:tc>
          <w:tcPr>
            <w:tcW w:w="42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94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Parent</w:t>
            </w:r>
          </w:p>
        </w:tc>
        <w:tc>
          <w:tcPr>
            <w:tcW w:w="740" w:type="dxa"/>
            <w:vAlign w:val="bottom"/>
            <w:gridSpan w:val="2"/>
          </w:tcPr>
          <w:p>
            <w:pPr>
              <w:ind w:left="120"/>
              <w:spacing w:after="0"/>
              <w:rPr>
                <w:sz w:val="20"/>
                <w:szCs w:val="20"/>
                <w:color w:val="auto"/>
              </w:rPr>
            </w:pPr>
            <w:r>
              <w:rPr>
                <w:rFonts w:ascii="Arial" w:cs="Arial" w:eastAsia="Arial" w:hAnsi="Arial"/>
                <w:sz w:val="14"/>
                <w:szCs w:val="14"/>
                <w:b w:val="1"/>
                <w:bCs w:val="1"/>
                <w:color w:val="auto"/>
              </w:rPr>
              <w:t>Parent</w:t>
            </w: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Parent</w:t>
            </w:r>
          </w:p>
        </w:tc>
        <w:tc>
          <w:tcPr>
            <w:tcW w:w="92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Parents</w:t>
            </w:r>
          </w:p>
        </w:tc>
        <w:tc>
          <w:tcPr>
            <w:tcW w:w="820" w:type="dxa"/>
            <w:vAlign w:val="bottom"/>
            <w:gridSpan w:val="2"/>
          </w:tcPr>
          <w:p>
            <w:pPr>
              <w:ind w:left="120"/>
              <w:spacing w:after="0"/>
              <w:rPr>
                <w:sz w:val="20"/>
                <w:szCs w:val="20"/>
                <w:color w:val="auto"/>
              </w:rPr>
            </w:pPr>
            <w:r>
              <w:rPr>
                <w:rFonts w:ascii="Arial" w:cs="Arial" w:eastAsia="Arial" w:hAnsi="Arial"/>
                <w:sz w:val="14"/>
                <w:szCs w:val="14"/>
                <w:b w:val="1"/>
                <w:bCs w:val="1"/>
                <w:color w:val="auto"/>
              </w:rPr>
              <w:t>Holdings</w:t>
            </w: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Subsidiaries</w:t>
            </w: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Adjustments</w:t>
            </w:r>
          </w:p>
        </w:tc>
        <w:tc>
          <w:tcPr>
            <w:tcW w:w="960" w:type="dxa"/>
            <w:vAlign w:val="bottom"/>
            <w:gridSpan w:val="2"/>
          </w:tcPr>
          <w:p>
            <w:pPr>
              <w:ind w:left="140"/>
              <w:spacing w:after="0"/>
              <w:rPr>
                <w:sz w:val="20"/>
                <w:szCs w:val="20"/>
                <w:color w:val="auto"/>
              </w:rPr>
            </w:pPr>
            <w:r>
              <w:rPr>
                <w:rFonts w:ascii="Arial" w:cs="Arial" w:eastAsia="Arial" w:hAnsi="Arial"/>
                <w:sz w:val="14"/>
                <w:szCs w:val="14"/>
                <w:b w:val="1"/>
                <w:bCs w:val="1"/>
                <w:color w:val="auto"/>
                <w:w w:val="99"/>
              </w:rPr>
              <w:t>Corporation</w:t>
            </w:r>
          </w:p>
        </w:tc>
      </w:tr>
      <w:tr>
        <w:trPr>
          <w:trHeight w:val="210"/>
        </w:trPr>
        <w:tc>
          <w:tcPr>
            <w:tcW w:w="20" w:type="dxa"/>
            <w:vAlign w:val="bottom"/>
          </w:tcPr>
          <w:p>
            <w:pPr>
              <w:spacing w:after="0"/>
              <w:rPr>
                <w:sz w:val="18"/>
                <w:szCs w:val="18"/>
                <w:color w:val="auto"/>
              </w:rPr>
            </w:pPr>
          </w:p>
        </w:tc>
        <w:tc>
          <w:tcPr>
            <w:tcW w:w="41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Revenues</w:t>
            </w:r>
          </w:p>
        </w:tc>
        <w:tc>
          <w:tcPr>
            <w:tcW w:w="34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52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480" w:type="dxa"/>
            <w:vAlign w:val="bottom"/>
            <w:tcBorders>
              <w:top w:val="single" w:sz="8" w:color="auto"/>
            </w:tcBorders>
            <w:shd w:val="clear" w:color="auto" w:fill="E5E5E5"/>
          </w:tcPr>
          <w:p>
            <w:pPr>
              <w:spacing w:after="0"/>
              <w:rPr>
                <w:sz w:val="18"/>
                <w:szCs w:val="18"/>
                <w:color w:val="auto"/>
              </w:rPr>
            </w:pPr>
          </w:p>
        </w:tc>
        <w:tc>
          <w:tcPr>
            <w:tcW w:w="340" w:type="dxa"/>
            <w:vAlign w:val="bottom"/>
            <w:tcBorders>
              <w:top w:val="single" w:sz="8" w:color="auto"/>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spacing w:after="0"/>
              <w:rPr>
                <w:sz w:val="18"/>
                <w:szCs w:val="18"/>
                <w:color w:val="auto"/>
              </w:rPr>
            </w:pPr>
          </w:p>
        </w:tc>
        <w:tc>
          <w:tcPr>
            <w:tcW w:w="300" w:type="dxa"/>
            <w:vAlign w:val="bottom"/>
            <w:tcBorders>
              <w:top w:val="single" w:sz="8" w:color="auto"/>
            </w:tcBorders>
            <w:shd w:val="clear" w:color="auto" w:fill="E5E5E5"/>
          </w:tcPr>
          <w:p>
            <w:pPr>
              <w:spacing w:after="0"/>
              <w:rPr>
                <w:sz w:val="18"/>
                <w:szCs w:val="18"/>
                <w:color w:val="auto"/>
              </w:rPr>
            </w:pPr>
          </w:p>
        </w:tc>
        <w:tc>
          <w:tcPr>
            <w:tcW w:w="52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76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80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200"/>
              <w:spacing w:after="0"/>
              <w:rPr>
                <w:sz w:val="20"/>
                <w:szCs w:val="20"/>
                <w:color w:val="auto"/>
              </w:rPr>
            </w:pPr>
            <w:r>
              <w:rPr>
                <w:rFonts w:ascii="Arial" w:cs="Arial" w:eastAsia="Arial" w:hAnsi="Arial"/>
                <w:sz w:val="18"/>
                <w:szCs w:val="18"/>
                <w:color w:val="auto"/>
              </w:rPr>
              <w:t>Service revenues</w:t>
            </w:r>
          </w:p>
        </w:tc>
        <w:tc>
          <w:tcPr>
            <w:tcW w:w="340" w:type="dxa"/>
            <w:vAlign w:val="bottom"/>
          </w:tcPr>
          <w:p>
            <w:pPr>
              <w:ind w:left="24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0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Pr>
          <w:p>
            <w:pPr>
              <w:ind w:left="12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Pr>
          <w:p>
            <w:pPr>
              <w:ind w:left="12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ind w:left="14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6,432</w:t>
            </w:r>
          </w:p>
        </w:tc>
        <w:tc>
          <w:tcPr>
            <w:tcW w:w="320" w:type="dxa"/>
            <w:vAlign w:val="bottom"/>
          </w:tcPr>
          <w:p>
            <w:pPr>
              <w:jc w:val="right"/>
              <w:ind w:right="44"/>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6,432</w:t>
            </w:r>
          </w:p>
        </w:tc>
      </w:tr>
      <w:tr>
        <w:trPr>
          <w:trHeight w:val="216"/>
        </w:trPr>
        <w:tc>
          <w:tcPr>
            <w:tcW w:w="20" w:type="dxa"/>
            <w:vAlign w:val="bottom"/>
          </w:tcPr>
          <w:p>
            <w:pPr>
              <w:spacing w:after="0"/>
              <w:rPr>
                <w:sz w:val="18"/>
                <w:szCs w:val="18"/>
                <w:color w:val="auto"/>
              </w:rPr>
            </w:pPr>
          </w:p>
        </w:tc>
        <w:tc>
          <w:tcPr>
            <w:tcW w:w="418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Management fee revenue</w:t>
            </w:r>
          </w:p>
        </w:tc>
        <w:tc>
          <w:tcPr>
            <w:tcW w:w="34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137</w:t>
            </w:r>
          </w:p>
        </w:tc>
        <w:tc>
          <w:tcPr>
            <w:tcW w:w="2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49</w:t>
            </w:r>
          </w:p>
        </w:tc>
        <w:tc>
          <w:tcPr>
            <w:tcW w:w="20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74</w:t>
            </w:r>
          </w:p>
        </w:tc>
        <w:tc>
          <w:tcPr>
            <w:tcW w:w="34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74</w:t>
            </w:r>
          </w:p>
        </w:tc>
        <w:tc>
          <w:tcPr>
            <w:tcW w:w="3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(336)</w:t>
            </w:r>
          </w:p>
        </w:tc>
        <w:tc>
          <w:tcPr>
            <w:tcW w:w="2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137</w:t>
            </w:r>
          </w:p>
        </w:tc>
        <w:tc>
          <w:tcPr>
            <w:tcW w:w="2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49</w:t>
            </w:r>
          </w:p>
        </w:tc>
        <w:tc>
          <w:tcPr>
            <w:tcW w:w="2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74</w:t>
            </w: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74</w:t>
            </w:r>
          </w:p>
        </w:tc>
        <w:tc>
          <w:tcPr>
            <w:tcW w:w="3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6,432</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(336)</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6,432</w:t>
            </w:r>
          </w:p>
        </w:tc>
      </w:tr>
      <w:tr>
        <w:trPr>
          <w:trHeight w:val="210"/>
        </w:trPr>
        <w:tc>
          <w:tcPr>
            <w:tcW w:w="20" w:type="dxa"/>
            <w:vAlign w:val="bottom"/>
          </w:tcPr>
          <w:p>
            <w:pPr>
              <w:spacing w:after="0"/>
              <w:rPr>
                <w:sz w:val="18"/>
                <w:szCs w:val="18"/>
                <w:color w:val="auto"/>
              </w:rPr>
            </w:pPr>
          </w:p>
        </w:tc>
        <w:tc>
          <w:tcPr>
            <w:tcW w:w="41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Costs and Expenses</w:t>
            </w:r>
          </w:p>
        </w:tc>
        <w:tc>
          <w:tcPr>
            <w:tcW w:w="34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200"/>
              <w:spacing w:after="0"/>
              <w:rPr>
                <w:sz w:val="20"/>
                <w:szCs w:val="20"/>
                <w:color w:val="auto"/>
              </w:rPr>
            </w:pPr>
            <w:r>
              <w:rPr>
                <w:rFonts w:ascii="Arial" w:cs="Arial" w:eastAsia="Arial" w:hAnsi="Arial"/>
                <w:sz w:val="18"/>
                <w:szCs w:val="18"/>
                <w:color w:val="auto"/>
              </w:rPr>
              <w:t>Operating (excluding depreciation)</w:t>
            </w:r>
          </w:p>
        </w:tc>
        <w:tc>
          <w:tcPr>
            <w:tcW w:w="340" w:type="dxa"/>
            <w:vAlign w:val="bottom"/>
          </w:tcPr>
          <w:p>
            <w:pPr>
              <w:spacing w:after="0"/>
              <w:rPr>
                <w:sz w:val="18"/>
                <w:szCs w:val="18"/>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2,274</w:t>
            </w:r>
          </w:p>
        </w:tc>
        <w:tc>
          <w:tcPr>
            <w:tcW w:w="32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2,274</w:t>
            </w:r>
          </w:p>
        </w:tc>
      </w:tr>
      <w:tr>
        <w:trPr>
          <w:trHeight w:val="216"/>
        </w:trPr>
        <w:tc>
          <w:tcPr>
            <w:tcW w:w="20" w:type="dxa"/>
            <w:vAlign w:val="bottom"/>
          </w:tcPr>
          <w:p>
            <w:pPr>
              <w:spacing w:after="0"/>
              <w:rPr>
                <w:sz w:val="18"/>
                <w:szCs w:val="18"/>
                <w:color w:val="auto"/>
              </w:rPr>
            </w:pPr>
          </w:p>
        </w:tc>
        <w:tc>
          <w:tcPr>
            <w:tcW w:w="41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64</w:t>
            </w:r>
          </w:p>
        </w:tc>
        <w:tc>
          <w:tcPr>
            <w:tcW w:w="2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49</w:t>
            </w:r>
          </w:p>
        </w:tc>
        <w:tc>
          <w:tcPr>
            <w:tcW w:w="20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74</w:t>
            </w:r>
          </w:p>
        </w:tc>
        <w:tc>
          <w:tcPr>
            <w:tcW w:w="3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74</w:t>
            </w:r>
          </w:p>
        </w:tc>
        <w:tc>
          <w:tcPr>
            <w:tcW w:w="30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5</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1,791</w:t>
            </w:r>
          </w:p>
        </w:tc>
        <w:tc>
          <w:tcPr>
            <w:tcW w:w="3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(336)</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1,721</w:t>
            </w:r>
          </w:p>
        </w:tc>
      </w:tr>
      <w:tr>
        <w:trPr>
          <w:trHeight w:val="216"/>
        </w:trPr>
        <w:tc>
          <w:tcPr>
            <w:tcW w:w="20" w:type="dxa"/>
            <w:vAlign w:val="bottom"/>
          </w:tcPr>
          <w:p>
            <w:pPr>
              <w:spacing w:after="0"/>
              <w:rPr>
                <w:sz w:val="18"/>
                <w:szCs w:val="18"/>
                <w:color w:val="auto"/>
              </w:rPr>
            </w:pPr>
          </w:p>
        </w:tc>
        <w:tc>
          <w:tcPr>
            <w:tcW w:w="418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340" w:type="dxa"/>
            <w:vAlign w:val="bottom"/>
          </w:tcPr>
          <w:p>
            <w:pPr>
              <w:spacing w:after="0"/>
              <w:rPr>
                <w:sz w:val="18"/>
                <w:szCs w:val="18"/>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5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962</w:t>
            </w:r>
          </w:p>
        </w:tc>
        <w:tc>
          <w:tcPr>
            <w:tcW w:w="32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963</w:t>
            </w:r>
          </w:p>
        </w:tc>
      </w:tr>
      <w:tr>
        <w:trPr>
          <w:trHeight w:val="216"/>
        </w:trPr>
        <w:tc>
          <w:tcPr>
            <w:tcW w:w="20" w:type="dxa"/>
            <w:vAlign w:val="bottom"/>
          </w:tcPr>
          <w:p>
            <w:pPr>
              <w:spacing w:after="0"/>
              <w:rPr>
                <w:sz w:val="18"/>
                <w:szCs w:val="18"/>
                <w:color w:val="auto"/>
              </w:rPr>
            </w:pPr>
          </w:p>
        </w:tc>
        <w:tc>
          <w:tcPr>
            <w:tcW w:w="418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Amortization</w:t>
            </w:r>
          </w:p>
        </w:tc>
        <w:tc>
          <w:tcPr>
            <w:tcW w:w="34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250</w:t>
            </w:r>
          </w:p>
        </w:tc>
        <w:tc>
          <w:tcPr>
            <w:tcW w:w="32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250</w:t>
            </w:r>
          </w:p>
        </w:tc>
      </w:tr>
      <w:tr>
        <w:trPr>
          <w:trHeight w:val="210"/>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65</w:t>
            </w:r>
          </w:p>
        </w:tc>
        <w:tc>
          <w:tcPr>
            <w:tcW w:w="2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49</w:t>
            </w:r>
          </w:p>
        </w:tc>
        <w:tc>
          <w:tcPr>
            <w:tcW w:w="2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74</w:t>
            </w: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74</w:t>
            </w:r>
          </w:p>
        </w:tc>
        <w:tc>
          <w:tcPr>
            <w:tcW w:w="3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5</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5,277</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(336)</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5,208</w:t>
            </w:r>
          </w:p>
        </w:tc>
      </w:tr>
      <w:tr>
        <w:trPr>
          <w:trHeight w:val="210"/>
        </w:trPr>
        <w:tc>
          <w:tcPr>
            <w:tcW w:w="20" w:type="dxa"/>
            <w:vAlign w:val="bottom"/>
          </w:tcPr>
          <w:p>
            <w:pPr>
              <w:spacing w:after="0"/>
              <w:rPr>
                <w:sz w:val="18"/>
                <w:szCs w:val="18"/>
                <w:color w:val="auto"/>
              </w:rPr>
            </w:pPr>
          </w:p>
        </w:tc>
        <w:tc>
          <w:tcPr>
            <w:tcW w:w="418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w:t>
            </w:r>
          </w:p>
        </w:tc>
        <w:tc>
          <w:tcPr>
            <w:tcW w:w="34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72</w:t>
            </w:r>
          </w:p>
        </w:tc>
        <w:tc>
          <w:tcPr>
            <w:tcW w:w="2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(3)</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1,155</w:t>
            </w:r>
          </w:p>
        </w:tc>
        <w:tc>
          <w:tcPr>
            <w:tcW w:w="3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1,224</w:t>
            </w: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(210)</w:t>
            </w:r>
          </w:p>
        </w:tc>
        <w:tc>
          <w:tcPr>
            <w:tcW w:w="2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(96)</w:t>
            </w:r>
          </w:p>
        </w:tc>
        <w:tc>
          <w:tcPr>
            <w:tcW w:w="20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w w:val="99"/>
              </w:rPr>
              <w:t>(80)</w:t>
            </w:r>
          </w:p>
        </w:tc>
        <w:tc>
          <w:tcPr>
            <w:tcW w:w="3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(62)</w:t>
            </w:r>
          </w:p>
        </w:tc>
        <w:tc>
          <w:tcPr>
            <w:tcW w:w="30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(26)</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(56)</w:t>
            </w:r>
          </w:p>
        </w:tc>
        <w:tc>
          <w:tcPr>
            <w:tcW w:w="3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(530)</w:t>
            </w:r>
          </w:p>
        </w:tc>
      </w:tr>
      <w:tr>
        <w:trPr>
          <w:trHeight w:val="216"/>
        </w:trPr>
        <w:tc>
          <w:tcPr>
            <w:tcW w:w="20" w:type="dxa"/>
            <w:vAlign w:val="bottom"/>
          </w:tcPr>
          <w:p>
            <w:pPr>
              <w:spacing w:after="0"/>
              <w:rPr>
                <w:sz w:val="18"/>
                <w:szCs w:val="18"/>
                <w:color w:val="auto"/>
              </w:rPr>
            </w:pPr>
          </w:p>
        </w:tc>
        <w:tc>
          <w:tcPr>
            <w:tcW w:w="4180" w:type="dxa"/>
            <w:vAlign w:val="bottom"/>
          </w:tcPr>
          <w:p>
            <w:pPr>
              <w:ind w:left="200"/>
              <w:spacing w:after="0"/>
              <w:rPr>
                <w:sz w:val="20"/>
                <w:szCs w:val="20"/>
                <w:color w:val="auto"/>
              </w:rPr>
            </w:pPr>
            <w:r>
              <w:rPr>
                <w:rFonts w:ascii="Arial" w:cs="Arial" w:eastAsia="Arial" w:hAnsi="Arial"/>
                <w:sz w:val="18"/>
                <w:szCs w:val="18"/>
                <w:color w:val="auto"/>
              </w:rPr>
              <w:t>Investment income (loss), net</w:t>
            </w:r>
          </w:p>
        </w:tc>
        <w:tc>
          <w:tcPr>
            <w:tcW w:w="340" w:type="dxa"/>
            <w:vAlign w:val="bottom"/>
          </w:tcPr>
          <w:p>
            <w:pPr>
              <w:spacing w:after="0"/>
              <w:rPr>
                <w:sz w:val="18"/>
                <w:szCs w:val="18"/>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20" w:type="dxa"/>
            <w:vAlign w:val="bottom"/>
          </w:tcPr>
          <w:p>
            <w:pPr>
              <w:jc w:val="right"/>
              <w:ind w:right="92"/>
              <w:spacing w:after="0"/>
              <w:rPr>
                <w:sz w:val="20"/>
                <w:szCs w:val="20"/>
                <w:color w:val="auto"/>
              </w:rPr>
            </w:pPr>
            <w:r>
              <w:rPr>
                <w:rFonts w:ascii="Arial" w:cs="Arial" w:eastAsia="Arial" w:hAnsi="Arial"/>
                <w:sz w:val="18"/>
                <w:szCs w:val="18"/>
                <w:color w:val="auto"/>
              </w:rPr>
              <w:t>49</w:t>
            </w:r>
          </w:p>
        </w:tc>
        <w:tc>
          <w:tcPr>
            <w:tcW w:w="28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808</w:t>
            </w:r>
          </w:p>
        </w:tc>
        <w:tc>
          <w:tcPr>
            <w:tcW w:w="32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857</w:t>
            </w:r>
          </w:p>
        </w:tc>
      </w:tr>
      <w:tr>
        <w:trPr>
          <w:trHeight w:val="216"/>
        </w:trPr>
        <w:tc>
          <w:tcPr>
            <w:tcW w:w="20" w:type="dxa"/>
            <w:vAlign w:val="bottom"/>
          </w:tcPr>
          <w:p>
            <w:pPr>
              <w:spacing w:after="0"/>
              <w:rPr>
                <w:sz w:val="18"/>
                <w:szCs w:val="18"/>
                <w:color w:val="auto"/>
              </w:rPr>
            </w:pPr>
          </w:p>
        </w:tc>
        <w:tc>
          <w:tcPr>
            <w:tcW w:w="41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Equity in net (losses) income of affiliates, net</w:t>
            </w:r>
          </w:p>
        </w:tc>
        <w:tc>
          <w:tcPr>
            <w:tcW w:w="34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8"/>
              </w:rPr>
              <w:t>1,307</w:t>
            </w:r>
          </w:p>
        </w:tc>
        <w:tc>
          <w:tcPr>
            <w:tcW w:w="2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93"/>
              </w:rPr>
              <w:t>376</w:t>
            </w:r>
          </w:p>
        </w:tc>
        <w:tc>
          <w:tcPr>
            <w:tcW w:w="20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w w:val="86"/>
              </w:rPr>
              <w:t>736</w:t>
            </w:r>
          </w:p>
        </w:tc>
        <w:tc>
          <w:tcPr>
            <w:tcW w:w="3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777</w:t>
            </w:r>
          </w:p>
        </w:tc>
        <w:tc>
          <w:tcPr>
            <w:tcW w:w="30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337</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(83)</w:t>
            </w:r>
          </w:p>
        </w:tc>
        <w:tc>
          <w:tcPr>
            <w:tcW w:w="3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(3,515)</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20" w:type="dxa"/>
            <w:vAlign w:val="bottom"/>
          </w:tcPr>
          <w:p>
            <w:pPr>
              <w:spacing w:after="0"/>
              <w:rPr>
                <w:sz w:val="18"/>
                <w:szCs w:val="18"/>
                <w:color w:val="auto"/>
              </w:rPr>
            </w:pPr>
          </w:p>
        </w:tc>
        <w:tc>
          <w:tcPr>
            <w:tcW w:w="4180" w:type="dxa"/>
            <w:vAlign w:val="bottom"/>
          </w:tcPr>
          <w:p>
            <w:pPr>
              <w:ind w:left="200"/>
              <w:spacing w:after="0"/>
              <w:rPr>
                <w:sz w:val="20"/>
                <w:szCs w:val="20"/>
                <w:color w:val="auto"/>
              </w:rPr>
            </w:pPr>
            <w:r>
              <w:rPr>
                <w:rFonts w:ascii="Arial" w:cs="Arial" w:eastAsia="Arial" w:hAnsi="Arial"/>
                <w:sz w:val="18"/>
                <w:szCs w:val="18"/>
                <w:color w:val="auto"/>
              </w:rPr>
              <w:t>Other income (expense)</w:t>
            </w: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96</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r>
      <w:tr>
        <w:trPr>
          <w:trHeight w:val="210"/>
        </w:trPr>
        <w:tc>
          <w:tcPr>
            <w:tcW w:w="20" w:type="dxa"/>
            <w:vAlign w:val="bottom"/>
          </w:tcPr>
          <w:p>
            <w:pPr>
              <w:spacing w:after="0"/>
              <w:rPr>
                <w:sz w:val="18"/>
                <w:szCs w:val="18"/>
                <w:color w:val="auto"/>
              </w:rPr>
            </w:pPr>
          </w:p>
        </w:tc>
        <w:tc>
          <w:tcPr>
            <w:tcW w:w="4180" w:type="dxa"/>
            <w:vAlign w:val="bottom"/>
            <w:tcBorders>
              <w:bottom w:val="single" w:sz="8" w:color="E5E5E5"/>
            </w:tcBorders>
            <w:shd w:val="clear" w:color="auto" w:fill="E5E5E5"/>
          </w:tcPr>
          <w:p>
            <w:pPr>
              <w:spacing w:after="0"/>
              <w:rPr>
                <w:sz w:val="18"/>
                <w:szCs w:val="18"/>
                <w:color w:val="auto"/>
              </w:rPr>
            </w:pPr>
          </w:p>
        </w:tc>
        <w:tc>
          <w:tcPr>
            <w:tcW w:w="34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w w:val="88"/>
              </w:rPr>
              <w:t>1,097</w:t>
            </w:r>
          </w:p>
        </w:tc>
        <w:tc>
          <w:tcPr>
            <w:tcW w:w="2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w w:val="93"/>
              </w:rPr>
              <w:t>280</w:t>
            </w:r>
          </w:p>
        </w:tc>
        <w:tc>
          <w:tcPr>
            <w:tcW w:w="20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w w:val="86"/>
              </w:rPr>
              <w:t>656</w:t>
            </w:r>
          </w:p>
        </w:tc>
        <w:tc>
          <w:tcPr>
            <w:tcW w:w="34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715</w:t>
            </w:r>
          </w:p>
        </w:tc>
        <w:tc>
          <w:tcPr>
            <w:tcW w:w="3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360</w:t>
            </w:r>
          </w:p>
        </w:tc>
        <w:tc>
          <w:tcPr>
            <w:tcW w:w="28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765</w:t>
            </w:r>
          </w:p>
        </w:tc>
        <w:tc>
          <w:tcPr>
            <w:tcW w:w="32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(3,515)</w:t>
            </w:r>
          </w:p>
        </w:tc>
        <w:tc>
          <w:tcPr>
            <w:tcW w:w="2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358</w:t>
            </w:r>
          </w:p>
        </w:tc>
      </w:tr>
      <w:tr>
        <w:trPr>
          <w:trHeight w:val="201"/>
        </w:trPr>
        <w:tc>
          <w:tcPr>
            <w:tcW w:w="20" w:type="dxa"/>
            <w:vAlign w:val="bottom"/>
          </w:tcPr>
          <w:p>
            <w:pPr>
              <w:spacing w:after="0"/>
              <w:rPr>
                <w:sz w:val="17"/>
                <w:szCs w:val="17"/>
                <w:color w:val="auto"/>
              </w:rPr>
            </w:pPr>
          </w:p>
        </w:tc>
        <w:tc>
          <w:tcPr>
            <w:tcW w:w="4180" w:type="dxa"/>
            <w:vAlign w:val="bottom"/>
          </w:tcPr>
          <w:p>
            <w:pPr>
              <w:spacing w:after="0" w:line="201" w:lineRule="exact"/>
              <w:rPr>
                <w:sz w:val="20"/>
                <w:szCs w:val="20"/>
                <w:color w:val="auto"/>
              </w:rPr>
            </w:pPr>
            <w:r>
              <w:rPr>
                <w:rFonts w:ascii="Arial" w:cs="Arial" w:eastAsia="Arial" w:hAnsi="Arial"/>
                <w:sz w:val="18"/>
                <w:szCs w:val="18"/>
                <w:color w:val="auto"/>
                <w:w w:val="93"/>
              </w:rPr>
              <w:t>Income (loss) from continuing operations before income</w:t>
            </w: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4180" w:type="dxa"/>
            <w:vAlign w:val="bottom"/>
          </w:tcPr>
          <w:p>
            <w:pPr>
              <w:ind w:left="200"/>
              <w:spacing w:after="0"/>
              <w:rPr>
                <w:sz w:val="20"/>
                <w:szCs w:val="20"/>
                <w:color w:val="auto"/>
              </w:rPr>
            </w:pPr>
            <w:r>
              <w:rPr>
                <w:rFonts w:ascii="Arial" w:cs="Arial" w:eastAsia="Arial" w:hAnsi="Arial"/>
                <w:sz w:val="18"/>
                <w:szCs w:val="18"/>
                <w:color w:val="auto"/>
              </w:rPr>
              <w:t>taxes and minority interest</w:t>
            </w:r>
          </w:p>
        </w:tc>
        <w:tc>
          <w:tcPr>
            <w:tcW w:w="340" w:type="dxa"/>
            <w:vAlign w:val="bottom"/>
          </w:tcPr>
          <w:p>
            <w:pPr>
              <w:spacing w:after="0"/>
              <w:rPr>
                <w:sz w:val="19"/>
                <w:szCs w:val="19"/>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color w:val="auto"/>
                <w:w w:val="88"/>
              </w:rPr>
              <w:t>1,169</w:t>
            </w:r>
          </w:p>
        </w:tc>
        <w:tc>
          <w:tcPr>
            <w:tcW w:w="220" w:type="dxa"/>
            <w:vAlign w:val="bottom"/>
          </w:tcPr>
          <w:p>
            <w:pPr>
              <w:spacing w:after="0"/>
              <w:rPr>
                <w:sz w:val="19"/>
                <w:szCs w:val="19"/>
                <w:color w:val="auto"/>
              </w:rPr>
            </w:pPr>
          </w:p>
        </w:tc>
        <w:tc>
          <w:tcPr>
            <w:tcW w:w="520" w:type="dxa"/>
            <w:vAlign w:val="bottom"/>
          </w:tcPr>
          <w:p>
            <w:pPr>
              <w:jc w:val="right"/>
              <w:ind w:right="132"/>
              <w:spacing w:after="0"/>
              <w:rPr>
                <w:sz w:val="20"/>
                <w:szCs w:val="20"/>
                <w:color w:val="auto"/>
              </w:rPr>
            </w:pPr>
            <w:r>
              <w:rPr>
                <w:rFonts w:ascii="Arial" w:cs="Arial" w:eastAsia="Arial" w:hAnsi="Arial"/>
                <w:sz w:val="18"/>
                <w:szCs w:val="18"/>
                <w:color w:val="auto"/>
                <w:w w:val="93"/>
              </w:rPr>
              <w:t>280</w:t>
            </w:r>
          </w:p>
        </w:tc>
        <w:tc>
          <w:tcPr>
            <w:tcW w:w="200" w:type="dxa"/>
            <w:vAlign w:val="bottom"/>
          </w:tcPr>
          <w:p>
            <w:pPr>
              <w:spacing w:after="0"/>
              <w:rPr>
                <w:sz w:val="19"/>
                <w:szCs w:val="19"/>
                <w:color w:val="auto"/>
              </w:rPr>
            </w:pPr>
          </w:p>
        </w:tc>
        <w:tc>
          <w:tcPr>
            <w:tcW w:w="480" w:type="dxa"/>
            <w:vAlign w:val="bottom"/>
          </w:tcPr>
          <w:p>
            <w:pPr>
              <w:jc w:val="right"/>
              <w:ind w:right="112"/>
              <w:spacing w:after="0"/>
              <w:rPr>
                <w:sz w:val="20"/>
                <w:szCs w:val="20"/>
                <w:color w:val="auto"/>
              </w:rPr>
            </w:pPr>
            <w:r>
              <w:rPr>
                <w:rFonts w:ascii="Arial" w:cs="Arial" w:eastAsia="Arial" w:hAnsi="Arial"/>
                <w:sz w:val="18"/>
                <w:szCs w:val="18"/>
                <w:color w:val="auto"/>
                <w:w w:val="86"/>
              </w:rPr>
              <w:t>656</w:t>
            </w:r>
          </w:p>
        </w:tc>
        <w:tc>
          <w:tcPr>
            <w:tcW w:w="340" w:type="dxa"/>
            <w:vAlign w:val="bottom"/>
          </w:tcPr>
          <w:p>
            <w:pPr>
              <w:spacing w:after="0"/>
              <w:rPr>
                <w:sz w:val="19"/>
                <w:szCs w:val="19"/>
                <w:color w:val="auto"/>
              </w:rPr>
            </w:pP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715</w:t>
            </w:r>
          </w:p>
        </w:tc>
        <w:tc>
          <w:tcPr>
            <w:tcW w:w="300" w:type="dxa"/>
            <w:vAlign w:val="bottom"/>
          </w:tcPr>
          <w:p>
            <w:pPr>
              <w:spacing w:after="0"/>
              <w:rPr>
                <w:sz w:val="19"/>
                <w:szCs w:val="19"/>
                <w:color w:val="auto"/>
              </w:rPr>
            </w:pPr>
          </w:p>
        </w:tc>
        <w:tc>
          <w:tcPr>
            <w:tcW w:w="520" w:type="dxa"/>
            <w:vAlign w:val="bottom"/>
          </w:tcPr>
          <w:p>
            <w:pPr>
              <w:jc w:val="right"/>
              <w:ind w:right="92"/>
              <w:spacing w:after="0"/>
              <w:rPr>
                <w:sz w:val="20"/>
                <w:szCs w:val="20"/>
                <w:color w:val="auto"/>
              </w:rPr>
            </w:pPr>
            <w:r>
              <w:rPr>
                <w:rFonts w:ascii="Arial" w:cs="Arial" w:eastAsia="Arial" w:hAnsi="Arial"/>
                <w:sz w:val="18"/>
                <w:szCs w:val="18"/>
                <w:color w:val="auto"/>
              </w:rPr>
              <w:t>357</w:t>
            </w:r>
          </w:p>
        </w:tc>
        <w:tc>
          <w:tcPr>
            <w:tcW w:w="280" w:type="dxa"/>
            <w:vAlign w:val="bottom"/>
          </w:tcPr>
          <w:p>
            <w:pPr>
              <w:spacing w:after="0"/>
              <w:rPr>
                <w:sz w:val="19"/>
                <w:szCs w:val="19"/>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1,920</w:t>
            </w:r>
          </w:p>
        </w:tc>
        <w:tc>
          <w:tcPr>
            <w:tcW w:w="32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(3,515)</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1,582</w:t>
            </w:r>
          </w:p>
        </w:tc>
      </w:tr>
      <w:tr>
        <w:trPr>
          <w:trHeight w:val="218"/>
        </w:trPr>
        <w:tc>
          <w:tcPr>
            <w:tcW w:w="20" w:type="dxa"/>
            <w:vAlign w:val="bottom"/>
          </w:tcPr>
          <w:p>
            <w:pPr>
              <w:spacing w:after="0"/>
              <w:rPr>
                <w:sz w:val="18"/>
                <w:szCs w:val="18"/>
                <w:color w:val="auto"/>
              </w:rPr>
            </w:pPr>
          </w:p>
        </w:tc>
        <w:tc>
          <w:tcPr>
            <w:tcW w:w="418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Income tax (expense) benefit</w:t>
            </w:r>
          </w:p>
        </w:tc>
        <w:tc>
          <w:tcPr>
            <w:tcW w:w="34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48</w:t>
            </w:r>
          </w:p>
        </w:tc>
        <w:tc>
          <w:tcPr>
            <w:tcW w:w="2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39</w:t>
            </w:r>
          </w:p>
        </w:tc>
        <w:tc>
          <w:tcPr>
            <w:tcW w:w="20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29</w:t>
            </w:r>
          </w:p>
        </w:tc>
        <w:tc>
          <w:tcPr>
            <w:tcW w:w="34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21</w:t>
            </w:r>
          </w:p>
        </w:tc>
        <w:tc>
          <w:tcPr>
            <w:tcW w:w="3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(7)</w:t>
            </w:r>
          </w:p>
        </w:tc>
        <w:tc>
          <w:tcPr>
            <w:tcW w:w="28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(740)</w:t>
            </w:r>
          </w:p>
        </w:tc>
        <w:tc>
          <w:tcPr>
            <w:tcW w:w="32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(610)</w:t>
            </w:r>
          </w:p>
        </w:tc>
      </w:tr>
      <w:tr>
        <w:trPr>
          <w:trHeight w:val="201"/>
        </w:trPr>
        <w:tc>
          <w:tcPr>
            <w:tcW w:w="20" w:type="dxa"/>
            <w:vAlign w:val="bottom"/>
          </w:tcPr>
          <w:p>
            <w:pPr>
              <w:spacing w:after="0"/>
              <w:rPr>
                <w:sz w:val="17"/>
                <w:szCs w:val="17"/>
                <w:color w:val="auto"/>
              </w:rPr>
            </w:pPr>
          </w:p>
        </w:tc>
        <w:tc>
          <w:tcPr>
            <w:tcW w:w="4180" w:type="dxa"/>
            <w:vAlign w:val="bottom"/>
          </w:tcPr>
          <w:p>
            <w:pPr>
              <w:spacing w:after="0" w:line="201" w:lineRule="exact"/>
              <w:rPr>
                <w:sz w:val="20"/>
                <w:szCs w:val="20"/>
                <w:color w:val="auto"/>
              </w:rPr>
            </w:pPr>
            <w:r>
              <w:rPr>
                <w:rFonts w:ascii="Arial" w:cs="Arial" w:eastAsia="Arial" w:hAnsi="Arial"/>
                <w:sz w:val="18"/>
                <w:szCs w:val="18"/>
                <w:color w:val="auto"/>
                <w:w w:val="92"/>
              </w:rPr>
              <w:t>Income (loss) from continuing operations before minority</w:t>
            </w: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4180" w:type="dxa"/>
            <w:vAlign w:val="bottom"/>
          </w:tcPr>
          <w:p>
            <w:pPr>
              <w:ind w:left="200"/>
              <w:spacing w:after="0"/>
              <w:rPr>
                <w:sz w:val="20"/>
                <w:szCs w:val="20"/>
                <w:color w:val="auto"/>
              </w:rPr>
            </w:pPr>
            <w:r>
              <w:rPr>
                <w:rFonts w:ascii="Arial" w:cs="Arial" w:eastAsia="Arial" w:hAnsi="Arial"/>
                <w:sz w:val="18"/>
                <w:szCs w:val="18"/>
                <w:color w:val="auto"/>
              </w:rPr>
              <w:t>interest</w:t>
            </w:r>
          </w:p>
        </w:tc>
        <w:tc>
          <w:tcPr>
            <w:tcW w:w="340" w:type="dxa"/>
            <w:vAlign w:val="bottom"/>
          </w:tcPr>
          <w:p>
            <w:pPr>
              <w:spacing w:after="0"/>
              <w:rPr>
                <w:sz w:val="19"/>
                <w:szCs w:val="19"/>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color w:val="auto"/>
                <w:w w:val="88"/>
              </w:rPr>
              <w:t>1,217</w:t>
            </w:r>
          </w:p>
        </w:tc>
        <w:tc>
          <w:tcPr>
            <w:tcW w:w="220" w:type="dxa"/>
            <w:vAlign w:val="bottom"/>
          </w:tcPr>
          <w:p>
            <w:pPr>
              <w:spacing w:after="0"/>
              <w:rPr>
                <w:sz w:val="19"/>
                <w:szCs w:val="19"/>
                <w:color w:val="auto"/>
              </w:rPr>
            </w:pPr>
          </w:p>
        </w:tc>
        <w:tc>
          <w:tcPr>
            <w:tcW w:w="520" w:type="dxa"/>
            <w:vAlign w:val="bottom"/>
          </w:tcPr>
          <w:p>
            <w:pPr>
              <w:jc w:val="right"/>
              <w:ind w:right="132"/>
              <w:spacing w:after="0"/>
              <w:rPr>
                <w:sz w:val="20"/>
                <w:szCs w:val="20"/>
                <w:color w:val="auto"/>
              </w:rPr>
            </w:pPr>
            <w:r>
              <w:rPr>
                <w:rFonts w:ascii="Arial" w:cs="Arial" w:eastAsia="Arial" w:hAnsi="Arial"/>
                <w:sz w:val="18"/>
                <w:szCs w:val="18"/>
                <w:color w:val="auto"/>
                <w:w w:val="93"/>
              </w:rPr>
              <w:t>319</w:t>
            </w:r>
          </w:p>
        </w:tc>
        <w:tc>
          <w:tcPr>
            <w:tcW w:w="200" w:type="dxa"/>
            <w:vAlign w:val="bottom"/>
          </w:tcPr>
          <w:p>
            <w:pPr>
              <w:spacing w:after="0"/>
              <w:rPr>
                <w:sz w:val="19"/>
                <w:szCs w:val="19"/>
                <w:color w:val="auto"/>
              </w:rPr>
            </w:pPr>
          </w:p>
        </w:tc>
        <w:tc>
          <w:tcPr>
            <w:tcW w:w="480" w:type="dxa"/>
            <w:vAlign w:val="bottom"/>
          </w:tcPr>
          <w:p>
            <w:pPr>
              <w:jc w:val="right"/>
              <w:ind w:right="112"/>
              <w:spacing w:after="0"/>
              <w:rPr>
                <w:sz w:val="20"/>
                <w:szCs w:val="20"/>
                <w:color w:val="auto"/>
              </w:rPr>
            </w:pPr>
            <w:r>
              <w:rPr>
                <w:rFonts w:ascii="Arial" w:cs="Arial" w:eastAsia="Arial" w:hAnsi="Arial"/>
                <w:sz w:val="18"/>
                <w:szCs w:val="18"/>
                <w:color w:val="auto"/>
                <w:w w:val="86"/>
              </w:rPr>
              <w:t>685</w:t>
            </w:r>
          </w:p>
        </w:tc>
        <w:tc>
          <w:tcPr>
            <w:tcW w:w="340" w:type="dxa"/>
            <w:vAlign w:val="bottom"/>
          </w:tcPr>
          <w:p>
            <w:pPr>
              <w:spacing w:after="0"/>
              <w:rPr>
                <w:sz w:val="19"/>
                <w:szCs w:val="19"/>
                <w:color w:val="auto"/>
              </w:rPr>
            </w:pP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736</w:t>
            </w:r>
          </w:p>
        </w:tc>
        <w:tc>
          <w:tcPr>
            <w:tcW w:w="300" w:type="dxa"/>
            <w:vAlign w:val="bottom"/>
          </w:tcPr>
          <w:p>
            <w:pPr>
              <w:spacing w:after="0"/>
              <w:rPr>
                <w:sz w:val="19"/>
                <w:szCs w:val="19"/>
                <w:color w:val="auto"/>
              </w:rPr>
            </w:pPr>
          </w:p>
        </w:tc>
        <w:tc>
          <w:tcPr>
            <w:tcW w:w="520" w:type="dxa"/>
            <w:vAlign w:val="bottom"/>
          </w:tcPr>
          <w:p>
            <w:pPr>
              <w:jc w:val="right"/>
              <w:ind w:right="92"/>
              <w:spacing w:after="0"/>
              <w:rPr>
                <w:sz w:val="20"/>
                <w:szCs w:val="20"/>
                <w:color w:val="auto"/>
              </w:rPr>
            </w:pPr>
            <w:r>
              <w:rPr>
                <w:rFonts w:ascii="Arial" w:cs="Arial" w:eastAsia="Arial" w:hAnsi="Arial"/>
                <w:sz w:val="18"/>
                <w:szCs w:val="18"/>
                <w:color w:val="auto"/>
              </w:rPr>
              <w:t>350</w:t>
            </w:r>
          </w:p>
        </w:tc>
        <w:tc>
          <w:tcPr>
            <w:tcW w:w="280" w:type="dxa"/>
            <w:vAlign w:val="bottom"/>
          </w:tcPr>
          <w:p>
            <w:pPr>
              <w:spacing w:after="0"/>
              <w:rPr>
                <w:sz w:val="19"/>
                <w:szCs w:val="19"/>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1,180</w:t>
            </w:r>
          </w:p>
        </w:tc>
        <w:tc>
          <w:tcPr>
            <w:tcW w:w="32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(3,515)</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972</w:t>
            </w:r>
          </w:p>
        </w:tc>
      </w:tr>
      <w:tr>
        <w:trPr>
          <w:trHeight w:val="218"/>
        </w:trPr>
        <w:tc>
          <w:tcPr>
            <w:tcW w:w="20" w:type="dxa"/>
            <w:vAlign w:val="bottom"/>
          </w:tcPr>
          <w:p>
            <w:pPr>
              <w:spacing w:after="0"/>
              <w:rPr>
                <w:sz w:val="18"/>
                <w:szCs w:val="18"/>
                <w:color w:val="auto"/>
              </w:rPr>
            </w:pPr>
          </w:p>
        </w:tc>
        <w:tc>
          <w:tcPr>
            <w:tcW w:w="418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Minority interest</w:t>
            </w:r>
          </w:p>
        </w:tc>
        <w:tc>
          <w:tcPr>
            <w:tcW w:w="34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(3)</w:t>
            </w:r>
          </w:p>
        </w:tc>
        <w:tc>
          <w:tcPr>
            <w:tcW w:w="32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w:t>
            </w:r>
          </w:p>
        </w:tc>
      </w:tr>
      <w:tr>
        <w:trPr>
          <w:trHeight w:val="210"/>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340" w:type="dxa"/>
            <w:vAlign w:val="bottom"/>
          </w:tcPr>
          <w:p>
            <w:pPr>
              <w:spacing w:after="0"/>
              <w:rPr>
                <w:sz w:val="18"/>
                <w:szCs w:val="18"/>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color w:val="auto"/>
                <w:w w:val="88"/>
              </w:rPr>
              <w:t>1,217</w:t>
            </w:r>
          </w:p>
        </w:tc>
        <w:tc>
          <w:tcPr>
            <w:tcW w:w="220" w:type="dxa"/>
            <w:vAlign w:val="bottom"/>
          </w:tcPr>
          <w:p>
            <w:pPr>
              <w:spacing w:after="0"/>
              <w:rPr>
                <w:sz w:val="18"/>
                <w:szCs w:val="18"/>
                <w:color w:val="auto"/>
              </w:rPr>
            </w:pPr>
          </w:p>
        </w:tc>
        <w:tc>
          <w:tcPr>
            <w:tcW w:w="520" w:type="dxa"/>
            <w:vAlign w:val="bottom"/>
          </w:tcPr>
          <w:p>
            <w:pPr>
              <w:jc w:val="right"/>
              <w:ind w:right="132"/>
              <w:spacing w:after="0"/>
              <w:rPr>
                <w:sz w:val="20"/>
                <w:szCs w:val="20"/>
                <w:color w:val="auto"/>
              </w:rPr>
            </w:pPr>
            <w:r>
              <w:rPr>
                <w:rFonts w:ascii="Arial" w:cs="Arial" w:eastAsia="Arial" w:hAnsi="Arial"/>
                <w:sz w:val="18"/>
                <w:szCs w:val="18"/>
                <w:color w:val="auto"/>
                <w:w w:val="93"/>
              </w:rPr>
              <w:t>319</w:t>
            </w:r>
          </w:p>
        </w:tc>
        <w:tc>
          <w:tcPr>
            <w:tcW w:w="200" w:type="dxa"/>
            <w:vAlign w:val="bottom"/>
          </w:tcPr>
          <w:p>
            <w:pPr>
              <w:spacing w:after="0"/>
              <w:rPr>
                <w:sz w:val="18"/>
                <w:szCs w:val="18"/>
                <w:color w:val="auto"/>
              </w:rPr>
            </w:pPr>
          </w:p>
        </w:tc>
        <w:tc>
          <w:tcPr>
            <w:tcW w:w="480" w:type="dxa"/>
            <w:vAlign w:val="bottom"/>
          </w:tcPr>
          <w:p>
            <w:pPr>
              <w:jc w:val="right"/>
              <w:ind w:right="112"/>
              <w:spacing w:after="0"/>
              <w:rPr>
                <w:sz w:val="20"/>
                <w:szCs w:val="20"/>
                <w:color w:val="auto"/>
              </w:rPr>
            </w:pPr>
            <w:r>
              <w:rPr>
                <w:rFonts w:ascii="Arial" w:cs="Arial" w:eastAsia="Arial" w:hAnsi="Arial"/>
                <w:sz w:val="18"/>
                <w:szCs w:val="18"/>
                <w:color w:val="auto"/>
                <w:w w:val="86"/>
              </w:rPr>
              <w:t>685</w:t>
            </w:r>
          </w:p>
        </w:tc>
        <w:tc>
          <w:tcPr>
            <w:tcW w:w="340" w:type="dxa"/>
            <w:vAlign w:val="bottom"/>
          </w:tcPr>
          <w:p>
            <w:pPr>
              <w:spacing w:after="0"/>
              <w:rPr>
                <w:sz w:val="18"/>
                <w:szCs w:val="18"/>
                <w:color w:val="auto"/>
              </w:rPr>
            </w:pP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736</w:t>
            </w:r>
          </w:p>
        </w:tc>
        <w:tc>
          <w:tcPr>
            <w:tcW w:w="300" w:type="dxa"/>
            <w:vAlign w:val="bottom"/>
          </w:tcPr>
          <w:p>
            <w:pPr>
              <w:spacing w:after="0"/>
              <w:rPr>
                <w:sz w:val="18"/>
                <w:szCs w:val="18"/>
                <w:color w:val="auto"/>
              </w:rPr>
            </w:pPr>
          </w:p>
        </w:tc>
        <w:tc>
          <w:tcPr>
            <w:tcW w:w="520" w:type="dxa"/>
            <w:vAlign w:val="bottom"/>
          </w:tcPr>
          <w:p>
            <w:pPr>
              <w:jc w:val="right"/>
              <w:ind w:right="92"/>
              <w:spacing w:after="0"/>
              <w:rPr>
                <w:sz w:val="20"/>
                <w:szCs w:val="20"/>
                <w:color w:val="auto"/>
              </w:rPr>
            </w:pPr>
            <w:r>
              <w:rPr>
                <w:rFonts w:ascii="Arial" w:cs="Arial" w:eastAsia="Arial" w:hAnsi="Arial"/>
                <w:sz w:val="18"/>
                <w:szCs w:val="18"/>
                <w:color w:val="auto"/>
              </w:rPr>
              <w:t>350</w:t>
            </w:r>
          </w:p>
        </w:tc>
        <w:tc>
          <w:tcPr>
            <w:tcW w:w="28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1,177</w:t>
            </w:r>
          </w:p>
        </w:tc>
        <w:tc>
          <w:tcPr>
            <w:tcW w:w="320" w:type="dxa"/>
            <w:vAlign w:val="bottom"/>
          </w:tcPr>
          <w:p>
            <w:pPr>
              <w:spacing w:after="0"/>
              <w:rPr>
                <w:sz w:val="18"/>
                <w:szCs w:val="18"/>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(3,515)</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969</w:t>
            </w:r>
          </w:p>
        </w:tc>
      </w:tr>
      <w:tr>
        <w:trPr>
          <w:trHeight w:val="216"/>
        </w:trPr>
        <w:tc>
          <w:tcPr>
            <w:tcW w:w="20" w:type="dxa"/>
            <w:vAlign w:val="bottom"/>
          </w:tcPr>
          <w:p>
            <w:pPr>
              <w:spacing w:after="0"/>
              <w:rPr>
                <w:sz w:val="18"/>
                <w:szCs w:val="18"/>
                <w:color w:val="auto"/>
              </w:rPr>
            </w:pPr>
          </w:p>
        </w:tc>
        <w:tc>
          <w:tcPr>
            <w:tcW w:w="4180" w:type="dxa"/>
            <w:vAlign w:val="bottom"/>
            <w:shd w:val="clear" w:color="auto" w:fill="E5E5E5"/>
          </w:tcPr>
          <w:p>
            <w:pPr>
              <w:spacing w:after="0"/>
              <w:rPr>
                <w:sz w:val="20"/>
                <w:szCs w:val="20"/>
                <w:color w:val="auto"/>
              </w:rPr>
            </w:pPr>
            <w:r>
              <w:rPr>
                <w:rFonts w:ascii="Arial" w:cs="Arial" w:eastAsia="Arial" w:hAnsi="Arial"/>
                <w:sz w:val="18"/>
                <w:szCs w:val="18"/>
                <w:color w:val="auto"/>
              </w:rPr>
              <w:t>Income from discontinued operations, net of tax</w:t>
            </w:r>
          </w:p>
        </w:tc>
        <w:tc>
          <w:tcPr>
            <w:tcW w:w="34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14</w:t>
            </w:r>
          </w:p>
        </w:tc>
        <w:tc>
          <w:tcPr>
            <w:tcW w:w="3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Gain on discontinued operations, net of tax</w:t>
            </w: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234</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r>
      <w:tr>
        <w:trPr>
          <w:trHeight w:val="217"/>
        </w:trPr>
        <w:tc>
          <w:tcPr>
            <w:tcW w:w="20" w:type="dxa"/>
            <w:vAlign w:val="bottom"/>
          </w:tcPr>
          <w:p>
            <w:pPr>
              <w:spacing w:after="0"/>
              <w:rPr>
                <w:sz w:val="18"/>
                <w:szCs w:val="18"/>
                <w:color w:val="auto"/>
              </w:rPr>
            </w:pPr>
          </w:p>
        </w:tc>
        <w:tc>
          <w:tcPr>
            <w:tcW w:w="418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b w:val="1"/>
                <w:bCs w:val="1"/>
                <w:color w:val="auto"/>
              </w:rPr>
              <w:t>Net Income (loss)</w:t>
            </w:r>
          </w:p>
        </w:tc>
        <w:tc>
          <w:tcPr>
            <w:tcW w:w="34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w w:val="88"/>
              </w:rPr>
              <w:t>1,217</w:t>
            </w:r>
          </w:p>
        </w:tc>
        <w:tc>
          <w:tcPr>
            <w:tcW w:w="22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b w:val="1"/>
                <w:bCs w:val="1"/>
                <w:color w:val="auto"/>
                <w:w w:val="93"/>
              </w:rPr>
              <w:t>319</w:t>
            </w:r>
          </w:p>
        </w:tc>
        <w:tc>
          <w:tcPr>
            <w:tcW w:w="20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b w:val="1"/>
                <w:bCs w:val="1"/>
                <w:color w:val="auto"/>
                <w:w w:val="86"/>
              </w:rPr>
              <w:t>685</w:t>
            </w:r>
          </w:p>
        </w:tc>
        <w:tc>
          <w:tcPr>
            <w:tcW w:w="34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b w:val="1"/>
                <w:bCs w:val="1"/>
                <w:color w:val="auto"/>
              </w:rPr>
              <w:t>736</w:t>
            </w:r>
          </w:p>
        </w:tc>
        <w:tc>
          <w:tcPr>
            <w:tcW w:w="30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rPr>
              <w:t>350</w:t>
            </w:r>
          </w:p>
        </w:tc>
        <w:tc>
          <w:tcPr>
            <w:tcW w:w="28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b w:val="1"/>
                <w:bCs w:val="1"/>
                <w:color w:val="auto"/>
              </w:rPr>
              <w:t>1,425</w:t>
            </w:r>
          </w:p>
        </w:tc>
        <w:tc>
          <w:tcPr>
            <w:tcW w:w="320" w:type="dxa"/>
            <w:vAlign w:val="bottom"/>
            <w:tcBorders>
              <w:bottom w:val="single" w:sz="8" w:color="auto"/>
            </w:tcBorders>
            <w:shd w:val="clear" w:color="auto" w:fill="E5E5E5"/>
          </w:tcPr>
          <w:p>
            <w:pPr>
              <w:jc w:val="right"/>
              <w:ind w:right="44"/>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b w:val="1"/>
                <w:bCs w:val="1"/>
                <w:color w:val="auto"/>
              </w:rPr>
              <w:t>(3,515)</w:t>
            </w:r>
          </w:p>
        </w:tc>
        <w:tc>
          <w:tcPr>
            <w:tcW w:w="24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1,217</w:t>
            </w:r>
          </w:p>
        </w:tc>
      </w:tr>
      <w:tr>
        <w:trPr>
          <w:trHeight w:val="363"/>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SEPTEMBER 30, 2007</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Consolidating Statement of Operations</w:t>
      </w:r>
    </w:p>
    <w:p>
      <w:pPr>
        <w:jc w:val="center"/>
        <w:spacing w:after="0"/>
        <w:rPr>
          <w:sz w:val="20"/>
          <w:szCs w:val="20"/>
          <w:color w:val="auto"/>
        </w:rPr>
      </w:pPr>
      <w:r>
        <w:rPr>
          <w:rFonts w:ascii="Arial" w:cs="Arial" w:eastAsia="Arial" w:hAnsi="Arial"/>
          <w:sz w:val="22"/>
          <w:szCs w:val="22"/>
          <w:b w:val="1"/>
          <w:bCs w:val="1"/>
          <w:color w:val="auto"/>
        </w:rPr>
        <w:t>For the Nine Months Ended September 30, 2007</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Elimination</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Combined</w:t>
            </w: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jc w:val="right"/>
              <w:ind w:right="293"/>
              <w:spacing w:after="0" w:line="149" w:lineRule="exact"/>
              <w:rPr>
                <w:sz w:val="20"/>
                <w:szCs w:val="20"/>
                <w:color w:val="auto"/>
              </w:rPr>
            </w:pPr>
            <w:r>
              <w:rPr>
                <w:rFonts w:ascii="Arial" w:cs="Arial" w:eastAsia="Arial" w:hAnsi="Arial"/>
                <w:sz w:val="14"/>
                <w:szCs w:val="14"/>
                <w:b w:val="1"/>
                <w:bCs w:val="1"/>
                <w:color w:val="auto"/>
              </w:rPr>
              <w:t>Non-</w:t>
            </w:r>
          </w:p>
        </w:tc>
        <w:tc>
          <w:tcPr>
            <w:tcW w:w="300" w:type="dxa"/>
            <w:vAlign w:val="bottom"/>
          </w:tcPr>
          <w:p>
            <w:pPr>
              <w:spacing w:after="0"/>
              <w:rPr>
                <w:sz w:val="12"/>
                <w:szCs w:val="12"/>
                <w:color w:val="auto"/>
              </w:rPr>
            </w:pPr>
          </w:p>
        </w:tc>
        <w:tc>
          <w:tcPr>
            <w:tcW w:w="780" w:type="dxa"/>
            <w:vAlign w:val="bottom"/>
          </w:tcPr>
          <w:p>
            <w:pPr>
              <w:jc w:val="center"/>
              <w:ind w:right="273"/>
              <w:spacing w:after="0" w:line="149" w:lineRule="exact"/>
              <w:rPr>
                <w:sz w:val="20"/>
                <w:szCs w:val="20"/>
                <w:color w:val="auto"/>
              </w:rPr>
            </w:pPr>
            <w:r>
              <w:rPr>
                <w:rFonts w:ascii="Arial" w:cs="Arial" w:eastAsia="Arial" w:hAnsi="Arial"/>
                <w:sz w:val="14"/>
                <w:szCs w:val="14"/>
                <w:b w:val="1"/>
                <w:bCs w:val="1"/>
                <w:color w:val="auto"/>
                <w:w w:val="88"/>
              </w:rPr>
              <w:t>and</w:t>
            </w:r>
          </w:p>
        </w:tc>
        <w:tc>
          <w:tcPr>
            <w:tcW w:w="9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w w:val="92"/>
              </w:rPr>
              <w:t>Consolidated</w:t>
            </w: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88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Comcast</w:t>
            </w:r>
          </w:p>
        </w:tc>
        <w:tc>
          <w:tcPr>
            <w:tcW w:w="760" w:type="dxa"/>
            <w:vAlign w:val="bottom"/>
            <w:gridSpan w:val="2"/>
          </w:tcPr>
          <w:p>
            <w:pPr>
              <w:jc w:val="right"/>
              <w:ind w:right="132"/>
              <w:spacing w:after="0" w:line="149" w:lineRule="exact"/>
              <w:rPr>
                <w:sz w:val="20"/>
                <w:szCs w:val="20"/>
                <w:color w:val="auto"/>
              </w:rPr>
            </w:pPr>
            <w:r>
              <w:rPr>
                <w:rFonts w:ascii="Arial" w:cs="Arial" w:eastAsia="Arial" w:hAnsi="Arial"/>
                <w:sz w:val="14"/>
                <w:szCs w:val="14"/>
                <w:b w:val="1"/>
                <w:bCs w:val="1"/>
                <w:color w:val="auto"/>
              </w:rPr>
              <w:t>CCCL</w:t>
            </w:r>
          </w:p>
        </w:tc>
        <w:tc>
          <w:tcPr>
            <w:tcW w:w="780" w:type="dxa"/>
            <w:vAlign w:val="bottom"/>
            <w:gridSpan w:val="2"/>
          </w:tcPr>
          <w:p>
            <w:pPr>
              <w:jc w:val="right"/>
              <w:ind w:right="132"/>
              <w:spacing w:after="0" w:line="149" w:lineRule="exact"/>
              <w:rPr>
                <w:sz w:val="20"/>
                <w:szCs w:val="20"/>
                <w:color w:val="auto"/>
              </w:rPr>
            </w:pPr>
            <w:r>
              <w:rPr>
                <w:rFonts w:ascii="Arial" w:cs="Arial" w:eastAsia="Arial" w:hAnsi="Arial"/>
                <w:sz w:val="14"/>
                <w:szCs w:val="14"/>
                <w:b w:val="1"/>
                <w:bCs w:val="1"/>
                <w:color w:val="auto"/>
              </w:rPr>
              <w:t>CCCH</w:t>
            </w:r>
          </w:p>
        </w:tc>
        <w:tc>
          <w:tcPr>
            <w:tcW w:w="880" w:type="dxa"/>
            <w:vAlign w:val="bottom"/>
            <w:gridSpan w:val="2"/>
          </w:tcPr>
          <w:p>
            <w:pPr>
              <w:jc w:val="right"/>
              <w:ind w:right="112"/>
              <w:spacing w:after="0" w:line="149" w:lineRule="exact"/>
              <w:rPr>
                <w:sz w:val="20"/>
                <w:szCs w:val="20"/>
                <w:color w:val="auto"/>
              </w:rPr>
            </w:pPr>
            <w:r>
              <w:rPr>
                <w:rFonts w:ascii="Arial" w:cs="Arial" w:eastAsia="Arial" w:hAnsi="Arial"/>
                <w:sz w:val="14"/>
                <w:szCs w:val="14"/>
                <w:b w:val="1"/>
                <w:bCs w:val="1"/>
                <w:color w:val="auto"/>
              </w:rPr>
              <w:t>CCHMO</w:t>
            </w:r>
          </w:p>
        </w:tc>
        <w:tc>
          <w:tcPr>
            <w:tcW w:w="80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Comcast</w:t>
            </w:r>
          </w:p>
        </w:tc>
        <w:tc>
          <w:tcPr>
            <w:tcW w:w="980" w:type="dxa"/>
            <w:vAlign w:val="bottom"/>
            <w:gridSpan w:val="2"/>
          </w:tcPr>
          <w:p>
            <w:pPr>
              <w:jc w:val="right"/>
              <w:ind w:right="133"/>
              <w:spacing w:after="0" w:line="149" w:lineRule="exact"/>
              <w:rPr>
                <w:sz w:val="20"/>
                <w:szCs w:val="20"/>
                <w:color w:val="auto"/>
              </w:rPr>
            </w:pPr>
            <w:r>
              <w:rPr>
                <w:rFonts w:ascii="Arial" w:cs="Arial" w:eastAsia="Arial" w:hAnsi="Arial"/>
                <w:sz w:val="14"/>
                <w:szCs w:val="14"/>
                <w:b w:val="1"/>
                <w:bCs w:val="1"/>
                <w:color w:val="auto"/>
              </w:rPr>
              <w:t>Guarantor</w:t>
            </w: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Consolidation</w:t>
            </w:r>
          </w:p>
        </w:tc>
        <w:tc>
          <w:tcPr>
            <w:tcW w:w="220" w:type="dxa"/>
            <w:vAlign w:val="bottom"/>
          </w:tcPr>
          <w:p>
            <w:pPr>
              <w:spacing w:after="0"/>
              <w:rPr>
                <w:sz w:val="12"/>
                <w:szCs w:val="12"/>
                <w:color w:val="auto"/>
              </w:rPr>
            </w:pPr>
          </w:p>
        </w:tc>
        <w:tc>
          <w:tcPr>
            <w:tcW w:w="720" w:type="dxa"/>
            <w:vAlign w:val="bottom"/>
          </w:tcPr>
          <w:p>
            <w:pPr>
              <w:jc w:val="right"/>
              <w:ind w:right="113"/>
              <w:spacing w:after="0" w:line="149" w:lineRule="exact"/>
              <w:rPr>
                <w:sz w:val="20"/>
                <w:szCs w:val="20"/>
                <w:color w:val="auto"/>
              </w:rPr>
            </w:pPr>
            <w:r>
              <w:rPr>
                <w:rFonts w:ascii="Arial" w:cs="Arial" w:eastAsia="Arial" w:hAnsi="Arial"/>
                <w:sz w:val="14"/>
                <w:szCs w:val="14"/>
                <w:b w:val="1"/>
                <w:bCs w:val="1"/>
                <w:color w:val="auto"/>
                <w:w w:val="84"/>
              </w:rPr>
              <w:t>Comcast</w:t>
            </w:r>
          </w:p>
        </w:tc>
      </w:tr>
      <w:tr>
        <w:trPr>
          <w:trHeight w:val="161"/>
        </w:trPr>
        <w:tc>
          <w:tcPr>
            <w:tcW w:w="43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88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Parent</w:t>
            </w:r>
          </w:p>
        </w:tc>
        <w:tc>
          <w:tcPr>
            <w:tcW w:w="76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Parent</w:t>
            </w:r>
          </w:p>
        </w:tc>
        <w:tc>
          <w:tcPr>
            <w:tcW w:w="78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Parent</w:t>
            </w:r>
          </w:p>
        </w:tc>
        <w:tc>
          <w:tcPr>
            <w:tcW w:w="88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Parents</w:t>
            </w:r>
          </w:p>
        </w:tc>
        <w:tc>
          <w:tcPr>
            <w:tcW w:w="800" w:type="dxa"/>
            <w:vAlign w:val="bottom"/>
            <w:gridSpan w:val="2"/>
          </w:tcPr>
          <w:p>
            <w:pPr>
              <w:ind w:left="100"/>
              <w:spacing w:after="0"/>
              <w:rPr>
                <w:sz w:val="20"/>
                <w:szCs w:val="20"/>
                <w:color w:val="auto"/>
              </w:rPr>
            </w:pPr>
            <w:r>
              <w:rPr>
                <w:rFonts w:ascii="Arial" w:cs="Arial" w:eastAsia="Arial" w:hAnsi="Arial"/>
                <w:sz w:val="14"/>
                <w:szCs w:val="14"/>
                <w:b w:val="1"/>
                <w:bCs w:val="1"/>
                <w:color w:val="auto"/>
              </w:rPr>
              <w:t>Holdings</w:t>
            </w:r>
          </w:p>
        </w:tc>
        <w:tc>
          <w:tcPr>
            <w:tcW w:w="980" w:type="dxa"/>
            <w:vAlign w:val="bottom"/>
            <w:gridSpan w:val="2"/>
          </w:tcPr>
          <w:p>
            <w:pPr>
              <w:ind w:left="100"/>
              <w:spacing w:after="0"/>
              <w:rPr>
                <w:sz w:val="20"/>
                <w:szCs w:val="20"/>
                <w:color w:val="auto"/>
              </w:rPr>
            </w:pPr>
            <w:r>
              <w:rPr>
                <w:rFonts w:ascii="Arial" w:cs="Arial" w:eastAsia="Arial" w:hAnsi="Arial"/>
                <w:sz w:val="14"/>
                <w:szCs w:val="14"/>
                <w:b w:val="1"/>
                <w:bCs w:val="1"/>
                <w:color w:val="auto"/>
              </w:rPr>
              <w:t>Subsidiaries</w:t>
            </w: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Adjustments</w:t>
            </w:r>
          </w:p>
        </w:tc>
        <w:tc>
          <w:tcPr>
            <w:tcW w:w="940" w:type="dxa"/>
            <w:vAlign w:val="bottom"/>
            <w:gridSpan w:val="2"/>
          </w:tcPr>
          <w:p>
            <w:pPr>
              <w:ind w:left="120"/>
              <w:spacing w:after="0"/>
              <w:rPr>
                <w:sz w:val="20"/>
                <w:szCs w:val="20"/>
                <w:color w:val="auto"/>
              </w:rPr>
            </w:pPr>
            <w:r>
              <w:rPr>
                <w:rFonts w:ascii="Arial" w:cs="Arial" w:eastAsia="Arial" w:hAnsi="Arial"/>
                <w:sz w:val="14"/>
                <w:szCs w:val="14"/>
                <w:b w:val="1"/>
                <w:bCs w:val="1"/>
                <w:color w:val="auto"/>
                <w:w w:val="99"/>
              </w:rPr>
              <w:t>Corporation</w:t>
            </w:r>
          </w:p>
        </w:tc>
      </w:tr>
      <w:tr>
        <w:trPr>
          <w:trHeight w:val="210"/>
        </w:trPr>
        <w:tc>
          <w:tcPr>
            <w:tcW w:w="20" w:type="dxa"/>
            <w:vAlign w:val="bottom"/>
          </w:tcPr>
          <w:p>
            <w:pPr>
              <w:spacing w:after="0"/>
              <w:rPr>
                <w:sz w:val="18"/>
                <w:szCs w:val="18"/>
                <w:color w:val="auto"/>
              </w:rPr>
            </w:pPr>
          </w:p>
        </w:tc>
        <w:tc>
          <w:tcPr>
            <w:tcW w:w="43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Revenues</w:t>
            </w:r>
          </w:p>
        </w:tc>
        <w:tc>
          <w:tcPr>
            <w:tcW w:w="300" w:type="dxa"/>
            <w:vAlign w:val="bottom"/>
            <w:tcBorders>
              <w:top w:val="single" w:sz="8" w:color="auto"/>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56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740" w:type="dxa"/>
            <w:vAlign w:val="bottom"/>
            <w:tcBorders>
              <w:top w:val="single" w:sz="8" w:color="auto"/>
            </w:tcBorders>
            <w:shd w:val="clear" w:color="auto" w:fill="E5E5E5"/>
          </w:tcPr>
          <w:p>
            <w:pPr>
              <w:spacing w:after="0"/>
              <w:rPr>
                <w:sz w:val="18"/>
                <w:szCs w:val="18"/>
                <w:color w:val="auto"/>
              </w:rPr>
            </w:pPr>
          </w:p>
        </w:tc>
        <w:tc>
          <w:tcPr>
            <w:tcW w:w="300" w:type="dxa"/>
            <w:vAlign w:val="bottom"/>
            <w:tcBorders>
              <w:top w:val="single" w:sz="8" w:color="auto"/>
            </w:tcBorders>
            <w:shd w:val="clear" w:color="auto" w:fill="E5E5E5"/>
          </w:tcPr>
          <w:p>
            <w:pPr>
              <w:spacing w:after="0"/>
              <w:rPr>
                <w:sz w:val="18"/>
                <w:szCs w:val="18"/>
                <w:color w:val="auto"/>
              </w:rPr>
            </w:pPr>
          </w:p>
        </w:tc>
        <w:tc>
          <w:tcPr>
            <w:tcW w:w="78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Service revenues</w:t>
            </w:r>
          </w:p>
        </w:tc>
        <w:tc>
          <w:tcPr>
            <w:tcW w:w="300" w:type="dxa"/>
            <w:vAlign w:val="bottom"/>
          </w:tcPr>
          <w:p>
            <w:pPr>
              <w:ind w:left="20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22,881</w:t>
            </w:r>
          </w:p>
        </w:tc>
        <w:tc>
          <w:tcPr>
            <w:tcW w:w="300" w:type="dxa"/>
            <w:vAlign w:val="bottom"/>
          </w:tcPr>
          <w:p>
            <w:pPr>
              <w:jc w:val="right"/>
              <w:ind w:right="24"/>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22,881</w:t>
            </w:r>
          </w:p>
        </w:tc>
      </w:tr>
      <w:tr>
        <w:trPr>
          <w:trHeight w:val="216"/>
        </w:trPr>
        <w:tc>
          <w:tcPr>
            <w:tcW w:w="20" w:type="dxa"/>
            <w:vAlign w:val="bottom"/>
          </w:tcPr>
          <w:p>
            <w:pPr>
              <w:spacing w:after="0"/>
              <w:rPr>
                <w:sz w:val="18"/>
                <w:szCs w:val="18"/>
                <w:color w:val="auto"/>
              </w:rPr>
            </w:pPr>
          </w:p>
        </w:tc>
        <w:tc>
          <w:tcPr>
            <w:tcW w:w="430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Management fee revenue</w:t>
            </w:r>
          </w:p>
        </w:tc>
        <w:tc>
          <w:tcPr>
            <w:tcW w:w="3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467</w:t>
            </w:r>
          </w:p>
        </w:tc>
        <w:tc>
          <w:tcPr>
            <w:tcW w:w="2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160</w:t>
            </w:r>
          </w:p>
        </w:tc>
        <w:tc>
          <w:tcPr>
            <w:tcW w:w="2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248</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248</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(1,123)</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467</w:t>
            </w: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160</w:t>
            </w: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248</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248</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22,881</w:t>
            </w: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(1,123)</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22,881</w:t>
            </w:r>
          </w:p>
        </w:tc>
      </w:tr>
      <w:tr>
        <w:trPr>
          <w:trHeight w:val="210"/>
        </w:trPr>
        <w:tc>
          <w:tcPr>
            <w:tcW w:w="20" w:type="dxa"/>
            <w:vAlign w:val="bottom"/>
          </w:tcPr>
          <w:p>
            <w:pPr>
              <w:spacing w:after="0"/>
              <w:rPr>
                <w:sz w:val="18"/>
                <w:szCs w:val="18"/>
                <w:color w:val="auto"/>
              </w:rPr>
            </w:pPr>
          </w:p>
        </w:tc>
        <w:tc>
          <w:tcPr>
            <w:tcW w:w="43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Costs and Expenses</w:t>
            </w:r>
          </w:p>
        </w:tc>
        <w:tc>
          <w:tcPr>
            <w:tcW w:w="30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Operating (excluding depreciation)</w:t>
            </w:r>
          </w:p>
        </w:tc>
        <w:tc>
          <w:tcPr>
            <w:tcW w:w="300" w:type="dxa"/>
            <w:vAlign w:val="bottom"/>
          </w:tcPr>
          <w:p>
            <w:pPr>
              <w:spacing w:after="0"/>
              <w:rPr>
                <w:sz w:val="18"/>
                <w:szCs w:val="18"/>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8,272</w:t>
            </w:r>
          </w:p>
        </w:tc>
        <w:tc>
          <w:tcPr>
            <w:tcW w:w="300" w:type="dxa"/>
            <w:vAlign w:val="bottom"/>
          </w:tcPr>
          <w:p>
            <w:pPr>
              <w:spacing w:after="0"/>
              <w:rPr>
                <w:sz w:val="18"/>
                <w:szCs w:val="18"/>
                <w:color w:val="auto"/>
              </w:rPr>
            </w:pPr>
          </w:p>
        </w:tc>
        <w:tc>
          <w:tcPr>
            <w:tcW w:w="78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8,272</w:t>
            </w:r>
          </w:p>
        </w:tc>
      </w:tr>
      <w:tr>
        <w:trPr>
          <w:trHeight w:val="216"/>
        </w:trPr>
        <w:tc>
          <w:tcPr>
            <w:tcW w:w="20" w:type="dxa"/>
            <w:vAlign w:val="bottom"/>
          </w:tcPr>
          <w:p>
            <w:pPr>
              <w:spacing w:after="0"/>
              <w:rPr>
                <w:sz w:val="18"/>
                <w:szCs w:val="18"/>
                <w:color w:val="auto"/>
              </w:rPr>
            </w:pPr>
          </w:p>
        </w:tc>
        <w:tc>
          <w:tcPr>
            <w:tcW w:w="43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212</w:t>
            </w:r>
          </w:p>
        </w:tc>
        <w:tc>
          <w:tcPr>
            <w:tcW w:w="20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160</w:t>
            </w:r>
          </w:p>
        </w:tc>
        <w:tc>
          <w:tcPr>
            <w:tcW w:w="2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248</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248</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13</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6,147</w:t>
            </w:r>
          </w:p>
        </w:tc>
        <w:tc>
          <w:tcPr>
            <w:tcW w:w="3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(1,123)</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5,905</w:t>
            </w:r>
          </w:p>
        </w:tc>
      </w:tr>
      <w:tr>
        <w:trPr>
          <w:trHeight w:val="216"/>
        </w:trPr>
        <w:tc>
          <w:tcPr>
            <w:tcW w:w="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18"/>
                <w:szCs w:val="18"/>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3,765</w:t>
            </w:r>
          </w:p>
        </w:tc>
        <w:tc>
          <w:tcPr>
            <w:tcW w:w="300" w:type="dxa"/>
            <w:vAlign w:val="bottom"/>
          </w:tcPr>
          <w:p>
            <w:pPr>
              <w:spacing w:after="0"/>
              <w:rPr>
                <w:sz w:val="18"/>
                <w:szCs w:val="18"/>
                <w:color w:val="auto"/>
              </w:rPr>
            </w:pPr>
          </w:p>
        </w:tc>
        <w:tc>
          <w:tcPr>
            <w:tcW w:w="78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3,768</w:t>
            </w:r>
          </w:p>
        </w:tc>
      </w:tr>
      <w:tr>
        <w:trPr>
          <w:trHeight w:val="216"/>
        </w:trPr>
        <w:tc>
          <w:tcPr>
            <w:tcW w:w="20" w:type="dxa"/>
            <w:vAlign w:val="bottom"/>
          </w:tcPr>
          <w:p>
            <w:pPr>
              <w:spacing w:after="0"/>
              <w:rPr>
                <w:sz w:val="18"/>
                <w:szCs w:val="18"/>
                <w:color w:val="auto"/>
              </w:rPr>
            </w:pPr>
          </w:p>
        </w:tc>
        <w:tc>
          <w:tcPr>
            <w:tcW w:w="430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Amortization</w:t>
            </w:r>
          </w:p>
        </w:tc>
        <w:tc>
          <w:tcPr>
            <w:tcW w:w="3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816</w:t>
            </w:r>
          </w:p>
        </w:tc>
        <w:tc>
          <w:tcPr>
            <w:tcW w:w="30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816</w:t>
            </w:r>
          </w:p>
        </w:tc>
      </w:tr>
      <w:tr>
        <w:trPr>
          <w:trHeight w:val="210"/>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215</w:t>
            </w: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160</w:t>
            </w: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248</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248</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13</w:t>
            </w: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19,000</w:t>
            </w: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(1,123)</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18,761</w:t>
            </w:r>
          </w:p>
        </w:tc>
      </w:tr>
      <w:tr>
        <w:trPr>
          <w:trHeight w:val="210"/>
        </w:trPr>
        <w:tc>
          <w:tcPr>
            <w:tcW w:w="20" w:type="dxa"/>
            <w:vAlign w:val="bottom"/>
          </w:tcPr>
          <w:p>
            <w:pPr>
              <w:spacing w:after="0"/>
              <w:rPr>
                <w:sz w:val="18"/>
                <w:szCs w:val="18"/>
                <w:color w:val="auto"/>
              </w:rPr>
            </w:pPr>
          </w:p>
        </w:tc>
        <w:tc>
          <w:tcPr>
            <w:tcW w:w="430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w:t>
            </w:r>
          </w:p>
        </w:tc>
        <w:tc>
          <w:tcPr>
            <w:tcW w:w="3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252</w:t>
            </w:r>
          </w:p>
        </w:tc>
        <w:tc>
          <w:tcPr>
            <w:tcW w:w="20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(13)</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3,881</w:t>
            </w:r>
          </w:p>
        </w:tc>
        <w:tc>
          <w:tcPr>
            <w:tcW w:w="3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4,120</w:t>
            </w: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(795)</w:t>
            </w:r>
          </w:p>
        </w:tc>
        <w:tc>
          <w:tcPr>
            <w:tcW w:w="20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(276)</w:t>
            </w:r>
          </w:p>
        </w:tc>
        <w:tc>
          <w:tcPr>
            <w:tcW w:w="2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(241)</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(178)</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(71)</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(128)</w:t>
            </w:r>
          </w:p>
        </w:tc>
        <w:tc>
          <w:tcPr>
            <w:tcW w:w="3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(1,689)</w:t>
            </w:r>
          </w:p>
        </w:tc>
      </w:tr>
      <w:tr>
        <w:trPr>
          <w:trHeight w:val="216"/>
        </w:trPr>
        <w:tc>
          <w:tcPr>
            <w:tcW w:w="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Investment income (loss), net</w:t>
            </w:r>
          </w:p>
        </w:tc>
        <w:tc>
          <w:tcPr>
            <w:tcW w:w="300" w:type="dxa"/>
            <w:vAlign w:val="bottom"/>
          </w:tcPr>
          <w:p>
            <w:pPr>
              <w:spacing w:after="0"/>
              <w:rPr>
                <w:sz w:val="18"/>
                <w:szCs w:val="18"/>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460</w:t>
            </w:r>
          </w:p>
        </w:tc>
        <w:tc>
          <w:tcPr>
            <w:tcW w:w="300" w:type="dxa"/>
            <w:vAlign w:val="bottom"/>
          </w:tcPr>
          <w:p>
            <w:pPr>
              <w:spacing w:after="0"/>
              <w:rPr>
                <w:sz w:val="18"/>
                <w:szCs w:val="18"/>
                <w:color w:val="auto"/>
              </w:rPr>
            </w:pPr>
          </w:p>
        </w:tc>
        <w:tc>
          <w:tcPr>
            <w:tcW w:w="78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458</w:t>
            </w:r>
          </w:p>
        </w:tc>
      </w:tr>
      <w:tr>
        <w:trPr>
          <w:trHeight w:val="216"/>
        </w:trPr>
        <w:tc>
          <w:tcPr>
            <w:tcW w:w="20" w:type="dxa"/>
            <w:vAlign w:val="bottom"/>
          </w:tcPr>
          <w:p>
            <w:pPr>
              <w:spacing w:after="0"/>
              <w:rPr>
                <w:sz w:val="18"/>
                <w:szCs w:val="18"/>
                <w:color w:val="auto"/>
              </w:rPr>
            </w:pPr>
          </w:p>
        </w:tc>
        <w:tc>
          <w:tcPr>
            <w:tcW w:w="43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Equity in net (losses) income of affiliates, net</w:t>
            </w:r>
          </w:p>
        </w:tc>
        <w:tc>
          <w:tcPr>
            <w:tcW w:w="3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w w:val="88"/>
              </w:rPr>
              <w:t>2,333</w:t>
            </w:r>
          </w:p>
        </w:tc>
        <w:tc>
          <w:tcPr>
            <w:tcW w:w="20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w w:val="84"/>
              </w:rPr>
              <w:t>1,261</w:t>
            </w:r>
          </w:p>
        </w:tc>
        <w:tc>
          <w:tcPr>
            <w:tcW w:w="2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w w:val="88"/>
              </w:rPr>
              <w:t>1,631</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93"/>
              </w:rPr>
              <w:t>1,747</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8"/>
              </w:rPr>
              <w:t>1,137</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(103)</w:t>
            </w:r>
          </w:p>
        </w:tc>
        <w:tc>
          <w:tcPr>
            <w:tcW w:w="3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(8,055)</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Other income (expense)</w:t>
            </w:r>
          </w:p>
        </w:tc>
        <w:tc>
          <w:tcPr>
            <w:tcW w:w="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512</w:t>
            </w: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w:t>
            </w:r>
          </w:p>
        </w:tc>
      </w:tr>
      <w:tr>
        <w:trPr>
          <w:trHeight w:val="210"/>
        </w:trPr>
        <w:tc>
          <w:tcPr>
            <w:tcW w:w="20" w:type="dxa"/>
            <w:vAlign w:val="bottom"/>
          </w:tcPr>
          <w:p>
            <w:pPr>
              <w:spacing w:after="0"/>
              <w:rPr>
                <w:sz w:val="18"/>
                <w:szCs w:val="18"/>
                <w:color w:val="auto"/>
              </w:rPr>
            </w:pPr>
          </w:p>
        </w:tc>
        <w:tc>
          <w:tcPr>
            <w:tcW w:w="4300" w:type="dxa"/>
            <w:vAlign w:val="bottom"/>
            <w:tcBorders>
              <w:bottom w:val="single" w:sz="8" w:color="E5E5E5"/>
            </w:tcBorders>
            <w:shd w:val="clear" w:color="auto" w:fill="E5E5E5"/>
          </w:tcPr>
          <w:p>
            <w:pPr>
              <w:spacing w:after="0"/>
              <w:rPr>
                <w:sz w:val="18"/>
                <w:szCs w:val="18"/>
                <w:color w:val="auto"/>
              </w:rPr>
            </w:pPr>
          </w:p>
        </w:tc>
        <w:tc>
          <w:tcPr>
            <w:tcW w:w="3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w w:val="88"/>
              </w:rPr>
              <w:t>1,546</w:t>
            </w:r>
          </w:p>
        </w:tc>
        <w:tc>
          <w:tcPr>
            <w:tcW w:w="2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985</w:t>
            </w:r>
          </w:p>
        </w:tc>
        <w:tc>
          <w:tcPr>
            <w:tcW w:w="2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w w:val="88"/>
              </w:rPr>
              <w:t>1,395</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w w:val="93"/>
              </w:rPr>
              <w:t>1,569</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w w:val="88"/>
              </w:rPr>
              <w:t>1,052</w:t>
            </w:r>
          </w:p>
        </w:tc>
        <w:tc>
          <w:tcPr>
            <w:tcW w:w="2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741</w:t>
            </w:r>
          </w:p>
        </w:tc>
        <w:tc>
          <w:tcPr>
            <w:tcW w:w="30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(8,055)</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(767)</w:t>
            </w:r>
          </w:p>
        </w:tc>
      </w:tr>
      <w:tr>
        <w:trPr>
          <w:trHeight w:val="201"/>
        </w:trPr>
        <w:tc>
          <w:tcPr>
            <w:tcW w:w="20" w:type="dxa"/>
            <w:vAlign w:val="bottom"/>
          </w:tcPr>
          <w:p>
            <w:pPr>
              <w:spacing w:after="0"/>
              <w:rPr>
                <w:sz w:val="17"/>
                <w:szCs w:val="17"/>
                <w:color w:val="auto"/>
              </w:rPr>
            </w:pPr>
          </w:p>
        </w:tc>
        <w:tc>
          <w:tcPr>
            <w:tcW w:w="4300" w:type="dxa"/>
            <w:vAlign w:val="bottom"/>
          </w:tcPr>
          <w:p>
            <w:pPr>
              <w:spacing w:after="0" w:line="201" w:lineRule="exact"/>
              <w:rPr>
                <w:sz w:val="20"/>
                <w:szCs w:val="20"/>
                <w:color w:val="auto"/>
              </w:rPr>
            </w:pPr>
            <w:r>
              <w:rPr>
                <w:rFonts w:ascii="Arial" w:cs="Arial" w:eastAsia="Arial" w:hAnsi="Arial"/>
                <w:sz w:val="18"/>
                <w:szCs w:val="18"/>
                <w:color w:val="auto"/>
                <w:w w:val="96"/>
              </w:rPr>
              <w:t>Income (loss) from continuing operations before income</w:t>
            </w: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taxes and minority interest</w:t>
            </w:r>
          </w:p>
        </w:tc>
        <w:tc>
          <w:tcPr>
            <w:tcW w:w="300" w:type="dxa"/>
            <w:vAlign w:val="bottom"/>
          </w:tcPr>
          <w:p>
            <w:pPr>
              <w:spacing w:after="0"/>
              <w:rPr>
                <w:sz w:val="19"/>
                <w:szCs w:val="19"/>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w w:val="88"/>
              </w:rPr>
              <w:t>1,798</w:t>
            </w:r>
          </w:p>
        </w:tc>
        <w:tc>
          <w:tcPr>
            <w:tcW w:w="200" w:type="dxa"/>
            <w:vAlign w:val="bottom"/>
          </w:tcPr>
          <w:p>
            <w:pPr>
              <w:spacing w:after="0"/>
              <w:rPr>
                <w:sz w:val="19"/>
                <w:szCs w:val="19"/>
                <w:color w:val="auto"/>
              </w:rPr>
            </w:pP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985</w:t>
            </w:r>
          </w:p>
        </w:tc>
        <w:tc>
          <w:tcPr>
            <w:tcW w:w="200" w:type="dxa"/>
            <w:vAlign w:val="bottom"/>
          </w:tcPr>
          <w:p>
            <w:pPr>
              <w:spacing w:after="0"/>
              <w:rPr>
                <w:sz w:val="19"/>
                <w:szCs w:val="19"/>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w w:val="88"/>
              </w:rPr>
              <w:t>1,395</w:t>
            </w:r>
          </w:p>
        </w:tc>
        <w:tc>
          <w:tcPr>
            <w:tcW w:w="260" w:type="dxa"/>
            <w:vAlign w:val="bottom"/>
          </w:tcPr>
          <w:p>
            <w:pPr>
              <w:spacing w:after="0"/>
              <w:rPr>
                <w:sz w:val="19"/>
                <w:szCs w:val="19"/>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w w:val="93"/>
              </w:rPr>
              <w:t>1,569</w:t>
            </w:r>
          </w:p>
        </w:tc>
        <w:tc>
          <w:tcPr>
            <w:tcW w:w="200" w:type="dxa"/>
            <w:vAlign w:val="bottom"/>
          </w:tcPr>
          <w:p>
            <w:pPr>
              <w:spacing w:after="0"/>
              <w:rPr>
                <w:sz w:val="19"/>
                <w:szCs w:val="19"/>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color w:val="auto"/>
                <w:w w:val="88"/>
              </w:rPr>
              <w:t>1,039</w:t>
            </w:r>
          </w:p>
        </w:tc>
        <w:tc>
          <w:tcPr>
            <w:tcW w:w="240" w:type="dxa"/>
            <w:vAlign w:val="bottom"/>
          </w:tcPr>
          <w:p>
            <w:pPr>
              <w:spacing w:after="0"/>
              <w:rPr>
                <w:sz w:val="19"/>
                <w:szCs w:val="19"/>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4,622</w:t>
            </w:r>
          </w:p>
        </w:tc>
        <w:tc>
          <w:tcPr>
            <w:tcW w:w="300" w:type="dxa"/>
            <w:vAlign w:val="bottom"/>
          </w:tcPr>
          <w:p>
            <w:pPr>
              <w:spacing w:after="0"/>
              <w:rPr>
                <w:sz w:val="19"/>
                <w:szCs w:val="19"/>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(8,055)</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3,353</w:t>
            </w:r>
          </w:p>
        </w:tc>
      </w:tr>
      <w:tr>
        <w:trPr>
          <w:trHeight w:val="218"/>
        </w:trPr>
        <w:tc>
          <w:tcPr>
            <w:tcW w:w="20" w:type="dxa"/>
            <w:vAlign w:val="bottom"/>
          </w:tcPr>
          <w:p>
            <w:pPr>
              <w:spacing w:after="0"/>
              <w:rPr>
                <w:sz w:val="18"/>
                <w:szCs w:val="18"/>
                <w:color w:val="auto"/>
              </w:rPr>
            </w:pPr>
          </w:p>
        </w:tc>
        <w:tc>
          <w:tcPr>
            <w:tcW w:w="430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Income tax (expense) benefit</w:t>
            </w:r>
          </w:p>
        </w:tc>
        <w:tc>
          <w:tcPr>
            <w:tcW w:w="3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187</w:t>
            </w:r>
          </w:p>
        </w:tc>
        <w:tc>
          <w:tcPr>
            <w:tcW w:w="2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98</w:t>
            </w:r>
          </w:p>
        </w:tc>
        <w:tc>
          <w:tcPr>
            <w:tcW w:w="2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84</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62</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34</w:t>
            </w:r>
          </w:p>
        </w:tc>
        <w:tc>
          <w:tcPr>
            <w:tcW w:w="2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(1,865)</w:t>
            </w:r>
          </w:p>
        </w:tc>
        <w:tc>
          <w:tcPr>
            <w:tcW w:w="30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(1,400)</w:t>
            </w:r>
          </w:p>
        </w:tc>
      </w:tr>
      <w:tr>
        <w:trPr>
          <w:trHeight w:val="201"/>
        </w:trPr>
        <w:tc>
          <w:tcPr>
            <w:tcW w:w="20" w:type="dxa"/>
            <w:vAlign w:val="bottom"/>
          </w:tcPr>
          <w:p>
            <w:pPr>
              <w:spacing w:after="0"/>
              <w:rPr>
                <w:sz w:val="17"/>
                <w:szCs w:val="17"/>
                <w:color w:val="auto"/>
              </w:rPr>
            </w:pPr>
          </w:p>
        </w:tc>
        <w:tc>
          <w:tcPr>
            <w:tcW w:w="4300" w:type="dxa"/>
            <w:vAlign w:val="bottom"/>
          </w:tcPr>
          <w:p>
            <w:pPr>
              <w:spacing w:after="0" w:line="201" w:lineRule="exact"/>
              <w:rPr>
                <w:sz w:val="20"/>
                <w:szCs w:val="20"/>
                <w:color w:val="auto"/>
              </w:rPr>
            </w:pPr>
            <w:r>
              <w:rPr>
                <w:rFonts w:ascii="Arial" w:cs="Arial" w:eastAsia="Arial" w:hAnsi="Arial"/>
                <w:sz w:val="18"/>
                <w:szCs w:val="18"/>
                <w:color w:val="auto"/>
                <w:w w:val="95"/>
              </w:rPr>
              <w:t>Income (loss) from continuing operations before minority</w:t>
            </w: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interest</w:t>
            </w:r>
          </w:p>
        </w:tc>
        <w:tc>
          <w:tcPr>
            <w:tcW w:w="300" w:type="dxa"/>
            <w:vAlign w:val="bottom"/>
          </w:tcPr>
          <w:p>
            <w:pPr>
              <w:spacing w:after="0"/>
              <w:rPr>
                <w:sz w:val="19"/>
                <w:szCs w:val="19"/>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w w:val="88"/>
              </w:rPr>
              <w:t>1,985</w:t>
            </w:r>
          </w:p>
        </w:tc>
        <w:tc>
          <w:tcPr>
            <w:tcW w:w="200" w:type="dxa"/>
            <w:vAlign w:val="bottom"/>
          </w:tcPr>
          <w:p>
            <w:pPr>
              <w:spacing w:after="0"/>
              <w:rPr>
                <w:sz w:val="19"/>
                <w:szCs w:val="19"/>
                <w:color w:val="auto"/>
              </w:rPr>
            </w:pPr>
          </w:p>
        </w:tc>
        <w:tc>
          <w:tcPr>
            <w:tcW w:w="560" w:type="dxa"/>
            <w:vAlign w:val="bottom"/>
          </w:tcPr>
          <w:p>
            <w:pPr>
              <w:jc w:val="right"/>
              <w:ind w:right="72"/>
              <w:spacing w:after="0"/>
              <w:rPr>
                <w:sz w:val="20"/>
                <w:szCs w:val="20"/>
                <w:color w:val="auto"/>
              </w:rPr>
            </w:pPr>
            <w:r>
              <w:rPr>
                <w:rFonts w:ascii="Arial" w:cs="Arial" w:eastAsia="Arial" w:hAnsi="Arial"/>
                <w:sz w:val="18"/>
                <w:szCs w:val="18"/>
                <w:color w:val="auto"/>
                <w:w w:val="84"/>
              </w:rPr>
              <w:t>1,083</w:t>
            </w:r>
          </w:p>
        </w:tc>
        <w:tc>
          <w:tcPr>
            <w:tcW w:w="200" w:type="dxa"/>
            <w:vAlign w:val="bottom"/>
          </w:tcPr>
          <w:p>
            <w:pPr>
              <w:spacing w:after="0"/>
              <w:rPr>
                <w:sz w:val="19"/>
                <w:szCs w:val="19"/>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w w:val="88"/>
              </w:rPr>
              <w:t>1,479</w:t>
            </w:r>
          </w:p>
        </w:tc>
        <w:tc>
          <w:tcPr>
            <w:tcW w:w="260" w:type="dxa"/>
            <w:vAlign w:val="bottom"/>
          </w:tcPr>
          <w:p>
            <w:pPr>
              <w:spacing w:after="0"/>
              <w:rPr>
                <w:sz w:val="19"/>
                <w:szCs w:val="19"/>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w w:val="93"/>
              </w:rPr>
              <w:t>1,631</w:t>
            </w:r>
          </w:p>
        </w:tc>
        <w:tc>
          <w:tcPr>
            <w:tcW w:w="200" w:type="dxa"/>
            <w:vAlign w:val="bottom"/>
          </w:tcPr>
          <w:p>
            <w:pPr>
              <w:spacing w:after="0"/>
              <w:rPr>
                <w:sz w:val="19"/>
                <w:szCs w:val="19"/>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color w:val="auto"/>
                <w:w w:val="88"/>
              </w:rPr>
              <w:t>1,073</w:t>
            </w:r>
          </w:p>
        </w:tc>
        <w:tc>
          <w:tcPr>
            <w:tcW w:w="240" w:type="dxa"/>
            <w:vAlign w:val="bottom"/>
          </w:tcPr>
          <w:p>
            <w:pPr>
              <w:spacing w:after="0"/>
              <w:rPr>
                <w:sz w:val="19"/>
                <w:szCs w:val="19"/>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2,757</w:t>
            </w:r>
          </w:p>
        </w:tc>
        <w:tc>
          <w:tcPr>
            <w:tcW w:w="300" w:type="dxa"/>
            <w:vAlign w:val="bottom"/>
          </w:tcPr>
          <w:p>
            <w:pPr>
              <w:spacing w:after="0"/>
              <w:rPr>
                <w:sz w:val="19"/>
                <w:szCs w:val="19"/>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(8,055)</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1,953</w:t>
            </w:r>
          </w:p>
        </w:tc>
      </w:tr>
      <w:tr>
        <w:trPr>
          <w:trHeight w:val="218"/>
        </w:trPr>
        <w:tc>
          <w:tcPr>
            <w:tcW w:w="20" w:type="dxa"/>
            <w:vAlign w:val="bottom"/>
          </w:tcPr>
          <w:p>
            <w:pPr>
              <w:spacing w:after="0"/>
              <w:rPr>
                <w:sz w:val="18"/>
                <w:szCs w:val="18"/>
                <w:color w:val="auto"/>
              </w:rPr>
            </w:pPr>
          </w:p>
        </w:tc>
        <w:tc>
          <w:tcPr>
            <w:tcW w:w="430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Minority interest</w:t>
            </w:r>
          </w:p>
        </w:tc>
        <w:tc>
          <w:tcPr>
            <w:tcW w:w="3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32</w:t>
            </w:r>
          </w:p>
        </w:tc>
        <w:tc>
          <w:tcPr>
            <w:tcW w:w="30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32</w:t>
            </w:r>
          </w:p>
        </w:tc>
      </w:tr>
      <w:tr>
        <w:trPr>
          <w:trHeight w:val="217"/>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30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88"/>
              </w:rPr>
              <w:t>1,985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84"/>
              </w:rPr>
              <w:t>1,083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88"/>
              </w:rPr>
              <w:t>1,479</w:t>
            </w:r>
          </w:p>
        </w:tc>
        <w:tc>
          <w:tcPr>
            <w:tcW w:w="2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3"/>
              </w:rPr>
              <w:t>1,631</w:t>
            </w:r>
          </w:p>
        </w:tc>
        <w:tc>
          <w:tcPr>
            <w:tcW w:w="2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88"/>
              </w:rPr>
              <w:t>1,073</w:t>
            </w:r>
          </w:p>
        </w:tc>
        <w:tc>
          <w:tcPr>
            <w:tcW w:w="2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2,789</w:t>
            </w:r>
          </w:p>
        </w:tc>
        <w:tc>
          <w:tcPr>
            <w:tcW w:w="30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(8,055)</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1,985</w:t>
            </w:r>
          </w:p>
        </w:tc>
      </w:tr>
      <w:tr>
        <w:trPr>
          <w:trHeight w:val="363"/>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jc w:val="right"/>
              <w:ind w:right="52"/>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SEPTEMBER 30, 2007</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Consolidating Statement of Operations</w:t>
      </w:r>
    </w:p>
    <w:p>
      <w:pPr>
        <w:jc w:val="center"/>
        <w:spacing w:after="0"/>
        <w:rPr>
          <w:sz w:val="20"/>
          <w:szCs w:val="20"/>
          <w:color w:val="auto"/>
        </w:rPr>
      </w:pPr>
      <w:r>
        <w:rPr>
          <w:rFonts w:ascii="Arial" w:cs="Arial" w:eastAsia="Arial" w:hAnsi="Arial"/>
          <w:sz w:val="22"/>
          <w:szCs w:val="22"/>
          <w:b w:val="1"/>
          <w:bCs w:val="1"/>
          <w:color w:val="auto"/>
        </w:rPr>
        <w:t>For the Nine Months Ended September 30, 2006</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Elimination</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6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Combined</w:t>
            </w: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jc w:val="right"/>
              <w:ind w:right="333"/>
              <w:spacing w:after="0" w:line="149" w:lineRule="exact"/>
              <w:rPr>
                <w:sz w:val="20"/>
                <w:szCs w:val="20"/>
                <w:color w:val="auto"/>
              </w:rPr>
            </w:pPr>
            <w:r>
              <w:rPr>
                <w:rFonts w:ascii="Arial" w:cs="Arial" w:eastAsia="Arial" w:hAnsi="Arial"/>
                <w:sz w:val="14"/>
                <w:szCs w:val="14"/>
                <w:b w:val="1"/>
                <w:bCs w:val="1"/>
                <w:color w:val="auto"/>
              </w:rPr>
              <w:t>Non-</w:t>
            </w:r>
          </w:p>
        </w:tc>
        <w:tc>
          <w:tcPr>
            <w:tcW w:w="340" w:type="dxa"/>
            <w:vAlign w:val="bottom"/>
          </w:tcPr>
          <w:p>
            <w:pPr>
              <w:spacing w:after="0"/>
              <w:rPr>
                <w:sz w:val="12"/>
                <w:szCs w:val="12"/>
                <w:color w:val="auto"/>
              </w:rPr>
            </w:pPr>
          </w:p>
        </w:tc>
        <w:tc>
          <w:tcPr>
            <w:tcW w:w="820" w:type="dxa"/>
            <w:vAlign w:val="bottom"/>
          </w:tcPr>
          <w:p>
            <w:pPr>
              <w:jc w:val="center"/>
              <w:ind w:right="313"/>
              <w:spacing w:after="0" w:line="149" w:lineRule="exact"/>
              <w:rPr>
                <w:sz w:val="20"/>
                <w:szCs w:val="20"/>
                <w:color w:val="auto"/>
              </w:rPr>
            </w:pPr>
            <w:r>
              <w:rPr>
                <w:rFonts w:ascii="Arial" w:cs="Arial" w:eastAsia="Arial" w:hAnsi="Arial"/>
                <w:sz w:val="14"/>
                <w:szCs w:val="14"/>
                <w:b w:val="1"/>
                <w:bCs w:val="1"/>
                <w:color w:val="auto"/>
                <w:w w:val="88"/>
              </w:rPr>
              <w:t>and</w:t>
            </w:r>
          </w:p>
        </w:tc>
        <w:tc>
          <w:tcPr>
            <w:tcW w:w="98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w w:val="92"/>
              </w:rPr>
              <w:t>Consolidated</w:t>
            </w: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080" w:type="dxa"/>
            <w:vAlign w:val="bottom"/>
            <w:gridSpan w:val="2"/>
          </w:tcPr>
          <w:p>
            <w:pPr>
              <w:ind w:left="380"/>
              <w:spacing w:after="0" w:line="149" w:lineRule="exact"/>
              <w:rPr>
                <w:sz w:val="20"/>
                <w:szCs w:val="20"/>
                <w:color w:val="auto"/>
              </w:rPr>
            </w:pPr>
            <w:r>
              <w:rPr>
                <w:rFonts w:ascii="Arial" w:cs="Arial" w:eastAsia="Arial" w:hAnsi="Arial"/>
                <w:sz w:val="14"/>
                <w:szCs w:val="14"/>
                <w:b w:val="1"/>
                <w:bCs w:val="1"/>
                <w:color w:val="auto"/>
              </w:rPr>
              <w:t>Comcast</w:t>
            </w:r>
          </w:p>
        </w:tc>
        <w:tc>
          <w:tcPr>
            <w:tcW w:w="840" w:type="dxa"/>
            <w:vAlign w:val="bottom"/>
            <w:gridSpan w:val="2"/>
          </w:tcPr>
          <w:p>
            <w:pPr>
              <w:jc w:val="right"/>
              <w:ind w:right="152"/>
              <w:spacing w:after="0" w:line="149" w:lineRule="exact"/>
              <w:rPr>
                <w:sz w:val="20"/>
                <w:szCs w:val="20"/>
                <w:color w:val="auto"/>
              </w:rPr>
            </w:pPr>
            <w:r>
              <w:rPr>
                <w:rFonts w:ascii="Arial" w:cs="Arial" w:eastAsia="Arial" w:hAnsi="Arial"/>
                <w:sz w:val="14"/>
                <w:szCs w:val="14"/>
                <w:b w:val="1"/>
                <w:bCs w:val="1"/>
                <w:color w:val="auto"/>
              </w:rPr>
              <w:t>CCCL</w:t>
            </w:r>
          </w:p>
        </w:tc>
        <w:tc>
          <w:tcPr>
            <w:tcW w:w="880" w:type="dxa"/>
            <w:vAlign w:val="bottom"/>
            <w:gridSpan w:val="2"/>
          </w:tcPr>
          <w:p>
            <w:pPr>
              <w:jc w:val="right"/>
              <w:ind w:right="172"/>
              <w:spacing w:after="0" w:line="149" w:lineRule="exact"/>
              <w:rPr>
                <w:sz w:val="20"/>
                <w:szCs w:val="20"/>
                <w:color w:val="auto"/>
              </w:rPr>
            </w:pPr>
            <w:r>
              <w:rPr>
                <w:rFonts w:ascii="Arial" w:cs="Arial" w:eastAsia="Arial" w:hAnsi="Arial"/>
                <w:sz w:val="14"/>
                <w:szCs w:val="14"/>
                <w:b w:val="1"/>
                <w:bCs w:val="1"/>
                <w:color w:val="auto"/>
              </w:rPr>
              <w:t>CCCH</w:t>
            </w:r>
          </w:p>
        </w:tc>
        <w:tc>
          <w:tcPr>
            <w:tcW w:w="960" w:type="dxa"/>
            <w:vAlign w:val="bottom"/>
            <w:gridSpan w:val="2"/>
          </w:tcPr>
          <w:p>
            <w:pPr>
              <w:jc w:val="right"/>
              <w:ind w:right="172"/>
              <w:spacing w:after="0" w:line="149" w:lineRule="exact"/>
              <w:rPr>
                <w:sz w:val="20"/>
                <w:szCs w:val="20"/>
                <w:color w:val="auto"/>
              </w:rPr>
            </w:pPr>
            <w:r>
              <w:rPr>
                <w:rFonts w:ascii="Arial" w:cs="Arial" w:eastAsia="Arial" w:hAnsi="Arial"/>
                <w:sz w:val="14"/>
                <w:szCs w:val="14"/>
                <w:b w:val="1"/>
                <w:bCs w:val="1"/>
                <w:color w:val="auto"/>
              </w:rPr>
              <w:t>CCHMO</w:t>
            </w:r>
          </w:p>
        </w:tc>
        <w:tc>
          <w:tcPr>
            <w:tcW w:w="86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Comcast</w:t>
            </w:r>
          </w:p>
        </w:tc>
        <w:tc>
          <w:tcPr>
            <w:tcW w:w="1080" w:type="dxa"/>
            <w:vAlign w:val="bottom"/>
            <w:gridSpan w:val="2"/>
          </w:tcPr>
          <w:p>
            <w:pPr>
              <w:jc w:val="right"/>
              <w:ind w:right="173"/>
              <w:spacing w:after="0" w:line="149" w:lineRule="exact"/>
              <w:rPr>
                <w:sz w:val="20"/>
                <w:szCs w:val="20"/>
                <w:color w:val="auto"/>
              </w:rPr>
            </w:pPr>
            <w:r>
              <w:rPr>
                <w:rFonts w:ascii="Arial" w:cs="Arial" w:eastAsia="Arial" w:hAnsi="Arial"/>
                <w:sz w:val="14"/>
                <w:szCs w:val="14"/>
                <w:b w:val="1"/>
                <w:bCs w:val="1"/>
                <w:color w:val="auto"/>
              </w:rPr>
              <w:t>Guarantor</w:t>
            </w:r>
          </w:p>
        </w:tc>
        <w:tc>
          <w:tcPr>
            <w:tcW w:w="11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Consolidation</w:t>
            </w:r>
          </w:p>
        </w:tc>
        <w:tc>
          <w:tcPr>
            <w:tcW w:w="260" w:type="dxa"/>
            <w:vAlign w:val="bottom"/>
          </w:tcPr>
          <w:p>
            <w:pPr>
              <w:spacing w:after="0"/>
              <w:rPr>
                <w:sz w:val="12"/>
                <w:szCs w:val="12"/>
                <w:color w:val="auto"/>
              </w:rPr>
            </w:pPr>
          </w:p>
        </w:tc>
        <w:tc>
          <w:tcPr>
            <w:tcW w:w="720" w:type="dxa"/>
            <w:vAlign w:val="bottom"/>
          </w:tcPr>
          <w:p>
            <w:pPr>
              <w:jc w:val="right"/>
              <w:ind w:right="113"/>
              <w:spacing w:after="0" w:line="149" w:lineRule="exact"/>
              <w:rPr>
                <w:sz w:val="20"/>
                <w:szCs w:val="20"/>
                <w:color w:val="auto"/>
              </w:rPr>
            </w:pPr>
            <w:r>
              <w:rPr>
                <w:rFonts w:ascii="Arial" w:cs="Arial" w:eastAsia="Arial" w:hAnsi="Arial"/>
                <w:sz w:val="14"/>
                <w:szCs w:val="14"/>
                <w:b w:val="1"/>
                <w:bCs w:val="1"/>
                <w:color w:val="auto"/>
                <w:w w:val="84"/>
              </w:rPr>
              <w:t>Comcast</w:t>
            </w:r>
          </w:p>
        </w:tc>
      </w:tr>
      <w:tr>
        <w:trPr>
          <w:trHeight w:val="161"/>
        </w:trPr>
        <w:tc>
          <w:tcPr>
            <w:tcW w:w="358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08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Parent</w:t>
            </w:r>
          </w:p>
        </w:tc>
        <w:tc>
          <w:tcPr>
            <w:tcW w:w="84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Parent</w:t>
            </w:r>
          </w:p>
        </w:tc>
        <w:tc>
          <w:tcPr>
            <w:tcW w:w="88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Parent</w:t>
            </w:r>
          </w:p>
        </w:tc>
        <w:tc>
          <w:tcPr>
            <w:tcW w:w="96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Parents</w:t>
            </w:r>
          </w:p>
        </w:tc>
        <w:tc>
          <w:tcPr>
            <w:tcW w:w="860" w:type="dxa"/>
            <w:vAlign w:val="bottom"/>
            <w:gridSpan w:val="2"/>
          </w:tcPr>
          <w:p>
            <w:pPr>
              <w:ind w:left="140"/>
              <w:spacing w:after="0"/>
              <w:rPr>
                <w:sz w:val="20"/>
                <w:szCs w:val="20"/>
                <w:color w:val="auto"/>
              </w:rPr>
            </w:pPr>
            <w:r>
              <w:rPr>
                <w:rFonts w:ascii="Arial" w:cs="Arial" w:eastAsia="Arial" w:hAnsi="Arial"/>
                <w:sz w:val="14"/>
                <w:szCs w:val="14"/>
                <w:b w:val="1"/>
                <w:bCs w:val="1"/>
                <w:color w:val="auto"/>
              </w:rPr>
              <w:t>Holdings</w:t>
            </w:r>
          </w:p>
        </w:tc>
        <w:tc>
          <w:tcPr>
            <w:tcW w:w="1080" w:type="dxa"/>
            <w:vAlign w:val="bottom"/>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Adjustments</w:t>
            </w:r>
          </w:p>
        </w:tc>
        <w:tc>
          <w:tcPr>
            <w:tcW w:w="980" w:type="dxa"/>
            <w:vAlign w:val="bottom"/>
            <w:gridSpan w:val="2"/>
          </w:tcPr>
          <w:p>
            <w:pPr>
              <w:ind w:left="160"/>
              <w:spacing w:after="0"/>
              <w:rPr>
                <w:sz w:val="20"/>
                <w:szCs w:val="20"/>
                <w:color w:val="auto"/>
              </w:rPr>
            </w:pPr>
            <w:r>
              <w:rPr>
                <w:rFonts w:ascii="Arial" w:cs="Arial" w:eastAsia="Arial" w:hAnsi="Arial"/>
                <w:sz w:val="14"/>
                <w:szCs w:val="14"/>
                <w:b w:val="1"/>
                <w:bCs w:val="1"/>
                <w:color w:val="auto"/>
                <w:w w:val="99"/>
              </w:rPr>
              <w:t>Corporation</w:t>
            </w:r>
          </w:p>
        </w:tc>
      </w:tr>
      <w:tr>
        <w:trPr>
          <w:trHeight w:val="210"/>
        </w:trPr>
        <w:tc>
          <w:tcPr>
            <w:tcW w:w="20" w:type="dxa"/>
            <w:vAlign w:val="bottom"/>
          </w:tcPr>
          <w:p>
            <w:pPr>
              <w:spacing w:after="0"/>
              <w:rPr>
                <w:sz w:val="18"/>
                <w:szCs w:val="18"/>
                <w:color w:val="auto"/>
              </w:rPr>
            </w:pPr>
          </w:p>
        </w:tc>
        <w:tc>
          <w:tcPr>
            <w:tcW w:w="35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Revenues</w:t>
            </w:r>
          </w:p>
        </w:tc>
        <w:tc>
          <w:tcPr>
            <w:tcW w:w="48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540" w:type="dxa"/>
            <w:vAlign w:val="bottom"/>
            <w:tcBorders>
              <w:top w:val="single" w:sz="8" w:color="auto"/>
            </w:tcBorders>
            <w:shd w:val="clear" w:color="auto" w:fill="E5E5E5"/>
          </w:tcPr>
          <w:p>
            <w:pPr>
              <w:spacing w:after="0"/>
              <w:rPr>
                <w:sz w:val="18"/>
                <w:szCs w:val="18"/>
                <w:color w:val="auto"/>
              </w:rPr>
            </w:pPr>
          </w:p>
        </w:tc>
        <w:tc>
          <w:tcPr>
            <w:tcW w:w="300" w:type="dxa"/>
            <w:vAlign w:val="bottom"/>
            <w:tcBorders>
              <w:top w:val="single" w:sz="8" w:color="auto"/>
            </w:tcBorders>
            <w:shd w:val="clear" w:color="auto" w:fill="E5E5E5"/>
          </w:tcPr>
          <w:p>
            <w:pPr>
              <w:spacing w:after="0"/>
              <w:rPr>
                <w:sz w:val="18"/>
                <w:szCs w:val="18"/>
                <w:color w:val="auto"/>
              </w:rPr>
            </w:pPr>
          </w:p>
        </w:tc>
        <w:tc>
          <w:tcPr>
            <w:tcW w:w="780" w:type="dxa"/>
            <w:vAlign w:val="bottom"/>
            <w:tcBorders>
              <w:top w:val="single" w:sz="8" w:color="auto"/>
            </w:tcBorders>
            <w:shd w:val="clear" w:color="auto" w:fill="E5E5E5"/>
          </w:tcPr>
          <w:p>
            <w:pPr>
              <w:spacing w:after="0"/>
              <w:rPr>
                <w:sz w:val="18"/>
                <w:szCs w:val="18"/>
                <w:color w:val="auto"/>
              </w:rPr>
            </w:pPr>
          </w:p>
        </w:tc>
        <w:tc>
          <w:tcPr>
            <w:tcW w:w="340" w:type="dxa"/>
            <w:vAlign w:val="bottom"/>
            <w:tcBorders>
              <w:top w:val="single" w:sz="8" w:color="auto"/>
            </w:tcBorders>
            <w:shd w:val="clear" w:color="auto" w:fill="E5E5E5"/>
          </w:tcPr>
          <w:p>
            <w:pPr>
              <w:spacing w:after="0"/>
              <w:rPr>
                <w:sz w:val="18"/>
                <w:szCs w:val="18"/>
                <w:color w:val="auto"/>
              </w:rPr>
            </w:pPr>
          </w:p>
        </w:tc>
        <w:tc>
          <w:tcPr>
            <w:tcW w:w="82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200"/>
              <w:spacing w:after="0"/>
              <w:rPr>
                <w:sz w:val="20"/>
                <w:szCs w:val="20"/>
                <w:color w:val="auto"/>
              </w:rPr>
            </w:pPr>
            <w:r>
              <w:rPr>
                <w:rFonts w:ascii="Arial" w:cs="Arial" w:eastAsia="Arial" w:hAnsi="Arial"/>
                <w:sz w:val="18"/>
                <w:szCs w:val="18"/>
                <w:color w:val="auto"/>
              </w:rPr>
              <w:t>Service revenues</w:t>
            </w:r>
          </w:p>
        </w:tc>
        <w:tc>
          <w:tcPr>
            <w:tcW w:w="480" w:type="dxa"/>
            <w:vAlign w:val="bottom"/>
          </w:tcPr>
          <w:p>
            <w:pPr>
              <w:ind w:left="38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jc w:val="center"/>
              <w:ind w:left="8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ind w:left="14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tcPr>
          <w:p>
            <w:pPr>
              <w:ind w:left="14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17,935</w:t>
            </w:r>
          </w:p>
        </w:tc>
        <w:tc>
          <w:tcPr>
            <w:tcW w:w="340" w:type="dxa"/>
            <w:vAlign w:val="bottom"/>
          </w:tcPr>
          <w:p>
            <w:pPr>
              <w:jc w:val="right"/>
              <w:ind w:right="44"/>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17,935</w:t>
            </w:r>
          </w:p>
        </w:tc>
      </w:tr>
      <w:tr>
        <w:trPr>
          <w:trHeight w:val="216"/>
        </w:trPr>
        <w:tc>
          <w:tcPr>
            <w:tcW w:w="20" w:type="dxa"/>
            <w:vAlign w:val="bottom"/>
          </w:tcPr>
          <w:p>
            <w:pPr>
              <w:spacing w:after="0"/>
              <w:rPr>
                <w:sz w:val="18"/>
                <w:szCs w:val="18"/>
                <w:color w:val="auto"/>
              </w:rPr>
            </w:pPr>
          </w:p>
        </w:tc>
        <w:tc>
          <w:tcPr>
            <w:tcW w:w="356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Management fee revenue</w:t>
            </w:r>
          </w:p>
        </w:tc>
        <w:tc>
          <w:tcPr>
            <w:tcW w:w="4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383</w:t>
            </w:r>
          </w:p>
        </w:tc>
        <w:tc>
          <w:tcPr>
            <w:tcW w:w="2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142</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224</w:t>
            </w:r>
          </w:p>
        </w:tc>
        <w:tc>
          <w:tcPr>
            <w:tcW w:w="2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224</w:t>
            </w:r>
          </w:p>
        </w:tc>
        <w:tc>
          <w:tcPr>
            <w:tcW w:w="3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6</w:t>
            </w:r>
          </w:p>
        </w:tc>
        <w:tc>
          <w:tcPr>
            <w:tcW w:w="30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(979)</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383</w:t>
            </w: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142</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224</w:t>
            </w: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224</w:t>
            </w:r>
          </w:p>
        </w:tc>
        <w:tc>
          <w:tcPr>
            <w:tcW w:w="3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6</w:t>
            </w: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17,935</w:t>
            </w: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(979)</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17,935</w:t>
            </w:r>
          </w:p>
        </w:tc>
      </w:tr>
      <w:tr>
        <w:trPr>
          <w:trHeight w:val="210"/>
        </w:trPr>
        <w:tc>
          <w:tcPr>
            <w:tcW w:w="20" w:type="dxa"/>
            <w:vAlign w:val="bottom"/>
          </w:tcPr>
          <w:p>
            <w:pPr>
              <w:spacing w:after="0"/>
              <w:rPr>
                <w:sz w:val="18"/>
                <w:szCs w:val="18"/>
                <w:color w:val="auto"/>
              </w:rPr>
            </w:pPr>
          </w:p>
        </w:tc>
        <w:tc>
          <w:tcPr>
            <w:tcW w:w="35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Costs and Expenses</w:t>
            </w:r>
          </w:p>
        </w:tc>
        <w:tc>
          <w:tcPr>
            <w:tcW w:w="48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200"/>
              <w:spacing w:after="0"/>
              <w:rPr>
                <w:sz w:val="20"/>
                <w:szCs w:val="20"/>
                <w:color w:val="auto"/>
              </w:rPr>
            </w:pPr>
            <w:r>
              <w:rPr>
                <w:rFonts w:ascii="Arial" w:cs="Arial" w:eastAsia="Arial" w:hAnsi="Arial"/>
                <w:sz w:val="18"/>
                <w:szCs w:val="18"/>
                <w:color w:val="auto"/>
              </w:rPr>
              <w:t>Operating (excluding depreciation)</w:t>
            </w:r>
          </w:p>
        </w:tc>
        <w:tc>
          <w:tcPr>
            <w:tcW w:w="480" w:type="dxa"/>
            <w:vAlign w:val="bottom"/>
          </w:tcPr>
          <w:p>
            <w:pPr>
              <w:spacing w:after="0"/>
              <w:rPr>
                <w:sz w:val="18"/>
                <w:szCs w:val="18"/>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6,477</w:t>
            </w:r>
          </w:p>
        </w:tc>
        <w:tc>
          <w:tcPr>
            <w:tcW w:w="340" w:type="dxa"/>
            <w:vAlign w:val="bottom"/>
          </w:tcPr>
          <w:p>
            <w:pPr>
              <w:spacing w:after="0"/>
              <w:rPr>
                <w:sz w:val="18"/>
                <w:szCs w:val="18"/>
                <w:color w:val="auto"/>
              </w:rPr>
            </w:pPr>
          </w:p>
        </w:tc>
        <w:tc>
          <w:tcPr>
            <w:tcW w:w="82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6,477</w:t>
            </w:r>
          </w:p>
        </w:tc>
      </w:tr>
      <w:tr>
        <w:trPr>
          <w:trHeight w:val="216"/>
        </w:trPr>
        <w:tc>
          <w:tcPr>
            <w:tcW w:w="20" w:type="dxa"/>
            <w:vAlign w:val="bottom"/>
          </w:tcPr>
          <w:p>
            <w:pPr>
              <w:spacing w:after="0"/>
              <w:rPr>
                <w:sz w:val="18"/>
                <w:szCs w:val="18"/>
                <w:color w:val="auto"/>
              </w:rPr>
            </w:pPr>
          </w:p>
        </w:tc>
        <w:tc>
          <w:tcPr>
            <w:tcW w:w="35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Selling, general and administrative</w:t>
            </w:r>
          </w:p>
        </w:tc>
        <w:tc>
          <w:tcPr>
            <w:tcW w:w="4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189</w:t>
            </w:r>
          </w:p>
        </w:tc>
        <w:tc>
          <w:tcPr>
            <w:tcW w:w="2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142</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224</w:t>
            </w: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224</w:t>
            </w:r>
          </w:p>
        </w:tc>
        <w:tc>
          <w:tcPr>
            <w:tcW w:w="3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12</w:t>
            </w:r>
          </w:p>
        </w:tc>
        <w:tc>
          <w:tcPr>
            <w:tcW w:w="3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4,798</w:t>
            </w:r>
          </w:p>
        </w:tc>
        <w:tc>
          <w:tcPr>
            <w:tcW w:w="34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(979)</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4,610</w:t>
            </w:r>
          </w:p>
        </w:tc>
      </w:tr>
      <w:tr>
        <w:trPr>
          <w:trHeight w:val="216"/>
        </w:trPr>
        <w:tc>
          <w:tcPr>
            <w:tcW w:w="20" w:type="dxa"/>
            <w:vAlign w:val="bottom"/>
          </w:tcPr>
          <w:p>
            <w:pPr>
              <w:spacing w:after="0"/>
              <w:rPr>
                <w:sz w:val="18"/>
                <w:szCs w:val="18"/>
                <w:color w:val="auto"/>
              </w:rPr>
            </w:pPr>
          </w:p>
        </w:tc>
        <w:tc>
          <w:tcPr>
            <w:tcW w:w="356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480" w:type="dxa"/>
            <w:vAlign w:val="bottom"/>
          </w:tcPr>
          <w:p>
            <w:pPr>
              <w:spacing w:after="0"/>
              <w:rPr>
                <w:sz w:val="18"/>
                <w:szCs w:val="18"/>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2,740</w:t>
            </w:r>
          </w:p>
        </w:tc>
        <w:tc>
          <w:tcPr>
            <w:tcW w:w="340" w:type="dxa"/>
            <w:vAlign w:val="bottom"/>
          </w:tcPr>
          <w:p>
            <w:pPr>
              <w:spacing w:after="0"/>
              <w:rPr>
                <w:sz w:val="18"/>
                <w:szCs w:val="18"/>
                <w:color w:val="auto"/>
              </w:rPr>
            </w:pPr>
          </w:p>
        </w:tc>
        <w:tc>
          <w:tcPr>
            <w:tcW w:w="82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2,748</w:t>
            </w:r>
          </w:p>
        </w:tc>
      </w:tr>
      <w:tr>
        <w:trPr>
          <w:trHeight w:val="216"/>
        </w:trPr>
        <w:tc>
          <w:tcPr>
            <w:tcW w:w="20" w:type="dxa"/>
            <w:vAlign w:val="bottom"/>
          </w:tcPr>
          <w:p>
            <w:pPr>
              <w:spacing w:after="0"/>
              <w:rPr>
                <w:sz w:val="18"/>
                <w:szCs w:val="18"/>
                <w:color w:val="auto"/>
              </w:rPr>
            </w:pPr>
          </w:p>
        </w:tc>
        <w:tc>
          <w:tcPr>
            <w:tcW w:w="356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Amortization</w:t>
            </w:r>
          </w:p>
        </w:tc>
        <w:tc>
          <w:tcPr>
            <w:tcW w:w="4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4</w:t>
            </w:r>
          </w:p>
        </w:tc>
        <w:tc>
          <w:tcPr>
            <w:tcW w:w="30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695</w:t>
            </w:r>
          </w:p>
        </w:tc>
        <w:tc>
          <w:tcPr>
            <w:tcW w:w="34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699</w:t>
            </w:r>
          </w:p>
        </w:tc>
      </w:tr>
      <w:tr>
        <w:trPr>
          <w:trHeight w:val="210"/>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195</w:t>
            </w: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142</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224</w:t>
            </w: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224</w:t>
            </w:r>
          </w:p>
        </w:tc>
        <w:tc>
          <w:tcPr>
            <w:tcW w:w="3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18</w:t>
            </w: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14,710</w:t>
            </w: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(979)</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14,534</w:t>
            </w:r>
          </w:p>
        </w:tc>
      </w:tr>
      <w:tr>
        <w:trPr>
          <w:trHeight w:val="210"/>
        </w:trPr>
        <w:tc>
          <w:tcPr>
            <w:tcW w:w="20" w:type="dxa"/>
            <w:vAlign w:val="bottom"/>
          </w:tcPr>
          <w:p>
            <w:pPr>
              <w:spacing w:after="0"/>
              <w:rPr>
                <w:sz w:val="18"/>
                <w:szCs w:val="18"/>
                <w:color w:val="auto"/>
              </w:rPr>
            </w:pPr>
          </w:p>
        </w:tc>
        <w:tc>
          <w:tcPr>
            <w:tcW w:w="356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w:t>
            </w:r>
          </w:p>
        </w:tc>
        <w:tc>
          <w:tcPr>
            <w:tcW w:w="4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188</w:t>
            </w:r>
          </w:p>
        </w:tc>
        <w:tc>
          <w:tcPr>
            <w:tcW w:w="2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(12)</w:t>
            </w:r>
          </w:p>
        </w:tc>
        <w:tc>
          <w:tcPr>
            <w:tcW w:w="3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3,225</w:t>
            </w:r>
          </w:p>
        </w:tc>
        <w:tc>
          <w:tcPr>
            <w:tcW w:w="34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3,401</w:t>
            </w: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Interest expense</w:t>
            </w:r>
          </w:p>
        </w:tc>
        <w:tc>
          <w:tcPr>
            <w:tcW w:w="4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(532)</w:t>
            </w:r>
          </w:p>
        </w:tc>
        <w:tc>
          <w:tcPr>
            <w:tcW w:w="2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(303)</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(244)</w:t>
            </w: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(198)</w:t>
            </w:r>
          </w:p>
        </w:tc>
        <w:tc>
          <w:tcPr>
            <w:tcW w:w="3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(72)</w:t>
            </w:r>
          </w:p>
        </w:tc>
        <w:tc>
          <w:tcPr>
            <w:tcW w:w="3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(153)</w:t>
            </w:r>
          </w:p>
        </w:tc>
        <w:tc>
          <w:tcPr>
            <w:tcW w:w="34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(1,502)</w:t>
            </w:r>
          </w:p>
        </w:tc>
      </w:tr>
      <w:tr>
        <w:trPr>
          <w:trHeight w:val="216"/>
        </w:trPr>
        <w:tc>
          <w:tcPr>
            <w:tcW w:w="20" w:type="dxa"/>
            <w:vAlign w:val="bottom"/>
          </w:tcPr>
          <w:p>
            <w:pPr>
              <w:spacing w:after="0"/>
              <w:rPr>
                <w:sz w:val="18"/>
                <w:szCs w:val="18"/>
                <w:color w:val="auto"/>
              </w:rPr>
            </w:pPr>
          </w:p>
        </w:tc>
        <w:tc>
          <w:tcPr>
            <w:tcW w:w="3560" w:type="dxa"/>
            <w:vAlign w:val="bottom"/>
          </w:tcPr>
          <w:p>
            <w:pPr>
              <w:ind w:left="200"/>
              <w:spacing w:after="0"/>
              <w:rPr>
                <w:sz w:val="20"/>
                <w:szCs w:val="20"/>
                <w:color w:val="auto"/>
              </w:rPr>
            </w:pPr>
            <w:r>
              <w:rPr>
                <w:rFonts w:ascii="Arial" w:cs="Arial" w:eastAsia="Arial" w:hAnsi="Arial"/>
                <w:sz w:val="18"/>
                <w:szCs w:val="18"/>
                <w:color w:val="auto"/>
              </w:rPr>
              <w:t>Investment income (loss), net</w:t>
            </w:r>
          </w:p>
        </w:tc>
        <w:tc>
          <w:tcPr>
            <w:tcW w:w="480" w:type="dxa"/>
            <w:vAlign w:val="bottom"/>
          </w:tcPr>
          <w:p>
            <w:pPr>
              <w:spacing w:after="0"/>
              <w:rPr>
                <w:sz w:val="18"/>
                <w:szCs w:val="18"/>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74</w:t>
            </w:r>
          </w:p>
        </w:tc>
        <w:tc>
          <w:tcPr>
            <w:tcW w:w="30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861</w:t>
            </w:r>
          </w:p>
        </w:tc>
        <w:tc>
          <w:tcPr>
            <w:tcW w:w="340" w:type="dxa"/>
            <w:vAlign w:val="bottom"/>
          </w:tcPr>
          <w:p>
            <w:pPr>
              <w:spacing w:after="0"/>
              <w:rPr>
                <w:sz w:val="18"/>
                <w:szCs w:val="18"/>
                <w:color w:val="auto"/>
              </w:rPr>
            </w:pPr>
          </w:p>
        </w:tc>
        <w:tc>
          <w:tcPr>
            <w:tcW w:w="82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935</w:t>
            </w:r>
          </w:p>
        </w:tc>
      </w:tr>
      <w:tr>
        <w:trPr>
          <w:trHeight w:val="216"/>
        </w:trPr>
        <w:tc>
          <w:tcPr>
            <w:tcW w:w="20" w:type="dxa"/>
            <w:vAlign w:val="bottom"/>
          </w:tcPr>
          <w:p>
            <w:pPr>
              <w:spacing w:after="0"/>
              <w:rPr>
                <w:sz w:val="18"/>
                <w:szCs w:val="18"/>
                <w:color w:val="auto"/>
              </w:rPr>
            </w:pPr>
          </w:p>
        </w:tc>
        <w:tc>
          <w:tcPr>
            <w:tcW w:w="3560" w:type="dxa"/>
            <w:vAlign w:val="bottom"/>
            <w:shd w:val="clear" w:color="auto" w:fill="E5E5E5"/>
          </w:tcPr>
          <w:p>
            <w:pPr>
              <w:ind w:left="200"/>
              <w:spacing w:after="0"/>
              <w:rPr>
                <w:sz w:val="20"/>
                <w:szCs w:val="20"/>
                <w:color w:val="auto"/>
              </w:rPr>
            </w:pPr>
            <w:r>
              <w:rPr>
                <w:rFonts w:ascii="Arial" w:cs="Arial" w:eastAsia="Arial" w:hAnsi="Arial"/>
                <w:sz w:val="18"/>
                <w:szCs w:val="18"/>
                <w:color w:val="auto"/>
                <w:w w:val="93"/>
              </w:rPr>
              <w:t>Equity in net (losses) income of affiliates, net</w:t>
            </w:r>
          </w:p>
        </w:tc>
        <w:tc>
          <w:tcPr>
            <w:tcW w:w="4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w w:val="84"/>
              </w:rPr>
              <w:t>2,367</w:t>
            </w:r>
          </w:p>
        </w:tc>
        <w:tc>
          <w:tcPr>
            <w:tcW w:w="2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1,159</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84"/>
              </w:rPr>
              <w:t>1,470</w:t>
            </w: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97"/>
              </w:rPr>
              <w:t>1,599</w:t>
            </w:r>
          </w:p>
        </w:tc>
        <w:tc>
          <w:tcPr>
            <w:tcW w:w="3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967</w:t>
            </w:r>
          </w:p>
        </w:tc>
        <w:tc>
          <w:tcPr>
            <w:tcW w:w="3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(86)</w:t>
            </w:r>
          </w:p>
        </w:tc>
        <w:tc>
          <w:tcPr>
            <w:tcW w:w="34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(7,562)</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20" w:type="dxa"/>
            <w:vAlign w:val="bottom"/>
          </w:tcPr>
          <w:p>
            <w:pPr>
              <w:spacing w:after="0"/>
              <w:rPr>
                <w:sz w:val="18"/>
                <w:szCs w:val="18"/>
                <w:color w:val="auto"/>
              </w:rPr>
            </w:pPr>
          </w:p>
        </w:tc>
        <w:tc>
          <w:tcPr>
            <w:tcW w:w="3560" w:type="dxa"/>
            <w:vAlign w:val="bottom"/>
          </w:tcPr>
          <w:p>
            <w:pPr>
              <w:ind w:left="200"/>
              <w:spacing w:after="0"/>
              <w:rPr>
                <w:sz w:val="20"/>
                <w:szCs w:val="20"/>
                <w:color w:val="auto"/>
              </w:rPr>
            </w:pPr>
            <w:r>
              <w:rPr>
                <w:rFonts w:ascii="Arial" w:cs="Arial" w:eastAsia="Arial" w:hAnsi="Arial"/>
                <w:sz w:val="18"/>
                <w:szCs w:val="18"/>
                <w:color w:val="auto"/>
              </w:rPr>
              <w:t>Other income (expense)</w:t>
            </w:r>
          </w:p>
        </w:tc>
        <w:tc>
          <w:tcPr>
            <w:tcW w:w="4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194</w:t>
            </w: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r>
      <w:tr>
        <w:trPr>
          <w:trHeight w:val="210"/>
        </w:trPr>
        <w:tc>
          <w:tcPr>
            <w:tcW w:w="20" w:type="dxa"/>
            <w:vAlign w:val="bottom"/>
          </w:tcPr>
          <w:p>
            <w:pPr>
              <w:spacing w:after="0"/>
              <w:rPr>
                <w:sz w:val="18"/>
                <w:szCs w:val="18"/>
                <w:color w:val="auto"/>
              </w:rPr>
            </w:pPr>
          </w:p>
        </w:tc>
        <w:tc>
          <w:tcPr>
            <w:tcW w:w="3560" w:type="dxa"/>
            <w:vAlign w:val="bottom"/>
            <w:tcBorders>
              <w:bottom w:val="single" w:sz="8" w:color="E5E5E5"/>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w w:val="84"/>
              </w:rPr>
              <w:t>1,835</w:t>
            </w:r>
          </w:p>
        </w:tc>
        <w:tc>
          <w:tcPr>
            <w:tcW w:w="2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856</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w w:val="84"/>
              </w:rPr>
              <w:t>1,226</w:t>
            </w:r>
          </w:p>
        </w:tc>
        <w:tc>
          <w:tcPr>
            <w:tcW w:w="2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w w:val="97"/>
              </w:rPr>
              <w:t>1,401</w:t>
            </w:r>
          </w:p>
        </w:tc>
        <w:tc>
          <w:tcPr>
            <w:tcW w:w="3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969</w:t>
            </w:r>
          </w:p>
        </w:tc>
        <w:tc>
          <w:tcPr>
            <w:tcW w:w="30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816</w:t>
            </w:r>
          </w:p>
        </w:tc>
        <w:tc>
          <w:tcPr>
            <w:tcW w:w="34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(7,562)</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(459)</w:t>
            </w:r>
          </w:p>
        </w:tc>
      </w:tr>
      <w:tr>
        <w:trPr>
          <w:trHeight w:val="201"/>
        </w:trPr>
        <w:tc>
          <w:tcPr>
            <w:tcW w:w="20" w:type="dxa"/>
            <w:vAlign w:val="bottom"/>
          </w:tcPr>
          <w:p>
            <w:pPr>
              <w:spacing w:after="0"/>
              <w:rPr>
                <w:sz w:val="17"/>
                <w:szCs w:val="17"/>
                <w:color w:val="auto"/>
              </w:rPr>
            </w:pPr>
          </w:p>
        </w:tc>
        <w:tc>
          <w:tcPr>
            <w:tcW w:w="3560" w:type="dxa"/>
            <w:vAlign w:val="bottom"/>
          </w:tcPr>
          <w:p>
            <w:pPr>
              <w:spacing w:after="0" w:line="201" w:lineRule="exact"/>
              <w:rPr>
                <w:sz w:val="20"/>
                <w:szCs w:val="20"/>
                <w:color w:val="auto"/>
              </w:rPr>
            </w:pPr>
            <w:r>
              <w:rPr>
                <w:rFonts w:ascii="Arial" w:cs="Arial" w:eastAsia="Arial" w:hAnsi="Arial"/>
                <w:sz w:val="18"/>
                <w:szCs w:val="18"/>
                <w:color w:val="auto"/>
                <w:w w:val="92"/>
              </w:rPr>
              <w:t>Income (loss) from continuing operations before</w:t>
            </w: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3560" w:type="dxa"/>
            <w:vAlign w:val="bottom"/>
          </w:tcPr>
          <w:p>
            <w:pPr>
              <w:ind w:left="200"/>
              <w:spacing w:after="0"/>
              <w:rPr>
                <w:sz w:val="20"/>
                <w:szCs w:val="20"/>
                <w:color w:val="auto"/>
              </w:rPr>
            </w:pPr>
            <w:r>
              <w:rPr>
                <w:rFonts w:ascii="Arial" w:cs="Arial" w:eastAsia="Arial" w:hAnsi="Arial"/>
                <w:sz w:val="18"/>
                <w:szCs w:val="18"/>
                <w:color w:val="auto"/>
              </w:rPr>
              <w:t>income taxes and minority interest</w:t>
            </w:r>
          </w:p>
        </w:tc>
        <w:tc>
          <w:tcPr>
            <w:tcW w:w="480" w:type="dxa"/>
            <w:vAlign w:val="bottom"/>
          </w:tcPr>
          <w:p>
            <w:pPr>
              <w:spacing w:after="0"/>
              <w:rPr>
                <w:sz w:val="19"/>
                <w:szCs w:val="19"/>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2,023</w:t>
            </w:r>
          </w:p>
        </w:tc>
        <w:tc>
          <w:tcPr>
            <w:tcW w:w="260" w:type="dxa"/>
            <w:vAlign w:val="bottom"/>
          </w:tcPr>
          <w:p>
            <w:pPr>
              <w:spacing w:after="0"/>
              <w:rPr>
                <w:sz w:val="19"/>
                <w:szCs w:val="19"/>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856</w:t>
            </w:r>
          </w:p>
        </w:tc>
        <w:tc>
          <w:tcPr>
            <w:tcW w:w="260" w:type="dxa"/>
            <w:vAlign w:val="bottom"/>
          </w:tcPr>
          <w:p>
            <w:pPr>
              <w:spacing w:after="0"/>
              <w:rPr>
                <w:sz w:val="19"/>
                <w:szCs w:val="19"/>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w w:val="84"/>
              </w:rPr>
              <w:t>1,226</w:t>
            </w:r>
          </w:p>
        </w:tc>
        <w:tc>
          <w:tcPr>
            <w:tcW w:w="280" w:type="dxa"/>
            <w:vAlign w:val="bottom"/>
          </w:tcPr>
          <w:p>
            <w:pPr>
              <w:spacing w:after="0"/>
              <w:rPr>
                <w:sz w:val="19"/>
                <w:szCs w:val="19"/>
                <w:color w:val="auto"/>
              </w:rPr>
            </w:pPr>
          </w:p>
        </w:tc>
        <w:tc>
          <w:tcPr>
            <w:tcW w:w="680" w:type="dxa"/>
            <w:vAlign w:val="bottom"/>
          </w:tcPr>
          <w:p>
            <w:pPr>
              <w:jc w:val="right"/>
              <w:ind w:right="132"/>
              <w:spacing w:after="0"/>
              <w:rPr>
                <w:sz w:val="20"/>
                <w:szCs w:val="20"/>
                <w:color w:val="auto"/>
              </w:rPr>
            </w:pPr>
            <w:r>
              <w:rPr>
                <w:rFonts w:ascii="Arial" w:cs="Arial" w:eastAsia="Arial" w:hAnsi="Arial"/>
                <w:sz w:val="18"/>
                <w:szCs w:val="18"/>
                <w:color w:val="auto"/>
                <w:w w:val="97"/>
              </w:rPr>
              <w:t>1,401</w:t>
            </w:r>
          </w:p>
        </w:tc>
        <w:tc>
          <w:tcPr>
            <w:tcW w:w="320" w:type="dxa"/>
            <w:vAlign w:val="bottom"/>
          </w:tcPr>
          <w:p>
            <w:pPr>
              <w:spacing w:after="0"/>
              <w:rPr>
                <w:sz w:val="19"/>
                <w:szCs w:val="19"/>
                <w:color w:val="auto"/>
              </w:rPr>
            </w:pP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957</w:t>
            </w:r>
          </w:p>
        </w:tc>
        <w:tc>
          <w:tcPr>
            <w:tcW w:w="300" w:type="dxa"/>
            <w:vAlign w:val="bottom"/>
          </w:tcPr>
          <w:p>
            <w:pPr>
              <w:spacing w:after="0"/>
              <w:rPr>
                <w:sz w:val="19"/>
                <w:szCs w:val="19"/>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4,041</w:t>
            </w:r>
          </w:p>
        </w:tc>
        <w:tc>
          <w:tcPr>
            <w:tcW w:w="340" w:type="dxa"/>
            <w:vAlign w:val="bottom"/>
          </w:tcPr>
          <w:p>
            <w:pPr>
              <w:spacing w:after="0"/>
              <w:rPr>
                <w:sz w:val="19"/>
                <w:szCs w:val="19"/>
                <w:color w:val="auto"/>
              </w:rPr>
            </w:pPr>
          </w:p>
        </w:tc>
        <w:tc>
          <w:tcPr>
            <w:tcW w:w="820" w:type="dxa"/>
            <w:vAlign w:val="bottom"/>
          </w:tcPr>
          <w:p>
            <w:pPr>
              <w:jc w:val="right"/>
              <w:ind w:right="53"/>
              <w:spacing w:after="0"/>
              <w:rPr>
                <w:sz w:val="20"/>
                <w:szCs w:val="20"/>
                <w:color w:val="auto"/>
              </w:rPr>
            </w:pPr>
            <w:r>
              <w:rPr>
                <w:rFonts w:ascii="Arial" w:cs="Arial" w:eastAsia="Arial" w:hAnsi="Arial"/>
                <w:sz w:val="18"/>
                <w:szCs w:val="18"/>
                <w:color w:val="auto"/>
              </w:rPr>
              <w:t>(7,562)</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2,942</w:t>
            </w:r>
          </w:p>
        </w:tc>
      </w:tr>
      <w:tr>
        <w:trPr>
          <w:trHeight w:val="218"/>
        </w:trPr>
        <w:tc>
          <w:tcPr>
            <w:tcW w:w="20" w:type="dxa"/>
            <w:vAlign w:val="bottom"/>
          </w:tcPr>
          <w:p>
            <w:pPr>
              <w:spacing w:after="0"/>
              <w:rPr>
                <w:sz w:val="18"/>
                <w:szCs w:val="18"/>
                <w:color w:val="auto"/>
              </w:rPr>
            </w:pPr>
          </w:p>
        </w:tc>
        <w:tc>
          <w:tcPr>
            <w:tcW w:w="356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Income tax (expense) benefit</w:t>
            </w:r>
          </w:p>
        </w:tc>
        <w:tc>
          <w:tcPr>
            <w:tcW w:w="4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120</w:t>
            </w:r>
          </w:p>
        </w:tc>
        <w:tc>
          <w:tcPr>
            <w:tcW w:w="2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111</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86</w:t>
            </w:r>
          </w:p>
        </w:tc>
        <w:tc>
          <w:tcPr>
            <w:tcW w:w="2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69</w:t>
            </w:r>
          </w:p>
        </w:tc>
        <w:tc>
          <w:tcPr>
            <w:tcW w:w="3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4</w:t>
            </w:r>
          </w:p>
        </w:tc>
        <w:tc>
          <w:tcPr>
            <w:tcW w:w="30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(1,516)</w:t>
            </w:r>
          </w:p>
        </w:tc>
        <w:tc>
          <w:tcPr>
            <w:tcW w:w="34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(1,126)</w:t>
            </w:r>
          </w:p>
        </w:tc>
      </w:tr>
      <w:tr>
        <w:trPr>
          <w:trHeight w:val="201"/>
        </w:trPr>
        <w:tc>
          <w:tcPr>
            <w:tcW w:w="20" w:type="dxa"/>
            <w:vAlign w:val="bottom"/>
          </w:tcPr>
          <w:p>
            <w:pPr>
              <w:spacing w:after="0"/>
              <w:rPr>
                <w:sz w:val="17"/>
                <w:szCs w:val="17"/>
                <w:color w:val="auto"/>
              </w:rPr>
            </w:pPr>
          </w:p>
        </w:tc>
        <w:tc>
          <w:tcPr>
            <w:tcW w:w="3560" w:type="dxa"/>
            <w:vAlign w:val="bottom"/>
          </w:tcPr>
          <w:p>
            <w:pPr>
              <w:spacing w:after="0" w:line="201" w:lineRule="exact"/>
              <w:rPr>
                <w:sz w:val="20"/>
                <w:szCs w:val="20"/>
                <w:color w:val="auto"/>
              </w:rPr>
            </w:pPr>
            <w:r>
              <w:rPr>
                <w:rFonts w:ascii="Arial" w:cs="Arial" w:eastAsia="Arial" w:hAnsi="Arial"/>
                <w:sz w:val="18"/>
                <w:szCs w:val="18"/>
                <w:color w:val="auto"/>
                <w:w w:val="92"/>
              </w:rPr>
              <w:t>Income (loss) from continuing operations before</w:t>
            </w: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3560" w:type="dxa"/>
            <w:vAlign w:val="bottom"/>
          </w:tcPr>
          <w:p>
            <w:pPr>
              <w:ind w:left="200"/>
              <w:spacing w:after="0"/>
              <w:rPr>
                <w:sz w:val="20"/>
                <w:szCs w:val="20"/>
                <w:color w:val="auto"/>
              </w:rPr>
            </w:pPr>
            <w:r>
              <w:rPr>
                <w:rFonts w:ascii="Arial" w:cs="Arial" w:eastAsia="Arial" w:hAnsi="Arial"/>
                <w:sz w:val="18"/>
                <w:szCs w:val="18"/>
                <w:color w:val="auto"/>
              </w:rPr>
              <w:t>minority interest</w:t>
            </w:r>
          </w:p>
        </w:tc>
        <w:tc>
          <w:tcPr>
            <w:tcW w:w="480" w:type="dxa"/>
            <w:vAlign w:val="bottom"/>
          </w:tcPr>
          <w:p>
            <w:pPr>
              <w:spacing w:after="0"/>
              <w:rPr>
                <w:sz w:val="19"/>
                <w:szCs w:val="19"/>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2,143</w:t>
            </w:r>
          </w:p>
        </w:tc>
        <w:tc>
          <w:tcPr>
            <w:tcW w:w="260" w:type="dxa"/>
            <w:vAlign w:val="bottom"/>
          </w:tcPr>
          <w:p>
            <w:pPr>
              <w:spacing w:after="0"/>
              <w:rPr>
                <w:sz w:val="19"/>
                <w:szCs w:val="19"/>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967</w:t>
            </w:r>
          </w:p>
        </w:tc>
        <w:tc>
          <w:tcPr>
            <w:tcW w:w="260" w:type="dxa"/>
            <w:vAlign w:val="bottom"/>
          </w:tcPr>
          <w:p>
            <w:pPr>
              <w:spacing w:after="0"/>
              <w:rPr>
                <w:sz w:val="19"/>
                <w:szCs w:val="19"/>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w w:val="84"/>
              </w:rPr>
              <w:t>1,312</w:t>
            </w:r>
          </w:p>
        </w:tc>
        <w:tc>
          <w:tcPr>
            <w:tcW w:w="280" w:type="dxa"/>
            <w:vAlign w:val="bottom"/>
          </w:tcPr>
          <w:p>
            <w:pPr>
              <w:spacing w:after="0"/>
              <w:rPr>
                <w:sz w:val="19"/>
                <w:szCs w:val="19"/>
                <w:color w:val="auto"/>
              </w:rPr>
            </w:pPr>
          </w:p>
        </w:tc>
        <w:tc>
          <w:tcPr>
            <w:tcW w:w="680" w:type="dxa"/>
            <w:vAlign w:val="bottom"/>
          </w:tcPr>
          <w:p>
            <w:pPr>
              <w:jc w:val="right"/>
              <w:ind w:right="132"/>
              <w:spacing w:after="0"/>
              <w:rPr>
                <w:sz w:val="20"/>
                <w:szCs w:val="20"/>
                <w:color w:val="auto"/>
              </w:rPr>
            </w:pPr>
            <w:r>
              <w:rPr>
                <w:rFonts w:ascii="Arial" w:cs="Arial" w:eastAsia="Arial" w:hAnsi="Arial"/>
                <w:sz w:val="18"/>
                <w:szCs w:val="18"/>
                <w:color w:val="auto"/>
                <w:w w:val="97"/>
              </w:rPr>
              <w:t>1,470</w:t>
            </w:r>
          </w:p>
        </w:tc>
        <w:tc>
          <w:tcPr>
            <w:tcW w:w="320" w:type="dxa"/>
            <w:vAlign w:val="bottom"/>
          </w:tcPr>
          <w:p>
            <w:pPr>
              <w:spacing w:after="0"/>
              <w:rPr>
                <w:sz w:val="19"/>
                <w:szCs w:val="19"/>
                <w:color w:val="auto"/>
              </w:rPr>
            </w:pP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961</w:t>
            </w:r>
          </w:p>
        </w:tc>
        <w:tc>
          <w:tcPr>
            <w:tcW w:w="300" w:type="dxa"/>
            <w:vAlign w:val="bottom"/>
          </w:tcPr>
          <w:p>
            <w:pPr>
              <w:spacing w:after="0"/>
              <w:rPr>
                <w:sz w:val="19"/>
                <w:szCs w:val="19"/>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2,525</w:t>
            </w:r>
          </w:p>
        </w:tc>
        <w:tc>
          <w:tcPr>
            <w:tcW w:w="340" w:type="dxa"/>
            <w:vAlign w:val="bottom"/>
          </w:tcPr>
          <w:p>
            <w:pPr>
              <w:spacing w:after="0"/>
              <w:rPr>
                <w:sz w:val="19"/>
                <w:szCs w:val="19"/>
                <w:color w:val="auto"/>
              </w:rPr>
            </w:pPr>
          </w:p>
        </w:tc>
        <w:tc>
          <w:tcPr>
            <w:tcW w:w="820" w:type="dxa"/>
            <w:vAlign w:val="bottom"/>
          </w:tcPr>
          <w:p>
            <w:pPr>
              <w:jc w:val="right"/>
              <w:ind w:right="53"/>
              <w:spacing w:after="0"/>
              <w:rPr>
                <w:sz w:val="20"/>
                <w:szCs w:val="20"/>
                <w:color w:val="auto"/>
              </w:rPr>
            </w:pPr>
            <w:r>
              <w:rPr>
                <w:rFonts w:ascii="Arial" w:cs="Arial" w:eastAsia="Arial" w:hAnsi="Arial"/>
                <w:sz w:val="18"/>
                <w:szCs w:val="18"/>
                <w:color w:val="auto"/>
              </w:rPr>
              <w:t>(7,562)</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1,816</w:t>
            </w:r>
          </w:p>
        </w:tc>
      </w:tr>
      <w:tr>
        <w:trPr>
          <w:trHeight w:val="218"/>
        </w:trPr>
        <w:tc>
          <w:tcPr>
            <w:tcW w:w="20" w:type="dxa"/>
            <w:vAlign w:val="bottom"/>
          </w:tcPr>
          <w:p>
            <w:pPr>
              <w:spacing w:after="0"/>
              <w:rPr>
                <w:sz w:val="18"/>
                <w:szCs w:val="18"/>
                <w:color w:val="auto"/>
              </w:rPr>
            </w:pPr>
          </w:p>
        </w:tc>
        <w:tc>
          <w:tcPr>
            <w:tcW w:w="356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Minority interest</w:t>
            </w:r>
          </w:p>
        </w:tc>
        <w:tc>
          <w:tcPr>
            <w:tcW w:w="4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(10)</w:t>
            </w:r>
          </w:p>
        </w:tc>
        <w:tc>
          <w:tcPr>
            <w:tcW w:w="34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(10)</w:t>
            </w:r>
          </w:p>
        </w:tc>
      </w:tr>
      <w:tr>
        <w:trPr>
          <w:trHeight w:val="210"/>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480" w:type="dxa"/>
            <w:vAlign w:val="bottom"/>
          </w:tcPr>
          <w:p>
            <w:pPr>
              <w:spacing w:after="0"/>
              <w:rPr>
                <w:sz w:val="18"/>
                <w:szCs w:val="18"/>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2,143</w:t>
            </w:r>
          </w:p>
        </w:tc>
        <w:tc>
          <w:tcPr>
            <w:tcW w:w="26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967</w:t>
            </w:r>
          </w:p>
        </w:tc>
        <w:tc>
          <w:tcPr>
            <w:tcW w:w="26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w w:val="84"/>
              </w:rPr>
              <w:t>1,312</w:t>
            </w:r>
          </w:p>
        </w:tc>
        <w:tc>
          <w:tcPr>
            <w:tcW w:w="280" w:type="dxa"/>
            <w:vAlign w:val="bottom"/>
          </w:tcPr>
          <w:p>
            <w:pPr>
              <w:spacing w:after="0"/>
              <w:rPr>
                <w:sz w:val="18"/>
                <w:szCs w:val="18"/>
                <w:color w:val="auto"/>
              </w:rPr>
            </w:pPr>
          </w:p>
        </w:tc>
        <w:tc>
          <w:tcPr>
            <w:tcW w:w="680" w:type="dxa"/>
            <w:vAlign w:val="bottom"/>
          </w:tcPr>
          <w:p>
            <w:pPr>
              <w:jc w:val="right"/>
              <w:ind w:right="132"/>
              <w:spacing w:after="0"/>
              <w:rPr>
                <w:sz w:val="20"/>
                <w:szCs w:val="20"/>
                <w:color w:val="auto"/>
              </w:rPr>
            </w:pPr>
            <w:r>
              <w:rPr>
                <w:rFonts w:ascii="Arial" w:cs="Arial" w:eastAsia="Arial" w:hAnsi="Arial"/>
                <w:sz w:val="18"/>
                <w:szCs w:val="18"/>
                <w:color w:val="auto"/>
                <w:w w:val="97"/>
              </w:rPr>
              <w:t>1,470</w:t>
            </w:r>
          </w:p>
        </w:tc>
        <w:tc>
          <w:tcPr>
            <w:tcW w:w="320" w:type="dxa"/>
            <w:vAlign w:val="bottom"/>
          </w:tcPr>
          <w:p>
            <w:pPr>
              <w:spacing w:after="0"/>
              <w:rPr>
                <w:sz w:val="18"/>
                <w:szCs w:val="18"/>
                <w:color w:val="auto"/>
              </w:rPr>
            </w:pP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961</w:t>
            </w:r>
          </w:p>
        </w:tc>
        <w:tc>
          <w:tcPr>
            <w:tcW w:w="30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2,515</w:t>
            </w:r>
          </w:p>
        </w:tc>
        <w:tc>
          <w:tcPr>
            <w:tcW w:w="340" w:type="dxa"/>
            <w:vAlign w:val="bottom"/>
          </w:tcPr>
          <w:p>
            <w:pPr>
              <w:spacing w:after="0"/>
              <w:rPr>
                <w:sz w:val="18"/>
                <w:szCs w:val="18"/>
                <w:color w:val="auto"/>
              </w:rPr>
            </w:pPr>
          </w:p>
        </w:tc>
        <w:tc>
          <w:tcPr>
            <w:tcW w:w="820" w:type="dxa"/>
            <w:vAlign w:val="bottom"/>
          </w:tcPr>
          <w:p>
            <w:pPr>
              <w:jc w:val="right"/>
              <w:ind w:right="53"/>
              <w:spacing w:after="0"/>
              <w:rPr>
                <w:sz w:val="20"/>
                <w:szCs w:val="20"/>
                <w:color w:val="auto"/>
              </w:rPr>
            </w:pPr>
            <w:r>
              <w:rPr>
                <w:rFonts w:ascii="Arial" w:cs="Arial" w:eastAsia="Arial" w:hAnsi="Arial"/>
                <w:sz w:val="18"/>
                <w:szCs w:val="18"/>
                <w:color w:val="auto"/>
              </w:rPr>
              <w:t>(7,562)</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1,806</w:t>
            </w:r>
          </w:p>
        </w:tc>
      </w:tr>
      <w:tr>
        <w:trPr>
          <w:trHeight w:val="216"/>
        </w:trPr>
        <w:tc>
          <w:tcPr>
            <w:tcW w:w="20" w:type="dxa"/>
            <w:vAlign w:val="bottom"/>
          </w:tcPr>
          <w:p>
            <w:pPr>
              <w:spacing w:after="0"/>
              <w:rPr>
                <w:sz w:val="18"/>
                <w:szCs w:val="18"/>
                <w:color w:val="auto"/>
              </w:rPr>
            </w:pPr>
          </w:p>
        </w:tc>
        <w:tc>
          <w:tcPr>
            <w:tcW w:w="3560" w:type="dxa"/>
            <w:vAlign w:val="bottom"/>
            <w:shd w:val="clear" w:color="auto" w:fill="E5E5E5"/>
          </w:tcPr>
          <w:p>
            <w:pPr>
              <w:spacing w:after="0"/>
              <w:rPr>
                <w:sz w:val="20"/>
                <w:szCs w:val="20"/>
                <w:color w:val="auto"/>
              </w:rPr>
            </w:pPr>
            <w:r>
              <w:rPr>
                <w:rFonts w:ascii="Arial" w:cs="Arial" w:eastAsia="Arial" w:hAnsi="Arial"/>
                <w:sz w:val="18"/>
                <w:szCs w:val="18"/>
                <w:color w:val="auto"/>
                <w:w w:val="93"/>
              </w:rPr>
              <w:t>Income from discontinued operations, net of tax</w:t>
            </w:r>
          </w:p>
        </w:tc>
        <w:tc>
          <w:tcPr>
            <w:tcW w:w="4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103</w:t>
            </w:r>
          </w:p>
        </w:tc>
        <w:tc>
          <w:tcPr>
            <w:tcW w:w="34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Gain on discontinued operations, net of tax</w:t>
            </w:r>
          </w:p>
        </w:tc>
        <w:tc>
          <w:tcPr>
            <w:tcW w:w="4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234</w:t>
            </w: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r>
      <w:tr>
        <w:trPr>
          <w:trHeight w:val="217"/>
        </w:trPr>
        <w:tc>
          <w:tcPr>
            <w:tcW w:w="20" w:type="dxa"/>
            <w:vAlign w:val="bottom"/>
          </w:tcPr>
          <w:p>
            <w:pPr>
              <w:spacing w:after="0"/>
              <w:rPr>
                <w:sz w:val="18"/>
                <w:szCs w:val="18"/>
                <w:color w:val="auto"/>
              </w:rPr>
            </w:pPr>
          </w:p>
        </w:tc>
        <w:tc>
          <w:tcPr>
            <w:tcW w:w="356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b w:val="1"/>
                <w:bCs w:val="1"/>
                <w:color w:val="auto"/>
              </w:rPr>
              <w:t>Net Income (loss)</w:t>
            </w:r>
          </w:p>
        </w:tc>
        <w:tc>
          <w:tcPr>
            <w:tcW w:w="480" w:type="dxa"/>
            <w:vAlign w:val="bottom"/>
            <w:tcBorders>
              <w:bottom w:val="single" w:sz="8" w:color="auto"/>
            </w:tcBorders>
            <w:shd w:val="clear" w:color="auto" w:fill="E5E5E5"/>
          </w:tcPr>
          <w:p>
            <w:pPr>
              <w:ind w:left="380"/>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b w:val="1"/>
                <w:bCs w:val="1"/>
                <w:color w:val="auto"/>
                <w:w w:val="84"/>
              </w:rPr>
              <w:t>2,143</w:t>
            </w:r>
          </w:p>
        </w:tc>
        <w:tc>
          <w:tcPr>
            <w:tcW w:w="2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rPr>
              <w:t>967</w:t>
            </w:r>
          </w:p>
        </w:tc>
        <w:tc>
          <w:tcPr>
            <w:tcW w:w="260" w:type="dxa"/>
            <w:vAlign w:val="bottom"/>
            <w:tcBorders>
              <w:bottom w:val="single" w:sz="8" w:color="auto"/>
            </w:tcBorders>
            <w:shd w:val="clear" w:color="auto" w:fill="E5E5E5"/>
          </w:tcPr>
          <w:p>
            <w:pPr>
              <w:jc w:val="center"/>
              <w:ind w:left="8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b w:val="1"/>
                <w:bCs w:val="1"/>
                <w:color w:val="auto"/>
                <w:w w:val="84"/>
              </w:rPr>
              <w:t>1,312</w:t>
            </w:r>
          </w:p>
        </w:tc>
        <w:tc>
          <w:tcPr>
            <w:tcW w:w="28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b w:val="1"/>
                <w:bCs w:val="1"/>
                <w:color w:val="auto"/>
                <w:w w:val="97"/>
              </w:rPr>
              <w:t>1,470</w:t>
            </w:r>
          </w:p>
        </w:tc>
        <w:tc>
          <w:tcPr>
            <w:tcW w:w="32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b w:val="1"/>
                <w:bCs w:val="1"/>
                <w:color w:val="auto"/>
              </w:rPr>
              <w:t>961</w:t>
            </w:r>
          </w:p>
        </w:tc>
        <w:tc>
          <w:tcPr>
            <w:tcW w:w="30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b w:val="1"/>
                <w:bCs w:val="1"/>
                <w:color w:val="auto"/>
              </w:rPr>
              <w:t>2,852</w:t>
            </w:r>
          </w:p>
        </w:tc>
        <w:tc>
          <w:tcPr>
            <w:tcW w:w="340" w:type="dxa"/>
            <w:vAlign w:val="bottom"/>
            <w:tcBorders>
              <w:bottom w:val="single" w:sz="8" w:color="auto"/>
            </w:tcBorders>
            <w:shd w:val="clear" w:color="auto" w:fill="E5E5E5"/>
          </w:tcPr>
          <w:p>
            <w:pPr>
              <w:jc w:val="right"/>
              <w:ind w:right="44"/>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b w:val="1"/>
                <w:bCs w:val="1"/>
                <w:color w:val="auto"/>
              </w:rPr>
              <w:t>(7,562)</w:t>
            </w:r>
          </w:p>
        </w:tc>
        <w:tc>
          <w:tcPr>
            <w:tcW w:w="26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2,143</w:t>
            </w:r>
          </w:p>
        </w:tc>
      </w:tr>
      <w:tr>
        <w:trPr>
          <w:trHeight w:val="363"/>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gridSpan w:val="2"/>
          </w:tcPr>
          <w:p>
            <w:pPr>
              <w:jc w:val="center"/>
              <w:ind w:right="352"/>
              <w:spacing w:after="0"/>
              <w:rPr>
                <w:sz w:val="20"/>
                <w:szCs w:val="20"/>
                <w:color w:val="auto"/>
              </w:rPr>
            </w:pPr>
            <w:r>
              <w:rPr>
                <w:rFonts w:ascii="Arial" w:cs="Arial" w:eastAsia="Arial" w:hAnsi="Arial"/>
                <w:sz w:val="18"/>
                <w:szCs w:val="18"/>
                <w:color w:val="auto"/>
                <w:w w:val="99"/>
              </w:rPr>
              <w:t>21</w:t>
            </w: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SEPTEMBER 30, 2007</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Consolidating Statement of Cash Flows</w:t>
      </w:r>
    </w:p>
    <w:p>
      <w:pPr>
        <w:jc w:val="center"/>
        <w:spacing w:after="0"/>
        <w:rPr>
          <w:sz w:val="20"/>
          <w:szCs w:val="20"/>
          <w:color w:val="auto"/>
        </w:rPr>
      </w:pPr>
      <w:r>
        <w:rPr>
          <w:rFonts w:ascii="Arial" w:cs="Arial" w:eastAsia="Arial" w:hAnsi="Arial"/>
          <w:sz w:val="22"/>
          <w:szCs w:val="22"/>
          <w:b w:val="1"/>
          <w:bCs w:val="1"/>
          <w:color w:val="auto"/>
        </w:rPr>
        <w:t>For the Nine Months Ended September 30, 2007</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Elimination</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000" w:type="dxa"/>
            <w:vAlign w:val="bottom"/>
            <w:gridSpan w:val="2"/>
            <w:vMerge w:val="restart"/>
          </w:tcPr>
          <w:p>
            <w:pPr>
              <w:jc w:val="right"/>
              <w:ind w:right="132"/>
              <w:spacing w:after="0"/>
              <w:rPr>
                <w:sz w:val="20"/>
                <w:szCs w:val="20"/>
                <w:color w:val="auto"/>
              </w:rPr>
            </w:pPr>
            <w:r>
              <w:rPr>
                <w:rFonts w:ascii="Arial" w:cs="Arial" w:eastAsia="Arial" w:hAnsi="Arial"/>
                <w:sz w:val="14"/>
                <w:szCs w:val="14"/>
                <w:b w:val="1"/>
                <w:bCs w:val="1"/>
                <w:color w:val="auto"/>
              </w:rPr>
              <w:t>Comcast</w:t>
            </w:r>
          </w:p>
        </w:tc>
        <w:tc>
          <w:tcPr>
            <w:tcW w:w="8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CCCL</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4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Combined</w:t>
            </w: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jc w:val="right"/>
              <w:ind w:right="333"/>
              <w:spacing w:after="0" w:line="149" w:lineRule="exact"/>
              <w:rPr>
                <w:sz w:val="20"/>
                <w:szCs w:val="20"/>
                <w:color w:val="auto"/>
              </w:rPr>
            </w:pPr>
            <w:r>
              <w:rPr>
                <w:rFonts w:ascii="Arial" w:cs="Arial" w:eastAsia="Arial" w:hAnsi="Arial"/>
                <w:sz w:val="14"/>
                <w:szCs w:val="14"/>
                <w:b w:val="1"/>
                <w:bCs w:val="1"/>
                <w:color w:val="auto"/>
              </w:rPr>
              <w:t>Non-</w:t>
            </w:r>
          </w:p>
        </w:tc>
        <w:tc>
          <w:tcPr>
            <w:tcW w:w="340" w:type="dxa"/>
            <w:vAlign w:val="bottom"/>
          </w:tcPr>
          <w:p>
            <w:pPr>
              <w:spacing w:after="0"/>
              <w:rPr>
                <w:sz w:val="12"/>
                <w:szCs w:val="12"/>
                <w:color w:val="auto"/>
              </w:rPr>
            </w:pPr>
          </w:p>
        </w:tc>
        <w:tc>
          <w:tcPr>
            <w:tcW w:w="740" w:type="dxa"/>
            <w:vAlign w:val="bottom"/>
          </w:tcPr>
          <w:p>
            <w:pPr>
              <w:jc w:val="center"/>
              <w:ind w:right="233"/>
              <w:spacing w:after="0" w:line="149" w:lineRule="exact"/>
              <w:rPr>
                <w:sz w:val="20"/>
                <w:szCs w:val="20"/>
                <w:color w:val="auto"/>
              </w:rPr>
            </w:pPr>
            <w:r>
              <w:rPr>
                <w:rFonts w:ascii="Arial" w:cs="Arial" w:eastAsia="Arial" w:hAnsi="Arial"/>
                <w:sz w:val="14"/>
                <w:szCs w:val="14"/>
                <w:b w:val="1"/>
                <w:bCs w:val="1"/>
                <w:color w:val="auto"/>
                <w:w w:val="88"/>
              </w:rPr>
              <w:t>and</w:t>
            </w:r>
          </w:p>
        </w:tc>
        <w:tc>
          <w:tcPr>
            <w:tcW w:w="98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CCCH</w:t>
            </w:r>
          </w:p>
        </w:tc>
        <w:tc>
          <w:tcPr>
            <w:tcW w:w="940" w:type="dxa"/>
            <w:vAlign w:val="bottom"/>
            <w:gridSpan w:val="2"/>
          </w:tcPr>
          <w:p>
            <w:pPr>
              <w:jc w:val="right"/>
              <w:ind w:right="152"/>
              <w:spacing w:after="0" w:line="135" w:lineRule="exact"/>
              <w:rPr>
                <w:sz w:val="20"/>
                <w:szCs w:val="20"/>
                <w:color w:val="auto"/>
              </w:rPr>
            </w:pPr>
            <w:r>
              <w:rPr>
                <w:rFonts w:ascii="Arial" w:cs="Arial" w:eastAsia="Arial" w:hAnsi="Arial"/>
                <w:sz w:val="14"/>
                <w:szCs w:val="14"/>
                <w:b w:val="1"/>
                <w:bCs w:val="1"/>
                <w:color w:val="auto"/>
              </w:rPr>
              <w:t>CCHMO</w:t>
            </w:r>
          </w:p>
        </w:tc>
        <w:tc>
          <w:tcPr>
            <w:tcW w:w="860" w:type="dxa"/>
            <w:vAlign w:val="bottom"/>
            <w:gridSpan w:val="2"/>
          </w:tcPr>
          <w:p>
            <w:pPr>
              <w:ind w:left="160"/>
              <w:spacing w:after="0" w:line="135" w:lineRule="exact"/>
              <w:rPr>
                <w:sz w:val="20"/>
                <w:szCs w:val="20"/>
                <w:color w:val="auto"/>
              </w:rPr>
            </w:pPr>
            <w:r>
              <w:rPr>
                <w:rFonts w:ascii="Arial" w:cs="Arial" w:eastAsia="Arial" w:hAnsi="Arial"/>
                <w:sz w:val="14"/>
                <w:szCs w:val="14"/>
                <w:b w:val="1"/>
                <w:bCs w:val="1"/>
                <w:color w:val="auto"/>
              </w:rPr>
              <w:t>Comcast</w:t>
            </w:r>
          </w:p>
        </w:tc>
        <w:tc>
          <w:tcPr>
            <w:tcW w:w="1060" w:type="dxa"/>
            <w:vAlign w:val="bottom"/>
            <w:gridSpan w:val="2"/>
          </w:tcPr>
          <w:p>
            <w:pPr>
              <w:jc w:val="right"/>
              <w:ind w:right="153"/>
              <w:spacing w:after="0" w:line="135" w:lineRule="exact"/>
              <w:rPr>
                <w:sz w:val="20"/>
                <w:szCs w:val="20"/>
                <w:color w:val="auto"/>
              </w:rPr>
            </w:pPr>
            <w:r>
              <w:rPr>
                <w:rFonts w:ascii="Arial" w:cs="Arial" w:eastAsia="Arial" w:hAnsi="Arial"/>
                <w:sz w:val="14"/>
                <w:szCs w:val="14"/>
                <w:b w:val="1"/>
                <w:bCs w:val="1"/>
                <w:color w:val="auto"/>
              </w:rPr>
              <w:t>Guarantor</w:t>
            </w:r>
          </w:p>
        </w:tc>
        <w:tc>
          <w:tcPr>
            <w:tcW w:w="1080" w:type="dxa"/>
            <w:vAlign w:val="bottom"/>
            <w:gridSpan w:val="2"/>
          </w:tcPr>
          <w:p>
            <w:pPr>
              <w:jc w:val="right"/>
              <w:ind w:right="53"/>
              <w:spacing w:after="0" w:line="135" w:lineRule="exact"/>
              <w:rPr>
                <w:sz w:val="20"/>
                <w:szCs w:val="20"/>
                <w:color w:val="auto"/>
              </w:rPr>
            </w:pPr>
            <w:r>
              <w:rPr>
                <w:rFonts w:ascii="Arial" w:cs="Arial" w:eastAsia="Arial" w:hAnsi="Arial"/>
                <w:sz w:val="14"/>
                <w:szCs w:val="14"/>
                <w:b w:val="1"/>
                <w:bCs w:val="1"/>
                <w:color w:val="auto"/>
                <w:w w:val="98"/>
              </w:rPr>
              <w:t>Consolidation</w:t>
            </w:r>
          </w:p>
        </w:tc>
        <w:tc>
          <w:tcPr>
            <w:tcW w:w="260" w:type="dxa"/>
            <w:vAlign w:val="bottom"/>
          </w:tcPr>
          <w:p>
            <w:pPr>
              <w:spacing w:after="0"/>
              <w:rPr>
                <w:sz w:val="11"/>
                <w:szCs w:val="11"/>
                <w:color w:val="auto"/>
              </w:rPr>
            </w:pPr>
          </w:p>
        </w:tc>
        <w:tc>
          <w:tcPr>
            <w:tcW w:w="720" w:type="dxa"/>
            <w:vAlign w:val="bottom"/>
          </w:tcPr>
          <w:p>
            <w:pPr>
              <w:jc w:val="right"/>
              <w:ind w:right="113"/>
              <w:spacing w:after="0" w:line="135" w:lineRule="exact"/>
              <w:rPr>
                <w:sz w:val="20"/>
                <w:szCs w:val="20"/>
                <w:color w:val="auto"/>
              </w:rPr>
            </w:pPr>
            <w:r>
              <w:rPr>
                <w:rFonts w:ascii="Arial" w:cs="Arial" w:eastAsia="Arial" w:hAnsi="Arial"/>
                <w:sz w:val="14"/>
                <w:szCs w:val="14"/>
                <w:b w:val="1"/>
                <w:bCs w:val="1"/>
                <w:color w:val="auto"/>
                <w:w w:val="84"/>
              </w:rPr>
              <w:t>Comcast</w:t>
            </w:r>
          </w:p>
        </w:tc>
        <w:tc>
          <w:tcPr>
            <w:tcW w:w="0" w:type="dxa"/>
            <w:vAlign w:val="bottom"/>
          </w:tcPr>
          <w:p>
            <w:pPr>
              <w:spacing w:after="0"/>
              <w:rPr>
                <w:sz w:val="1"/>
                <w:szCs w:val="1"/>
                <w:color w:val="auto"/>
              </w:rPr>
            </w:pPr>
          </w:p>
        </w:tc>
      </w:tr>
      <w:tr>
        <w:trPr>
          <w:trHeight w:val="175"/>
        </w:trPr>
        <w:tc>
          <w:tcPr>
            <w:tcW w:w="40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00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Parent</w:t>
            </w:r>
          </w:p>
        </w:tc>
        <w:tc>
          <w:tcPr>
            <w:tcW w:w="84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640" w:type="dxa"/>
            <w:vAlign w:val="bottom"/>
            <w:gridSpan w:val="2"/>
          </w:tcPr>
          <w:p>
            <w:pPr>
              <w:ind w:left="60"/>
              <w:spacing w:after="0"/>
              <w:rPr>
                <w:sz w:val="20"/>
                <w:szCs w:val="20"/>
                <w:color w:val="auto"/>
              </w:rPr>
            </w:pPr>
            <w:r>
              <w:rPr>
                <w:rFonts w:ascii="Arial" w:cs="Arial" w:eastAsia="Arial" w:hAnsi="Arial"/>
                <w:sz w:val="14"/>
                <w:szCs w:val="14"/>
                <w:b w:val="1"/>
                <w:bCs w:val="1"/>
                <w:color w:val="auto"/>
              </w:rPr>
              <w:t>Parent</w:t>
            </w:r>
          </w:p>
        </w:tc>
        <w:tc>
          <w:tcPr>
            <w:tcW w:w="94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Parents</w:t>
            </w:r>
          </w:p>
        </w:tc>
        <w:tc>
          <w:tcPr>
            <w:tcW w:w="860" w:type="dxa"/>
            <w:vAlign w:val="bottom"/>
            <w:gridSpan w:val="2"/>
          </w:tcPr>
          <w:p>
            <w:pPr>
              <w:ind w:left="140"/>
              <w:spacing w:after="0"/>
              <w:rPr>
                <w:sz w:val="20"/>
                <w:szCs w:val="20"/>
                <w:color w:val="auto"/>
              </w:rPr>
            </w:pPr>
            <w:r>
              <w:rPr>
                <w:rFonts w:ascii="Arial" w:cs="Arial" w:eastAsia="Arial" w:hAnsi="Arial"/>
                <w:sz w:val="14"/>
                <w:szCs w:val="14"/>
                <w:b w:val="1"/>
                <w:bCs w:val="1"/>
                <w:color w:val="auto"/>
              </w:rPr>
              <w:t>Holdings</w:t>
            </w:r>
          </w:p>
        </w:tc>
        <w:tc>
          <w:tcPr>
            <w:tcW w:w="1060" w:type="dxa"/>
            <w:vAlign w:val="bottom"/>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Adjustments</w:t>
            </w:r>
          </w:p>
        </w:tc>
        <w:tc>
          <w:tcPr>
            <w:tcW w:w="980" w:type="dxa"/>
            <w:vAlign w:val="bottom"/>
            <w:gridSpan w:val="2"/>
          </w:tcPr>
          <w:p>
            <w:pPr>
              <w:ind w:left="160"/>
              <w:spacing w:after="0"/>
              <w:rPr>
                <w:sz w:val="20"/>
                <w:szCs w:val="20"/>
                <w:color w:val="auto"/>
              </w:rPr>
            </w:pPr>
            <w:r>
              <w:rPr>
                <w:rFonts w:ascii="Arial" w:cs="Arial" w:eastAsia="Arial" w:hAnsi="Arial"/>
                <w:sz w:val="14"/>
                <w:szCs w:val="14"/>
                <w:b w:val="1"/>
                <w:bCs w:val="1"/>
                <w:color w:val="auto"/>
                <w:w w:val="99"/>
              </w:rPr>
              <w:t>Corporation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Activities</w:t>
            </w:r>
          </w:p>
        </w:tc>
        <w:tc>
          <w:tcPr>
            <w:tcW w:w="34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120" w:type="dxa"/>
            <w:vAlign w:val="bottom"/>
            <w:tcBorders>
              <w:top w:val="single" w:sz="8" w:color="auto"/>
            </w:tcBorders>
            <w:shd w:val="clear" w:color="auto" w:fill="E5E5E5"/>
          </w:tcPr>
          <w:p>
            <w:pPr>
              <w:spacing w:after="0"/>
              <w:rPr>
                <w:sz w:val="18"/>
                <w:szCs w:val="18"/>
                <w:color w:val="auto"/>
              </w:rPr>
            </w:pPr>
          </w:p>
        </w:tc>
        <w:tc>
          <w:tcPr>
            <w:tcW w:w="52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500" w:type="dxa"/>
            <w:vAlign w:val="bottom"/>
            <w:tcBorders>
              <w:top w:val="single" w:sz="8" w:color="auto"/>
            </w:tcBorders>
            <w:shd w:val="clear" w:color="auto" w:fill="E5E5E5"/>
          </w:tcPr>
          <w:p>
            <w:pPr>
              <w:spacing w:after="0"/>
              <w:rPr>
                <w:sz w:val="18"/>
                <w:szCs w:val="18"/>
                <w:color w:val="auto"/>
              </w:rPr>
            </w:pPr>
          </w:p>
        </w:tc>
        <w:tc>
          <w:tcPr>
            <w:tcW w:w="300" w:type="dxa"/>
            <w:vAlign w:val="bottom"/>
            <w:tcBorders>
              <w:top w:val="single" w:sz="8" w:color="auto"/>
            </w:tcBorders>
            <w:shd w:val="clear" w:color="auto" w:fill="E5E5E5"/>
          </w:tcPr>
          <w:p>
            <w:pPr>
              <w:spacing w:after="0"/>
              <w:rPr>
                <w:sz w:val="18"/>
                <w:szCs w:val="18"/>
                <w:color w:val="auto"/>
              </w:rPr>
            </w:pPr>
          </w:p>
        </w:tc>
        <w:tc>
          <w:tcPr>
            <w:tcW w:w="760" w:type="dxa"/>
            <w:vAlign w:val="bottom"/>
            <w:tcBorders>
              <w:top w:val="single" w:sz="8" w:color="auto"/>
            </w:tcBorders>
            <w:shd w:val="clear" w:color="auto" w:fill="E5E5E5"/>
          </w:tcPr>
          <w:p>
            <w:pPr>
              <w:spacing w:after="0"/>
              <w:rPr>
                <w:sz w:val="18"/>
                <w:szCs w:val="18"/>
                <w:color w:val="auto"/>
              </w:rPr>
            </w:pPr>
          </w:p>
        </w:tc>
        <w:tc>
          <w:tcPr>
            <w:tcW w:w="340" w:type="dxa"/>
            <w:vAlign w:val="bottom"/>
            <w:tcBorders>
              <w:top w:val="single" w:sz="8" w:color="auto"/>
            </w:tcBorders>
            <w:shd w:val="clear" w:color="auto" w:fill="E5E5E5"/>
          </w:tcPr>
          <w:p>
            <w:pPr>
              <w:spacing w:after="0"/>
              <w:rPr>
                <w:sz w:val="18"/>
                <w:szCs w:val="18"/>
                <w:color w:val="auto"/>
              </w:rPr>
            </w:pPr>
          </w:p>
        </w:tc>
        <w:tc>
          <w:tcPr>
            <w:tcW w:w="74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200"/>
              <w:spacing w:after="0"/>
              <w:rPr>
                <w:sz w:val="20"/>
                <w:szCs w:val="20"/>
                <w:color w:val="auto"/>
              </w:rPr>
            </w:pPr>
            <w:r>
              <w:rPr>
                <w:rFonts w:ascii="Arial" w:cs="Arial" w:eastAsia="Arial" w:hAnsi="Arial"/>
                <w:sz w:val="18"/>
                <w:szCs w:val="18"/>
                <w:color w:val="auto"/>
                <w:w w:val="94"/>
              </w:rPr>
              <w:t>Net cash provided by (used in) operating activities</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(430)</w:t>
            </w:r>
          </w:p>
        </w:tc>
        <w:tc>
          <w:tcPr>
            <w:tcW w:w="220" w:type="dxa"/>
            <w:vAlign w:val="bottom"/>
            <w:tcBorders>
              <w:bottom w:val="single" w:sz="8" w:color="auto"/>
            </w:tcBorders>
          </w:tcPr>
          <w:p>
            <w:pPr>
              <w:ind w:left="140"/>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0"/>
              </w:rPr>
              <w:t>(211)</w:t>
            </w:r>
          </w:p>
        </w:tc>
        <w:tc>
          <w:tcPr>
            <w:tcW w:w="12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0"/>
              </w:rPr>
              <w:t>(172)</w:t>
            </w:r>
          </w:p>
        </w:tc>
        <w:tc>
          <w:tcPr>
            <w:tcW w:w="3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(198)</w:t>
            </w:r>
          </w:p>
        </w:tc>
        <w:tc>
          <w:tcPr>
            <w:tcW w:w="3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6</w:t>
            </w:r>
          </w:p>
        </w:tc>
        <w:tc>
          <w:tcPr>
            <w:tcW w:w="3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7,113</w:t>
            </w:r>
          </w:p>
        </w:tc>
        <w:tc>
          <w:tcPr>
            <w:tcW w:w="34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Financing Activities</w:t>
            </w:r>
          </w:p>
        </w:tc>
        <w:tc>
          <w:tcPr>
            <w:tcW w:w="34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200"/>
              <w:spacing w:after="0"/>
              <w:rPr>
                <w:sz w:val="20"/>
                <w:szCs w:val="20"/>
                <w:color w:val="auto"/>
              </w:rPr>
            </w:pPr>
            <w:r>
              <w:rPr>
                <w:rFonts w:ascii="Arial" w:cs="Arial" w:eastAsia="Arial" w:hAnsi="Arial"/>
                <w:sz w:val="18"/>
                <w:szCs w:val="18"/>
                <w:color w:val="auto"/>
              </w:rPr>
              <w:t>Proceeds from borrowings</w:t>
            </w:r>
          </w:p>
        </w:tc>
        <w:tc>
          <w:tcPr>
            <w:tcW w:w="340" w:type="dxa"/>
            <w:vAlign w:val="bottom"/>
          </w:tcPr>
          <w:p>
            <w:pPr>
              <w:spacing w:after="0"/>
              <w:rPr>
                <w:sz w:val="18"/>
                <w:szCs w:val="18"/>
                <w:color w:val="auto"/>
              </w:rPr>
            </w:pPr>
          </w:p>
        </w:tc>
        <w:tc>
          <w:tcPr>
            <w:tcW w:w="660" w:type="dxa"/>
            <w:vAlign w:val="bottom"/>
          </w:tcPr>
          <w:p>
            <w:pPr>
              <w:jc w:val="right"/>
              <w:ind w:right="112"/>
              <w:spacing w:after="0"/>
              <w:rPr>
                <w:sz w:val="20"/>
                <w:szCs w:val="20"/>
                <w:color w:val="auto"/>
              </w:rPr>
            </w:pPr>
            <w:r>
              <w:rPr>
                <w:rFonts w:ascii="Arial" w:cs="Arial" w:eastAsia="Arial" w:hAnsi="Arial"/>
                <w:sz w:val="18"/>
                <w:szCs w:val="18"/>
                <w:color w:val="auto"/>
                <w:w w:val="97"/>
              </w:rPr>
              <w:t>3,595</w:t>
            </w:r>
          </w:p>
        </w:tc>
        <w:tc>
          <w:tcPr>
            <w:tcW w:w="220" w:type="dxa"/>
            <w:vAlign w:val="bottom"/>
          </w:tcPr>
          <w:p>
            <w:pPr>
              <w:spacing w:after="0"/>
              <w:rPr>
                <w:sz w:val="18"/>
                <w:szCs w:val="18"/>
                <w:color w:val="auto"/>
              </w:rPr>
            </w:pPr>
          </w:p>
        </w:tc>
        <w:tc>
          <w:tcPr>
            <w:tcW w:w="6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60" w:type="dxa"/>
            <w:vAlign w:val="bottom"/>
          </w:tcPr>
          <w:p>
            <w:pPr>
              <w:jc w:val="right"/>
              <w:ind w:right="113"/>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18"/>
                <w:szCs w:val="18"/>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Retirements and repayments of debt</w:t>
            </w:r>
          </w:p>
        </w:tc>
        <w:tc>
          <w:tcPr>
            <w:tcW w:w="3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(200)</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90"/>
              </w:rPr>
              <w:t>(600)</w:t>
            </w:r>
          </w:p>
        </w:tc>
        <w:tc>
          <w:tcPr>
            <w:tcW w:w="1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(226)</w:t>
            </w:r>
          </w:p>
        </w:tc>
        <w:tc>
          <w:tcPr>
            <w:tcW w:w="36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(503)</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200"/>
              <w:spacing w:after="0"/>
              <w:rPr>
                <w:sz w:val="20"/>
                <w:szCs w:val="20"/>
                <w:color w:val="auto"/>
              </w:rPr>
            </w:pPr>
            <w:r>
              <w:rPr>
                <w:rFonts w:ascii="Arial" w:cs="Arial" w:eastAsia="Arial" w:hAnsi="Arial"/>
                <w:sz w:val="18"/>
                <w:szCs w:val="18"/>
                <w:color w:val="auto"/>
              </w:rPr>
              <w:t>Repurchases of common stock</w:t>
            </w:r>
          </w:p>
        </w:tc>
        <w:tc>
          <w:tcPr>
            <w:tcW w:w="340" w:type="dxa"/>
            <w:vAlign w:val="bottom"/>
          </w:tcPr>
          <w:p>
            <w:pPr>
              <w:spacing w:after="0"/>
              <w:rPr>
                <w:sz w:val="18"/>
                <w:szCs w:val="18"/>
                <w:color w:val="auto"/>
              </w:rPr>
            </w:pPr>
          </w:p>
        </w:tc>
        <w:tc>
          <w:tcPr>
            <w:tcW w:w="660" w:type="dxa"/>
            <w:vAlign w:val="bottom"/>
          </w:tcPr>
          <w:p>
            <w:pPr>
              <w:jc w:val="right"/>
              <w:ind w:right="52"/>
              <w:spacing w:after="0"/>
              <w:rPr>
                <w:sz w:val="20"/>
                <w:szCs w:val="20"/>
                <w:color w:val="auto"/>
              </w:rPr>
            </w:pPr>
            <w:r>
              <w:rPr>
                <w:rFonts w:ascii="Arial" w:cs="Arial" w:eastAsia="Arial" w:hAnsi="Arial"/>
                <w:sz w:val="18"/>
                <w:szCs w:val="18"/>
                <w:color w:val="auto"/>
                <w:w w:val="87"/>
              </w:rPr>
              <w:t>(1,852)</w:t>
            </w:r>
          </w:p>
        </w:tc>
        <w:tc>
          <w:tcPr>
            <w:tcW w:w="220" w:type="dxa"/>
            <w:vAlign w:val="bottom"/>
          </w:tcPr>
          <w:p>
            <w:pPr>
              <w:spacing w:after="0"/>
              <w:rPr>
                <w:sz w:val="18"/>
                <w:szCs w:val="18"/>
                <w:color w:val="auto"/>
              </w:rPr>
            </w:pPr>
          </w:p>
        </w:tc>
        <w:tc>
          <w:tcPr>
            <w:tcW w:w="6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Issuances of common stock</w:t>
            </w:r>
          </w:p>
        </w:tc>
        <w:tc>
          <w:tcPr>
            <w:tcW w:w="3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404</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1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20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6</w:t>
            </w: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(8)</w:t>
            </w:r>
          </w:p>
        </w:tc>
        <w:tc>
          <w:tcPr>
            <w:tcW w:w="3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53</w:t>
            </w: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w w:val="95"/>
              </w:rPr>
              <w:t>Net cash provided by (used in) financing activities</w:t>
            </w:r>
          </w:p>
        </w:tc>
        <w:tc>
          <w:tcPr>
            <w:tcW w:w="34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w w:val="97"/>
              </w:rPr>
              <w:t>1,953</w:t>
            </w:r>
          </w:p>
        </w:tc>
        <w:tc>
          <w:tcPr>
            <w:tcW w:w="2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w w:val="90"/>
              </w:rPr>
              <w:t>(600)</w:t>
            </w:r>
          </w:p>
        </w:tc>
        <w:tc>
          <w:tcPr>
            <w:tcW w:w="1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(234)</w:t>
            </w:r>
          </w:p>
        </w:tc>
        <w:tc>
          <w:tcPr>
            <w:tcW w:w="36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(435)</w:t>
            </w:r>
          </w:p>
        </w:tc>
        <w:tc>
          <w:tcPr>
            <w:tcW w:w="3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Net transactions with affiliates</w:t>
            </w:r>
          </w:p>
        </w:tc>
        <w:tc>
          <w:tcPr>
            <w:tcW w:w="3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w w:val="87"/>
              </w:rPr>
              <w:t>(1,572)</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811</w:t>
            </w:r>
          </w:p>
        </w:tc>
        <w:tc>
          <w:tcPr>
            <w:tcW w:w="1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172</w:t>
            </w:r>
          </w:p>
        </w:tc>
        <w:tc>
          <w:tcPr>
            <w:tcW w:w="3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432</w:t>
            </w:r>
          </w:p>
        </w:tc>
        <w:tc>
          <w:tcPr>
            <w:tcW w:w="36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(6)</w:t>
            </w: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163</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340" w:type="dxa"/>
            <w:vAlign w:val="bottom"/>
          </w:tcPr>
          <w:p>
            <w:pPr>
              <w:spacing w:after="0"/>
              <w:rPr>
                <w:sz w:val="18"/>
                <w:szCs w:val="18"/>
                <w:color w:val="auto"/>
              </w:rPr>
            </w:pPr>
          </w:p>
        </w:tc>
        <w:tc>
          <w:tcPr>
            <w:tcW w:w="660" w:type="dxa"/>
            <w:vAlign w:val="bottom"/>
          </w:tcPr>
          <w:p>
            <w:pPr>
              <w:jc w:val="right"/>
              <w:ind w:right="52"/>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8"/>
                <w:szCs w:val="18"/>
                <w:color w:val="auto"/>
              </w:rPr>
            </w:pPr>
          </w:p>
        </w:tc>
        <w:tc>
          <w:tcPr>
            <w:tcW w:w="6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(4,556)</w:t>
            </w:r>
          </w:p>
        </w:tc>
        <w:tc>
          <w:tcPr>
            <w:tcW w:w="340" w:type="dxa"/>
            <w:vAlign w:val="bottom"/>
          </w:tcPr>
          <w:p>
            <w:pPr>
              <w:spacing w:after="0"/>
              <w:rPr>
                <w:sz w:val="18"/>
                <w:szCs w:val="18"/>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Cash paid for intangible assets</w:t>
            </w:r>
          </w:p>
        </w:tc>
        <w:tc>
          <w:tcPr>
            <w:tcW w:w="3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1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(313)</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200"/>
              <w:spacing w:after="0"/>
              <w:rPr>
                <w:sz w:val="20"/>
                <w:szCs w:val="20"/>
                <w:color w:val="auto"/>
              </w:rPr>
            </w:pPr>
            <w:r>
              <w:rPr>
                <w:rFonts w:ascii="Arial" w:cs="Arial" w:eastAsia="Arial" w:hAnsi="Arial"/>
                <w:sz w:val="18"/>
                <w:szCs w:val="18"/>
                <w:color w:val="auto"/>
              </w:rPr>
              <w:t>Acquisitions, net of cash acquired</w:t>
            </w:r>
          </w:p>
        </w:tc>
        <w:tc>
          <w:tcPr>
            <w:tcW w:w="340" w:type="dxa"/>
            <w:vAlign w:val="bottom"/>
          </w:tcPr>
          <w:p>
            <w:pPr>
              <w:spacing w:after="0"/>
              <w:rPr>
                <w:sz w:val="18"/>
                <w:szCs w:val="18"/>
                <w:color w:val="auto"/>
              </w:rPr>
            </w:pP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(1,277)</w:t>
            </w:r>
          </w:p>
        </w:tc>
        <w:tc>
          <w:tcPr>
            <w:tcW w:w="340" w:type="dxa"/>
            <w:vAlign w:val="bottom"/>
          </w:tcPr>
          <w:p>
            <w:pPr>
              <w:spacing w:after="0"/>
              <w:rPr>
                <w:sz w:val="18"/>
                <w:szCs w:val="18"/>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Proceeds from sales of investments</w:t>
            </w:r>
          </w:p>
        </w:tc>
        <w:tc>
          <w:tcPr>
            <w:tcW w:w="3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1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1,123</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200"/>
              <w:spacing w:after="0"/>
              <w:rPr>
                <w:sz w:val="20"/>
                <w:szCs w:val="20"/>
                <w:color w:val="auto"/>
              </w:rPr>
            </w:pPr>
            <w:r>
              <w:rPr>
                <w:rFonts w:ascii="Arial" w:cs="Arial" w:eastAsia="Arial" w:hAnsi="Arial"/>
                <w:sz w:val="18"/>
                <w:szCs w:val="18"/>
                <w:color w:val="auto"/>
              </w:rPr>
              <w:t>Purchases of investments</w:t>
            </w:r>
          </w:p>
        </w:tc>
        <w:tc>
          <w:tcPr>
            <w:tcW w:w="340" w:type="dxa"/>
            <w:vAlign w:val="bottom"/>
          </w:tcPr>
          <w:p>
            <w:pPr>
              <w:spacing w:after="0"/>
              <w:rPr>
                <w:sz w:val="18"/>
                <w:szCs w:val="18"/>
                <w:color w:val="auto"/>
              </w:rPr>
            </w:pP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(129)</w:t>
            </w:r>
          </w:p>
        </w:tc>
        <w:tc>
          <w:tcPr>
            <w:tcW w:w="340" w:type="dxa"/>
            <w:vAlign w:val="bottom"/>
          </w:tcPr>
          <w:p>
            <w:pPr>
              <w:spacing w:after="0"/>
              <w:rPr>
                <w:sz w:val="18"/>
                <w:szCs w:val="18"/>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Proceeds from sales (purchases) of short-term</w:t>
            </w:r>
          </w:p>
        </w:tc>
        <w:tc>
          <w:tcPr>
            <w:tcW w:w="34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investments, net</w:t>
            </w:r>
          </w:p>
        </w:tc>
        <w:tc>
          <w:tcPr>
            <w:tcW w:w="340" w:type="dxa"/>
            <w:vAlign w:val="bottom"/>
            <w:shd w:val="clear" w:color="auto" w:fill="E5E5E5"/>
          </w:tcPr>
          <w:p>
            <w:pPr>
              <w:spacing w:after="0"/>
              <w:rPr>
                <w:sz w:val="19"/>
                <w:szCs w:val="19"/>
                <w:color w:val="auto"/>
              </w:rPr>
            </w:pPr>
          </w:p>
        </w:tc>
        <w:tc>
          <w:tcPr>
            <w:tcW w:w="6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9"/>
                <w:szCs w:val="19"/>
                <w:color w:val="auto"/>
              </w:rPr>
            </w:pPr>
          </w:p>
        </w:tc>
        <w:tc>
          <w:tcPr>
            <w:tcW w:w="62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120" w:type="dxa"/>
            <w:vAlign w:val="bottom"/>
            <w:shd w:val="clear" w:color="auto" w:fill="E5E5E5"/>
          </w:tcPr>
          <w:p>
            <w:pPr>
              <w:spacing w:after="0"/>
              <w:rPr>
                <w:sz w:val="19"/>
                <w:szCs w:val="19"/>
                <w:color w:val="auto"/>
              </w:rPr>
            </w:pPr>
          </w:p>
        </w:tc>
        <w:tc>
          <w:tcPr>
            <w:tcW w:w="5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9"/>
                <w:szCs w:val="19"/>
                <w:color w:val="auto"/>
              </w:rPr>
            </w:pPr>
          </w:p>
        </w:tc>
        <w:tc>
          <w:tcPr>
            <w:tcW w:w="6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9"/>
                <w:szCs w:val="19"/>
                <w:color w:val="auto"/>
              </w:rPr>
            </w:pPr>
          </w:p>
        </w:tc>
        <w:tc>
          <w:tcPr>
            <w:tcW w:w="50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9"/>
                <w:szCs w:val="19"/>
                <w:color w:val="auto"/>
              </w:rPr>
            </w:pPr>
          </w:p>
        </w:tc>
        <w:tc>
          <w:tcPr>
            <w:tcW w:w="7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52</w:t>
            </w:r>
          </w:p>
        </w:tc>
        <w:tc>
          <w:tcPr>
            <w:tcW w:w="340" w:type="dxa"/>
            <w:vAlign w:val="bottom"/>
            <w:shd w:val="clear" w:color="auto" w:fill="E5E5E5"/>
          </w:tcPr>
          <w:p>
            <w:pPr>
              <w:spacing w:after="0"/>
              <w:rPr>
                <w:sz w:val="19"/>
                <w:szCs w:val="19"/>
                <w:color w:val="auto"/>
              </w:rPr>
            </w:pPr>
          </w:p>
        </w:tc>
        <w:tc>
          <w:tcPr>
            <w:tcW w:w="74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9"/>
                <w:szCs w:val="19"/>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20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46</w:t>
            </w: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w w:val="95"/>
              </w:rPr>
              <w:t>Net cash provided by (used in) investing activities</w:t>
            </w:r>
          </w:p>
        </w:tc>
        <w:tc>
          <w:tcPr>
            <w:tcW w:w="34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w w:val="87"/>
              </w:rPr>
              <w:t>(1,600)</w:t>
            </w:r>
          </w:p>
        </w:tc>
        <w:tc>
          <w:tcPr>
            <w:tcW w:w="2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color w:val="auto"/>
              </w:rPr>
              <w:t>811</w:t>
            </w:r>
          </w:p>
        </w:tc>
        <w:tc>
          <w:tcPr>
            <w:tcW w:w="1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172</w:t>
            </w:r>
          </w:p>
        </w:tc>
        <w:tc>
          <w:tcPr>
            <w:tcW w:w="3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432</w:t>
            </w:r>
          </w:p>
        </w:tc>
        <w:tc>
          <w:tcPr>
            <w:tcW w:w="36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(6)</w:t>
            </w:r>
          </w:p>
        </w:tc>
        <w:tc>
          <w:tcPr>
            <w:tcW w:w="30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(4,891)</w:t>
            </w:r>
          </w:p>
        </w:tc>
        <w:tc>
          <w:tcPr>
            <w:tcW w:w="3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(5,082)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340" w:type="dxa"/>
            <w:vAlign w:val="bottom"/>
          </w:tcPr>
          <w:p>
            <w:pPr>
              <w:spacing w:after="0"/>
              <w:rPr>
                <w:sz w:val="18"/>
                <w:szCs w:val="18"/>
                <w:color w:val="auto"/>
              </w:rPr>
            </w:pPr>
          </w:p>
        </w:tc>
        <w:tc>
          <w:tcPr>
            <w:tcW w:w="660" w:type="dxa"/>
            <w:vAlign w:val="bottom"/>
          </w:tcPr>
          <w:p>
            <w:pPr>
              <w:jc w:val="right"/>
              <w:ind w:right="52"/>
              <w:spacing w:after="0"/>
              <w:rPr>
                <w:sz w:val="20"/>
                <w:szCs w:val="20"/>
                <w:color w:val="auto"/>
              </w:rPr>
            </w:pPr>
            <w:r>
              <w:rPr>
                <w:rFonts w:ascii="Arial" w:cs="Arial" w:eastAsia="Arial" w:hAnsi="Arial"/>
                <w:sz w:val="18"/>
                <w:szCs w:val="18"/>
                <w:color w:val="auto"/>
              </w:rPr>
              <w:t>(77)</w:t>
            </w:r>
          </w:p>
        </w:tc>
        <w:tc>
          <w:tcPr>
            <w:tcW w:w="220" w:type="dxa"/>
            <w:vAlign w:val="bottom"/>
          </w:tcPr>
          <w:p>
            <w:pPr>
              <w:spacing w:after="0"/>
              <w:rPr>
                <w:sz w:val="18"/>
                <w:szCs w:val="18"/>
                <w:color w:val="auto"/>
              </w:rPr>
            </w:pPr>
          </w:p>
        </w:tc>
        <w:tc>
          <w:tcPr>
            <w:tcW w:w="6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60" w:type="dxa"/>
            <w:vAlign w:val="bottom"/>
          </w:tcPr>
          <w:p>
            <w:pPr>
              <w:jc w:val="right"/>
              <w:ind w:right="113"/>
              <w:spacing w:after="0"/>
              <w:rPr>
                <w:sz w:val="20"/>
                <w:szCs w:val="20"/>
                <w:color w:val="auto"/>
              </w:rPr>
            </w:pPr>
            <w:r>
              <w:rPr>
                <w:rFonts w:ascii="Arial" w:cs="Arial" w:eastAsia="Arial" w:hAnsi="Arial"/>
                <w:sz w:val="18"/>
                <w:szCs w:val="18"/>
                <w:color w:val="auto"/>
              </w:rPr>
              <w:t>1,787</w:t>
            </w:r>
          </w:p>
        </w:tc>
        <w:tc>
          <w:tcPr>
            <w:tcW w:w="340" w:type="dxa"/>
            <w:vAlign w:val="bottom"/>
          </w:tcPr>
          <w:p>
            <w:pPr>
              <w:spacing w:after="0"/>
              <w:rPr>
                <w:sz w:val="18"/>
                <w:szCs w:val="18"/>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Cash and cash equivalents, beginning of period</w:t>
            </w:r>
          </w:p>
        </w:tc>
        <w:tc>
          <w:tcPr>
            <w:tcW w:w="34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77</w:t>
            </w:r>
          </w:p>
        </w:tc>
        <w:tc>
          <w:tcPr>
            <w:tcW w:w="2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1,162</w:t>
            </w:r>
          </w:p>
        </w:tc>
        <w:tc>
          <w:tcPr>
            <w:tcW w:w="3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1,239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tcPr>
          <w:p>
            <w:pPr>
              <w:ind w:left="140"/>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b w:val="1"/>
                <w:bCs w:val="1"/>
                <w:color w:val="auto"/>
              </w:rPr>
              <w:t>2,949</w:t>
            </w:r>
          </w:p>
        </w:tc>
        <w:tc>
          <w:tcPr>
            <w:tcW w:w="34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2,949</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SEPTEMBER 30, 2007</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Consolidating Statement of Cash Flows</w:t>
      </w:r>
    </w:p>
    <w:p>
      <w:pPr>
        <w:jc w:val="center"/>
        <w:spacing w:after="0"/>
        <w:rPr>
          <w:sz w:val="20"/>
          <w:szCs w:val="20"/>
          <w:color w:val="auto"/>
        </w:rPr>
      </w:pPr>
      <w:r>
        <w:rPr>
          <w:rFonts w:ascii="Arial" w:cs="Arial" w:eastAsia="Arial" w:hAnsi="Arial"/>
          <w:sz w:val="22"/>
          <w:szCs w:val="22"/>
          <w:b w:val="1"/>
          <w:bCs w:val="1"/>
          <w:color w:val="auto"/>
        </w:rPr>
        <w:t>For the Nine Months Ended September 30, 2006</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Elimination</w:t>
            </w: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4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Combined</w:t>
            </w: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jc w:val="right"/>
              <w:ind w:right="313"/>
              <w:spacing w:after="0" w:line="149" w:lineRule="exact"/>
              <w:rPr>
                <w:sz w:val="20"/>
                <w:szCs w:val="20"/>
                <w:color w:val="auto"/>
              </w:rPr>
            </w:pPr>
            <w:r>
              <w:rPr>
                <w:rFonts w:ascii="Arial" w:cs="Arial" w:eastAsia="Arial" w:hAnsi="Arial"/>
                <w:sz w:val="14"/>
                <w:szCs w:val="14"/>
                <w:b w:val="1"/>
                <w:bCs w:val="1"/>
                <w:color w:val="auto"/>
              </w:rPr>
              <w:t>Non-</w:t>
            </w:r>
          </w:p>
        </w:tc>
        <w:tc>
          <w:tcPr>
            <w:tcW w:w="340" w:type="dxa"/>
            <w:vAlign w:val="bottom"/>
          </w:tcPr>
          <w:p>
            <w:pPr>
              <w:spacing w:after="0"/>
              <w:rPr>
                <w:sz w:val="12"/>
                <w:szCs w:val="12"/>
                <w:color w:val="auto"/>
              </w:rPr>
            </w:pPr>
          </w:p>
        </w:tc>
        <w:tc>
          <w:tcPr>
            <w:tcW w:w="740" w:type="dxa"/>
            <w:vAlign w:val="bottom"/>
          </w:tcPr>
          <w:p>
            <w:pPr>
              <w:jc w:val="center"/>
              <w:ind w:right="253"/>
              <w:spacing w:after="0" w:line="149" w:lineRule="exact"/>
              <w:rPr>
                <w:sz w:val="20"/>
                <w:szCs w:val="20"/>
                <w:color w:val="auto"/>
              </w:rPr>
            </w:pPr>
            <w:r>
              <w:rPr>
                <w:rFonts w:ascii="Arial" w:cs="Arial" w:eastAsia="Arial" w:hAnsi="Arial"/>
                <w:sz w:val="14"/>
                <w:szCs w:val="14"/>
                <w:b w:val="1"/>
                <w:bCs w:val="1"/>
                <w:color w:val="auto"/>
                <w:w w:val="80"/>
              </w:rPr>
              <w:t>and</w:t>
            </w:r>
          </w:p>
        </w:tc>
        <w:tc>
          <w:tcPr>
            <w:tcW w:w="96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w w:val="92"/>
              </w:rPr>
              <w:t>Consolidated</w:t>
            </w: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000" w:type="dxa"/>
            <w:vAlign w:val="bottom"/>
            <w:gridSpan w:val="2"/>
          </w:tcPr>
          <w:p>
            <w:pPr>
              <w:jc w:val="right"/>
              <w:ind w:right="132"/>
              <w:spacing w:after="0" w:line="149" w:lineRule="exact"/>
              <w:rPr>
                <w:sz w:val="20"/>
                <w:szCs w:val="20"/>
                <w:color w:val="auto"/>
              </w:rPr>
            </w:pPr>
            <w:r>
              <w:rPr>
                <w:rFonts w:ascii="Arial" w:cs="Arial" w:eastAsia="Arial" w:hAnsi="Arial"/>
                <w:sz w:val="14"/>
                <w:szCs w:val="14"/>
                <w:b w:val="1"/>
                <w:bCs w:val="1"/>
                <w:color w:val="auto"/>
              </w:rPr>
              <w:t>Comcast</w:t>
            </w:r>
          </w:p>
        </w:tc>
        <w:tc>
          <w:tcPr>
            <w:tcW w:w="80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CCCL</w:t>
            </w:r>
          </w:p>
        </w:tc>
        <w:tc>
          <w:tcPr>
            <w:tcW w:w="6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CCCH</w:t>
            </w:r>
          </w:p>
        </w:tc>
        <w:tc>
          <w:tcPr>
            <w:tcW w:w="940" w:type="dxa"/>
            <w:vAlign w:val="bottom"/>
            <w:gridSpan w:val="2"/>
          </w:tcPr>
          <w:p>
            <w:pPr>
              <w:jc w:val="right"/>
              <w:ind w:right="152"/>
              <w:spacing w:after="0" w:line="149" w:lineRule="exact"/>
              <w:rPr>
                <w:sz w:val="20"/>
                <w:szCs w:val="20"/>
                <w:color w:val="auto"/>
              </w:rPr>
            </w:pPr>
            <w:r>
              <w:rPr>
                <w:rFonts w:ascii="Arial" w:cs="Arial" w:eastAsia="Arial" w:hAnsi="Arial"/>
                <w:sz w:val="14"/>
                <w:szCs w:val="14"/>
                <w:b w:val="1"/>
                <w:bCs w:val="1"/>
                <w:color w:val="auto"/>
              </w:rPr>
              <w:t>CCHMO</w:t>
            </w:r>
          </w:p>
        </w:tc>
        <w:tc>
          <w:tcPr>
            <w:tcW w:w="84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Comcast</w:t>
            </w:r>
          </w:p>
        </w:tc>
        <w:tc>
          <w:tcPr>
            <w:tcW w:w="1040" w:type="dxa"/>
            <w:vAlign w:val="bottom"/>
            <w:gridSpan w:val="2"/>
          </w:tcPr>
          <w:p>
            <w:pPr>
              <w:jc w:val="right"/>
              <w:ind w:right="153"/>
              <w:spacing w:after="0" w:line="149" w:lineRule="exact"/>
              <w:rPr>
                <w:sz w:val="20"/>
                <w:szCs w:val="20"/>
                <w:color w:val="auto"/>
              </w:rPr>
            </w:pPr>
            <w:r>
              <w:rPr>
                <w:rFonts w:ascii="Arial" w:cs="Arial" w:eastAsia="Arial" w:hAnsi="Arial"/>
                <w:sz w:val="14"/>
                <w:szCs w:val="14"/>
                <w:b w:val="1"/>
                <w:bCs w:val="1"/>
                <w:color w:val="auto"/>
              </w:rPr>
              <w:t>Guarantor</w:t>
            </w:r>
          </w:p>
        </w:tc>
        <w:tc>
          <w:tcPr>
            <w:tcW w:w="1080" w:type="dxa"/>
            <w:vAlign w:val="bottom"/>
            <w:gridSpan w:val="2"/>
          </w:tcPr>
          <w:p>
            <w:pPr>
              <w:jc w:val="right"/>
              <w:ind w:right="53"/>
              <w:spacing w:after="0" w:line="149" w:lineRule="exact"/>
              <w:rPr>
                <w:sz w:val="20"/>
                <w:szCs w:val="20"/>
                <w:color w:val="auto"/>
              </w:rPr>
            </w:pPr>
            <w:r>
              <w:rPr>
                <w:rFonts w:ascii="Arial" w:cs="Arial" w:eastAsia="Arial" w:hAnsi="Arial"/>
                <w:sz w:val="14"/>
                <w:szCs w:val="14"/>
                <w:b w:val="1"/>
                <w:bCs w:val="1"/>
                <w:color w:val="auto"/>
                <w:w w:val="98"/>
              </w:rPr>
              <w:t>Consolidation</w:t>
            </w:r>
          </w:p>
        </w:tc>
        <w:tc>
          <w:tcPr>
            <w:tcW w:w="240" w:type="dxa"/>
            <w:vAlign w:val="bottom"/>
          </w:tcPr>
          <w:p>
            <w:pPr>
              <w:spacing w:after="0"/>
              <w:rPr>
                <w:sz w:val="12"/>
                <w:szCs w:val="12"/>
                <w:color w:val="auto"/>
              </w:rPr>
            </w:pPr>
          </w:p>
        </w:tc>
        <w:tc>
          <w:tcPr>
            <w:tcW w:w="720" w:type="dxa"/>
            <w:vAlign w:val="bottom"/>
          </w:tcPr>
          <w:p>
            <w:pPr>
              <w:jc w:val="right"/>
              <w:ind w:right="113"/>
              <w:spacing w:after="0" w:line="149" w:lineRule="exact"/>
              <w:rPr>
                <w:sz w:val="20"/>
                <w:szCs w:val="20"/>
                <w:color w:val="auto"/>
              </w:rPr>
            </w:pPr>
            <w:r>
              <w:rPr>
                <w:rFonts w:ascii="Arial" w:cs="Arial" w:eastAsia="Arial" w:hAnsi="Arial"/>
                <w:sz w:val="14"/>
                <w:szCs w:val="14"/>
                <w:b w:val="1"/>
                <w:bCs w:val="1"/>
                <w:color w:val="auto"/>
                <w:w w:val="84"/>
              </w:rPr>
              <w:t>Comcast</w:t>
            </w:r>
          </w:p>
        </w:tc>
      </w:tr>
      <w:tr>
        <w:trPr>
          <w:trHeight w:val="161"/>
        </w:trPr>
        <w:tc>
          <w:tcPr>
            <w:tcW w:w="408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00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Parent</w:t>
            </w:r>
          </w:p>
        </w:tc>
        <w:tc>
          <w:tcPr>
            <w:tcW w:w="80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680" w:type="dxa"/>
            <w:vAlign w:val="bottom"/>
            <w:gridSpan w:val="2"/>
          </w:tcPr>
          <w:p>
            <w:pPr>
              <w:ind w:left="80"/>
              <w:spacing w:after="0"/>
              <w:rPr>
                <w:sz w:val="20"/>
                <w:szCs w:val="20"/>
                <w:color w:val="auto"/>
              </w:rPr>
            </w:pPr>
            <w:r>
              <w:rPr>
                <w:rFonts w:ascii="Arial" w:cs="Arial" w:eastAsia="Arial" w:hAnsi="Arial"/>
                <w:sz w:val="14"/>
                <w:szCs w:val="14"/>
                <w:b w:val="1"/>
                <w:bCs w:val="1"/>
                <w:color w:val="auto"/>
              </w:rPr>
              <w:t>Parent</w:t>
            </w:r>
          </w:p>
        </w:tc>
        <w:tc>
          <w:tcPr>
            <w:tcW w:w="94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Parents</w:t>
            </w: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Holdings</w:t>
            </w: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Subsidiaries</w:t>
            </w: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Adjustments</w:t>
            </w:r>
          </w:p>
        </w:tc>
        <w:tc>
          <w:tcPr>
            <w:tcW w:w="960" w:type="dxa"/>
            <w:vAlign w:val="bottom"/>
            <w:gridSpan w:val="2"/>
          </w:tcPr>
          <w:p>
            <w:pPr>
              <w:ind w:left="140"/>
              <w:spacing w:after="0"/>
              <w:rPr>
                <w:sz w:val="20"/>
                <w:szCs w:val="20"/>
                <w:color w:val="auto"/>
              </w:rPr>
            </w:pPr>
            <w:r>
              <w:rPr>
                <w:rFonts w:ascii="Arial" w:cs="Arial" w:eastAsia="Arial" w:hAnsi="Arial"/>
                <w:sz w:val="14"/>
                <w:szCs w:val="14"/>
                <w:b w:val="1"/>
                <w:bCs w:val="1"/>
                <w:color w:val="auto"/>
                <w:w w:val="99"/>
              </w:rPr>
              <w:t>Corporation</w:t>
            </w:r>
          </w:p>
        </w:tc>
      </w:tr>
      <w:tr>
        <w:trPr>
          <w:trHeight w:val="210"/>
        </w:trPr>
        <w:tc>
          <w:tcPr>
            <w:tcW w:w="20" w:type="dxa"/>
            <w:vAlign w:val="bottom"/>
          </w:tcPr>
          <w:p>
            <w:pPr>
              <w:spacing w:after="0"/>
              <w:rPr>
                <w:sz w:val="18"/>
                <w:szCs w:val="18"/>
                <w:color w:val="auto"/>
              </w:rPr>
            </w:pPr>
          </w:p>
        </w:tc>
        <w:tc>
          <w:tcPr>
            <w:tcW w:w="40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Activities</w:t>
            </w:r>
          </w:p>
        </w:tc>
        <w:tc>
          <w:tcPr>
            <w:tcW w:w="34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spacing w:after="0"/>
              <w:rPr>
                <w:sz w:val="18"/>
                <w:szCs w:val="18"/>
                <w:color w:val="auto"/>
              </w:rPr>
            </w:pPr>
          </w:p>
        </w:tc>
        <w:tc>
          <w:tcPr>
            <w:tcW w:w="160" w:type="dxa"/>
            <w:vAlign w:val="bottom"/>
            <w:tcBorders>
              <w:top w:val="single" w:sz="8" w:color="auto"/>
            </w:tcBorders>
            <w:shd w:val="clear" w:color="auto" w:fill="E5E5E5"/>
          </w:tcPr>
          <w:p>
            <w:pPr>
              <w:spacing w:after="0"/>
              <w:rPr>
                <w:sz w:val="18"/>
                <w:szCs w:val="18"/>
                <w:color w:val="auto"/>
              </w:rPr>
            </w:pPr>
          </w:p>
        </w:tc>
        <w:tc>
          <w:tcPr>
            <w:tcW w:w="52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52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760" w:type="dxa"/>
            <w:vAlign w:val="bottom"/>
            <w:tcBorders>
              <w:top w:val="single" w:sz="8" w:color="auto"/>
            </w:tcBorders>
            <w:shd w:val="clear" w:color="auto" w:fill="E5E5E5"/>
          </w:tcPr>
          <w:p>
            <w:pPr>
              <w:spacing w:after="0"/>
              <w:rPr>
                <w:sz w:val="18"/>
                <w:szCs w:val="18"/>
                <w:color w:val="auto"/>
              </w:rPr>
            </w:pPr>
          </w:p>
        </w:tc>
        <w:tc>
          <w:tcPr>
            <w:tcW w:w="340" w:type="dxa"/>
            <w:vAlign w:val="bottom"/>
            <w:tcBorders>
              <w:top w:val="single" w:sz="8" w:color="auto"/>
            </w:tcBorders>
            <w:shd w:val="clear" w:color="auto" w:fill="E5E5E5"/>
          </w:tcPr>
          <w:p>
            <w:pPr>
              <w:spacing w:after="0"/>
              <w:rPr>
                <w:sz w:val="18"/>
                <w:szCs w:val="18"/>
                <w:color w:val="auto"/>
              </w:rPr>
            </w:pPr>
          </w:p>
        </w:tc>
        <w:tc>
          <w:tcPr>
            <w:tcW w:w="74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w w:val="96"/>
              </w:rPr>
              <w:t>Net cash provided by (used in) operating activities</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95</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85"/>
              </w:rPr>
              <w:t>(168)</w:t>
            </w:r>
          </w:p>
        </w:tc>
        <w:tc>
          <w:tcPr>
            <w:tcW w:w="16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85"/>
              </w:rPr>
              <w:t>(196)</w:t>
            </w:r>
          </w:p>
        </w:tc>
        <w:tc>
          <w:tcPr>
            <w:tcW w:w="2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(234)</w:t>
            </w:r>
          </w:p>
        </w:tc>
        <w:tc>
          <w:tcPr>
            <w:tcW w:w="3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47</w:t>
            </w:r>
          </w:p>
        </w:tc>
        <w:tc>
          <w:tcPr>
            <w:tcW w:w="2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5,671</w:t>
            </w:r>
          </w:p>
        </w:tc>
        <w:tc>
          <w:tcPr>
            <w:tcW w:w="340" w:type="dxa"/>
            <w:vAlign w:val="bottom"/>
            <w:tcBorders>
              <w:bottom w:val="single" w:sz="8" w:color="auto"/>
            </w:tcBorders>
          </w:tcPr>
          <w:p>
            <w:pPr>
              <w:jc w:val="right"/>
              <w:ind w:right="44"/>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5,215</w:t>
            </w:r>
          </w:p>
        </w:tc>
      </w:tr>
      <w:tr>
        <w:trPr>
          <w:trHeight w:val="210"/>
        </w:trPr>
        <w:tc>
          <w:tcPr>
            <w:tcW w:w="20" w:type="dxa"/>
            <w:vAlign w:val="bottom"/>
          </w:tcPr>
          <w:p>
            <w:pPr>
              <w:spacing w:after="0"/>
              <w:rPr>
                <w:sz w:val="18"/>
                <w:szCs w:val="18"/>
                <w:color w:val="auto"/>
              </w:rPr>
            </w:pPr>
          </w:p>
        </w:tc>
        <w:tc>
          <w:tcPr>
            <w:tcW w:w="40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Financing Activities</w:t>
            </w:r>
          </w:p>
        </w:tc>
        <w:tc>
          <w:tcPr>
            <w:tcW w:w="34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Proceeds from borrowings</w:t>
            </w:r>
          </w:p>
        </w:tc>
        <w:tc>
          <w:tcPr>
            <w:tcW w:w="340" w:type="dxa"/>
            <w:vAlign w:val="bottom"/>
          </w:tcPr>
          <w:p>
            <w:pPr>
              <w:spacing w:after="0"/>
              <w:rPr>
                <w:sz w:val="18"/>
                <w:szCs w:val="18"/>
                <w:color w:val="auto"/>
              </w:rPr>
            </w:pPr>
          </w:p>
        </w:tc>
        <w:tc>
          <w:tcPr>
            <w:tcW w:w="660" w:type="dxa"/>
            <w:vAlign w:val="bottom"/>
          </w:tcPr>
          <w:p>
            <w:pPr>
              <w:jc w:val="right"/>
              <w:ind w:right="112"/>
              <w:spacing w:after="0"/>
              <w:rPr>
                <w:sz w:val="20"/>
                <w:szCs w:val="20"/>
                <w:color w:val="auto"/>
              </w:rPr>
            </w:pPr>
            <w:r>
              <w:rPr>
                <w:rFonts w:ascii="Arial" w:cs="Arial" w:eastAsia="Arial" w:hAnsi="Arial"/>
                <w:sz w:val="18"/>
                <w:szCs w:val="18"/>
                <w:color w:val="auto"/>
                <w:w w:val="97"/>
              </w:rPr>
              <w:t>5,960</w:t>
            </w:r>
          </w:p>
        </w:tc>
        <w:tc>
          <w:tcPr>
            <w:tcW w:w="220" w:type="dxa"/>
            <w:vAlign w:val="bottom"/>
          </w:tcPr>
          <w:p>
            <w:pPr>
              <w:spacing w:after="0"/>
              <w:rPr>
                <w:sz w:val="18"/>
                <w:szCs w:val="18"/>
                <w:color w:val="auto"/>
              </w:rPr>
            </w:pPr>
          </w:p>
        </w:tc>
        <w:tc>
          <w:tcPr>
            <w:tcW w:w="5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8"/>
                <w:szCs w:val="18"/>
                <w:color w:val="auto"/>
              </w:rPr>
            </w:pPr>
          </w:p>
        </w:tc>
        <w:tc>
          <w:tcPr>
            <w:tcW w:w="7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5,970</w:t>
            </w:r>
          </w:p>
        </w:tc>
      </w:tr>
      <w:tr>
        <w:trPr>
          <w:trHeight w:val="216"/>
        </w:trPr>
        <w:tc>
          <w:tcPr>
            <w:tcW w:w="20" w:type="dxa"/>
            <w:vAlign w:val="bottom"/>
          </w:tcPr>
          <w:p>
            <w:pPr>
              <w:spacing w:after="0"/>
              <w:rPr>
                <w:sz w:val="18"/>
                <w:szCs w:val="18"/>
                <w:color w:val="auto"/>
              </w:rPr>
            </w:pPr>
          </w:p>
        </w:tc>
        <w:tc>
          <w:tcPr>
            <w:tcW w:w="40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Retirements and repayments of debt</w:t>
            </w:r>
          </w:p>
        </w:tc>
        <w:tc>
          <w:tcPr>
            <w:tcW w:w="3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(550)</w:t>
            </w: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w w:val="85"/>
              </w:rPr>
              <w:t>(619)</w:t>
            </w:r>
          </w:p>
        </w:tc>
        <w:tc>
          <w:tcPr>
            <w:tcW w:w="16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(988)</w:t>
            </w: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(27)</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(38)</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(2,222)</w:t>
            </w:r>
          </w:p>
        </w:tc>
      </w:tr>
      <w:tr>
        <w:trPr>
          <w:trHeight w:val="216"/>
        </w:trPr>
        <w:tc>
          <w:tcPr>
            <w:tcW w:w="20" w:type="dxa"/>
            <w:vAlign w:val="bottom"/>
          </w:tcPr>
          <w:p>
            <w:pPr>
              <w:spacing w:after="0"/>
              <w:rPr>
                <w:sz w:val="18"/>
                <w:szCs w:val="18"/>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Repurchases of common stock</w:t>
            </w:r>
          </w:p>
        </w:tc>
        <w:tc>
          <w:tcPr>
            <w:tcW w:w="340" w:type="dxa"/>
            <w:vAlign w:val="bottom"/>
          </w:tcPr>
          <w:p>
            <w:pPr>
              <w:spacing w:after="0"/>
              <w:rPr>
                <w:sz w:val="18"/>
                <w:szCs w:val="18"/>
                <w:color w:val="auto"/>
              </w:rPr>
            </w:pPr>
          </w:p>
        </w:tc>
        <w:tc>
          <w:tcPr>
            <w:tcW w:w="660" w:type="dxa"/>
            <w:vAlign w:val="bottom"/>
          </w:tcPr>
          <w:p>
            <w:pPr>
              <w:jc w:val="right"/>
              <w:ind w:right="52"/>
              <w:spacing w:after="0"/>
              <w:rPr>
                <w:sz w:val="20"/>
                <w:szCs w:val="20"/>
                <w:color w:val="auto"/>
              </w:rPr>
            </w:pPr>
            <w:r>
              <w:rPr>
                <w:rFonts w:ascii="Arial" w:cs="Arial" w:eastAsia="Arial" w:hAnsi="Arial"/>
                <w:sz w:val="18"/>
                <w:szCs w:val="18"/>
                <w:color w:val="auto"/>
                <w:w w:val="87"/>
              </w:rPr>
              <w:t>(1,882)</w:t>
            </w:r>
          </w:p>
        </w:tc>
        <w:tc>
          <w:tcPr>
            <w:tcW w:w="220" w:type="dxa"/>
            <w:vAlign w:val="bottom"/>
          </w:tcPr>
          <w:p>
            <w:pPr>
              <w:spacing w:after="0"/>
              <w:rPr>
                <w:sz w:val="18"/>
                <w:szCs w:val="18"/>
                <w:color w:val="auto"/>
              </w:rPr>
            </w:pPr>
          </w:p>
        </w:tc>
        <w:tc>
          <w:tcPr>
            <w:tcW w:w="5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(1,882)</w:t>
            </w:r>
          </w:p>
        </w:tc>
      </w:tr>
      <w:tr>
        <w:trPr>
          <w:trHeight w:val="216"/>
        </w:trPr>
        <w:tc>
          <w:tcPr>
            <w:tcW w:w="20" w:type="dxa"/>
            <w:vAlign w:val="bottom"/>
          </w:tcPr>
          <w:p>
            <w:pPr>
              <w:spacing w:after="0"/>
              <w:rPr>
                <w:sz w:val="18"/>
                <w:szCs w:val="18"/>
                <w:color w:val="auto"/>
              </w:rPr>
            </w:pPr>
          </w:p>
        </w:tc>
        <w:tc>
          <w:tcPr>
            <w:tcW w:w="40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Issuances of common stock</w:t>
            </w:r>
          </w:p>
        </w:tc>
        <w:tc>
          <w:tcPr>
            <w:tcW w:w="3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133</w:t>
            </w: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16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133</w:t>
            </w:r>
          </w:p>
        </w:tc>
      </w:tr>
      <w:tr>
        <w:trPr>
          <w:trHeight w:val="216"/>
        </w:trPr>
        <w:tc>
          <w:tcPr>
            <w:tcW w:w="20" w:type="dxa"/>
            <w:vAlign w:val="bottom"/>
          </w:tcPr>
          <w:p>
            <w:pPr>
              <w:spacing w:after="0"/>
              <w:rPr>
                <w:sz w:val="18"/>
                <w:szCs w:val="18"/>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10"/>
        </w:trPr>
        <w:tc>
          <w:tcPr>
            <w:tcW w:w="20" w:type="dxa"/>
            <w:vAlign w:val="bottom"/>
          </w:tcPr>
          <w:p>
            <w:pPr>
              <w:spacing w:after="0"/>
              <w:rPr>
                <w:sz w:val="18"/>
                <w:szCs w:val="18"/>
                <w:color w:val="auto"/>
              </w:rPr>
            </w:pPr>
          </w:p>
        </w:tc>
        <w:tc>
          <w:tcPr>
            <w:tcW w:w="406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w w:val="97"/>
              </w:rPr>
              <w:t>Net cash provided by (used in) financing activities</w:t>
            </w:r>
          </w:p>
        </w:tc>
        <w:tc>
          <w:tcPr>
            <w:tcW w:w="34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w w:val="97"/>
              </w:rPr>
              <w:t>3,668</w:t>
            </w:r>
          </w:p>
        </w:tc>
        <w:tc>
          <w:tcPr>
            <w:tcW w:w="2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w w:val="85"/>
              </w:rPr>
              <w:t>(619)</w:t>
            </w:r>
          </w:p>
        </w:tc>
        <w:tc>
          <w:tcPr>
            <w:tcW w:w="16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(988)</w:t>
            </w:r>
          </w:p>
        </w:tc>
        <w:tc>
          <w:tcPr>
            <w:tcW w:w="3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(27)</w:t>
            </w:r>
          </w:p>
        </w:tc>
        <w:tc>
          <w:tcPr>
            <w:tcW w:w="28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(28)</w:t>
            </w:r>
          </w:p>
        </w:tc>
        <w:tc>
          <w:tcPr>
            <w:tcW w:w="3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2,006</w:t>
            </w:r>
          </w:p>
        </w:tc>
      </w:tr>
      <w:tr>
        <w:trPr>
          <w:trHeight w:val="210"/>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Net transactions with affiliates</w:t>
            </w:r>
          </w:p>
        </w:tc>
        <w:tc>
          <w:tcPr>
            <w:tcW w:w="3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w w:val="87"/>
              </w:rPr>
              <w:t>(3,800)</w:t>
            </w: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w w:val="99"/>
              </w:rPr>
              <w:t>787</w:t>
            </w:r>
          </w:p>
        </w:tc>
        <w:tc>
          <w:tcPr>
            <w:tcW w:w="16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w w:val="99"/>
              </w:rPr>
              <w:t>196</w:t>
            </w: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w w:val="97"/>
              </w:rPr>
              <w:t>1,222</w:t>
            </w: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(9)</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1,604</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340" w:type="dxa"/>
            <w:vAlign w:val="bottom"/>
          </w:tcPr>
          <w:p>
            <w:pPr>
              <w:spacing w:after="0"/>
              <w:rPr>
                <w:sz w:val="18"/>
                <w:szCs w:val="18"/>
                <w:color w:val="auto"/>
              </w:rPr>
            </w:pPr>
          </w:p>
        </w:tc>
        <w:tc>
          <w:tcPr>
            <w:tcW w:w="660" w:type="dxa"/>
            <w:vAlign w:val="bottom"/>
          </w:tcPr>
          <w:p>
            <w:pPr>
              <w:jc w:val="right"/>
              <w:ind w:right="52"/>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5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(3,046)</w:t>
            </w:r>
          </w:p>
        </w:tc>
        <w:tc>
          <w:tcPr>
            <w:tcW w:w="340" w:type="dxa"/>
            <w:vAlign w:val="bottom"/>
          </w:tcPr>
          <w:p>
            <w:pPr>
              <w:spacing w:after="0"/>
              <w:rPr>
                <w:sz w:val="18"/>
                <w:szCs w:val="18"/>
                <w:color w:val="auto"/>
              </w:rPr>
            </w:pPr>
          </w:p>
        </w:tc>
        <w:tc>
          <w:tcPr>
            <w:tcW w:w="7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(3,051)</w:t>
            </w:r>
          </w:p>
        </w:tc>
      </w:tr>
      <w:tr>
        <w:trPr>
          <w:trHeight w:val="216"/>
        </w:trPr>
        <w:tc>
          <w:tcPr>
            <w:tcW w:w="20" w:type="dxa"/>
            <w:vAlign w:val="bottom"/>
          </w:tcPr>
          <w:p>
            <w:pPr>
              <w:spacing w:after="0"/>
              <w:rPr>
                <w:sz w:val="18"/>
                <w:szCs w:val="18"/>
                <w:color w:val="auto"/>
              </w:rPr>
            </w:pPr>
          </w:p>
        </w:tc>
        <w:tc>
          <w:tcPr>
            <w:tcW w:w="40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Cash paid for intangible assets</w:t>
            </w:r>
          </w:p>
        </w:tc>
        <w:tc>
          <w:tcPr>
            <w:tcW w:w="3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16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(227)</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(227)</w:t>
            </w:r>
          </w:p>
        </w:tc>
      </w:tr>
      <w:tr>
        <w:trPr>
          <w:trHeight w:val="216"/>
        </w:trPr>
        <w:tc>
          <w:tcPr>
            <w:tcW w:w="20" w:type="dxa"/>
            <w:vAlign w:val="bottom"/>
          </w:tcPr>
          <w:p>
            <w:pPr>
              <w:spacing w:after="0"/>
              <w:rPr>
                <w:sz w:val="18"/>
                <w:szCs w:val="18"/>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Acquisitions, net of cash acquired</w:t>
            </w:r>
          </w:p>
        </w:tc>
        <w:tc>
          <w:tcPr>
            <w:tcW w:w="340" w:type="dxa"/>
            <w:vAlign w:val="bottom"/>
          </w:tcPr>
          <w:p>
            <w:pPr>
              <w:spacing w:after="0"/>
              <w:rPr>
                <w:sz w:val="18"/>
                <w:szCs w:val="18"/>
                <w:color w:val="auto"/>
              </w:rPr>
            </w:pP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(3,839)</w:t>
            </w:r>
          </w:p>
        </w:tc>
        <w:tc>
          <w:tcPr>
            <w:tcW w:w="340" w:type="dxa"/>
            <w:vAlign w:val="bottom"/>
          </w:tcPr>
          <w:p>
            <w:pPr>
              <w:spacing w:after="0"/>
              <w:rPr>
                <w:sz w:val="18"/>
                <w:szCs w:val="18"/>
                <w:color w:val="auto"/>
              </w:rPr>
            </w:pPr>
          </w:p>
        </w:tc>
        <w:tc>
          <w:tcPr>
            <w:tcW w:w="7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(3,839)</w:t>
            </w:r>
          </w:p>
        </w:tc>
      </w:tr>
      <w:tr>
        <w:trPr>
          <w:trHeight w:val="216"/>
        </w:trPr>
        <w:tc>
          <w:tcPr>
            <w:tcW w:w="20" w:type="dxa"/>
            <w:vAlign w:val="bottom"/>
          </w:tcPr>
          <w:p>
            <w:pPr>
              <w:spacing w:after="0"/>
              <w:rPr>
                <w:sz w:val="18"/>
                <w:szCs w:val="18"/>
                <w:color w:val="auto"/>
              </w:rPr>
            </w:pPr>
          </w:p>
        </w:tc>
        <w:tc>
          <w:tcPr>
            <w:tcW w:w="40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Proceeds from sales of investments</w:t>
            </w:r>
          </w:p>
        </w:tc>
        <w:tc>
          <w:tcPr>
            <w:tcW w:w="3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47</w:t>
            </w: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16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10</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2,462</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2,519</w:t>
            </w:r>
          </w:p>
        </w:tc>
      </w:tr>
      <w:tr>
        <w:trPr>
          <w:trHeight w:val="216"/>
        </w:trPr>
        <w:tc>
          <w:tcPr>
            <w:tcW w:w="20" w:type="dxa"/>
            <w:vAlign w:val="bottom"/>
          </w:tcPr>
          <w:p>
            <w:pPr>
              <w:spacing w:after="0"/>
              <w:rPr>
                <w:sz w:val="18"/>
                <w:szCs w:val="18"/>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Purchases of investments</w:t>
            </w:r>
          </w:p>
        </w:tc>
        <w:tc>
          <w:tcPr>
            <w:tcW w:w="340" w:type="dxa"/>
            <w:vAlign w:val="bottom"/>
          </w:tcPr>
          <w:p>
            <w:pPr>
              <w:spacing w:after="0"/>
              <w:rPr>
                <w:sz w:val="18"/>
                <w:szCs w:val="18"/>
                <w:color w:val="auto"/>
              </w:rPr>
            </w:pP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(471)</w:t>
            </w:r>
          </w:p>
        </w:tc>
        <w:tc>
          <w:tcPr>
            <w:tcW w:w="340" w:type="dxa"/>
            <w:vAlign w:val="bottom"/>
          </w:tcPr>
          <w:p>
            <w:pPr>
              <w:spacing w:after="0"/>
              <w:rPr>
                <w:sz w:val="18"/>
                <w:szCs w:val="18"/>
                <w:color w:val="auto"/>
              </w:rPr>
            </w:pPr>
          </w:p>
        </w:tc>
        <w:tc>
          <w:tcPr>
            <w:tcW w:w="7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(471)</w:t>
            </w:r>
          </w:p>
        </w:tc>
      </w:tr>
      <w:tr>
        <w:trPr>
          <w:trHeight w:val="208"/>
        </w:trPr>
        <w:tc>
          <w:tcPr>
            <w:tcW w:w="20" w:type="dxa"/>
            <w:vAlign w:val="bottom"/>
          </w:tcPr>
          <w:p>
            <w:pPr>
              <w:spacing w:after="0"/>
              <w:rPr>
                <w:sz w:val="18"/>
                <w:szCs w:val="18"/>
                <w:color w:val="auto"/>
              </w:rPr>
            </w:pPr>
          </w:p>
        </w:tc>
        <w:tc>
          <w:tcPr>
            <w:tcW w:w="40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Proceeds from sales (purchases) of short-term</w:t>
            </w:r>
          </w:p>
        </w:tc>
        <w:tc>
          <w:tcPr>
            <w:tcW w:w="34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0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investments, net</w:t>
            </w:r>
          </w:p>
        </w:tc>
        <w:tc>
          <w:tcPr>
            <w:tcW w:w="340" w:type="dxa"/>
            <w:vAlign w:val="bottom"/>
            <w:shd w:val="clear" w:color="auto" w:fill="E5E5E5"/>
          </w:tcPr>
          <w:p>
            <w:pPr>
              <w:spacing w:after="0"/>
              <w:rPr>
                <w:sz w:val="19"/>
                <w:szCs w:val="19"/>
                <w:color w:val="auto"/>
              </w:rPr>
            </w:pPr>
          </w:p>
        </w:tc>
        <w:tc>
          <w:tcPr>
            <w:tcW w:w="6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9"/>
                <w:szCs w:val="19"/>
                <w:color w:val="auto"/>
              </w:rPr>
            </w:pPr>
          </w:p>
        </w:tc>
        <w:tc>
          <w:tcPr>
            <w:tcW w:w="58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160" w:type="dxa"/>
            <w:vAlign w:val="bottom"/>
            <w:shd w:val="clear" w:color="auto" w:fill="E5E5E5"/>
          </w:tcPr>
          <w:p>
            <w:pPr>
              <w:spacing w:after="0"/>
              <w:rPr>
                <w:sz w:val="19"/>
                <w:szCs w:val="19"/>
                <w:color w:val="auto"/>
              </w:rPr>
            </w:pPr>
          </w:p>
        </w:tc>
        <w:tc>
          <w:tcPr>
            <w:tcW w:w="5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9"/>
                <w:szCs w:val="19"/>
                <w:color w:val="auto"/>
              </w:rPr>
            </w:pPr>
          </w:p>
        </w:tc>
        <w:tc>
          <w:tcPr>
            <w:tcW w:w="6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9"/>
                <w:szCs w:val="19"/>
                <w:color w:val="auto"/>
              </w:rPr>
            </w:pPr>
          </w:p>
        </w:tc>
        <w:tc>
          <w:tcPr>
            <w:tcW w:w="5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9"/>
                <w:szCs w:val="19"/>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15</w:t>
            </w:r>
          </w:p>
        </w:tc>
        <w:tc>
          <w:tcPr>
            <w:tcW w:w="340" w:type="dxa"/>
            <w:vAlign w:val="bottom"/>
            <w:shd w:val="clear" w:color="auto" w:fill="E5E5E5"/>
          </w:tcPr>
          <w:p>
            <w:pPr>
              <w:spacing w:after="0"/>
              <w:rPr>
                <w:sz w:val="19"/>
                <w:szCs w:val="19"/>
                <w:color w:val="auto"/>
              </w:rPr>
            </w:pPr>
          </w:p>
        </w:tc>
        <w:tc>
          <w:tcPr>
            <w:tcW w:w="7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9"/>
                <w:szCs w:val="19"/>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20" w:type="dxa"/>
            <w:vAlign w:val="bottom"/>
          </w:tcPr>
          <w:p>
            <w:pPr>
              <w:spacing w:after="0"/>
              <w:rPr>
                <w:sz w:val="18"/>
                <w:szCs w:val="18"/>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w:t>
            </w: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10"/>
        </w:trPr>
        <w:tc>
          <w:tcPr>
            <w:tcW w:w="20" w:type="dxa"/>
            <w:vAlign w:val="bottom"/>
          </w:tcPr>
          <w:p>
            <w:pPr>
              <w:spacing w:after="0"/>
              <w:rPr>
                <w:sz w:val="18"/>
                <w:szCs w:val="18"/>
                <w:color w:val="auto"/>
              </w:rPr>
            </w:pPr>
          </w:p>
        </w:tc>
        <w:tc>
          <w:tcPr>
            <w:tcW w:w="406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w w:val="97"/>
              </w:rPr>
              <w:t>Net cash provided by (used in) investing activities</w:t>
            </w:r>
          </w:p>
        </w:tc>
        <w:tc>
          <w:tcPr>
            <w:tcW w:w="34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w w:val="87"/>
              </w:rPr>
              <w:t>(3,758)</w:t>
            </w:r>
          </w:p>
        </w:tc>
        <w:tc>
          <w:tcPr>
            <w:tcW w:w="2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w w:val="99"/>
              </w:rPr>
              <w:t>787</w:t>
            </w:r>
          </w:p>
        </w:tc>
        <w:tc>
          <w:tcPr>
            <w:tcW w:w="16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w w:val="99"/>
              </w:rPr>
              <w:t>196</w:t>
            </w:r>
          </w:p>
        </w:tc>
        <w:tc>
          <w:tcPr>
            <w:tcW w:w="2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w w:val="97"/>
              </w:rPr>
              <w:t>1,222</w:t>
            </w:r>
          </w:p>
        </w:tc>
        <w:tc>
          <w:tcPr>
            <w:tcW w:w="3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(3,505)</w:t>
            </w:r>
          </w:p>
        </w:tc>
        <w:tc>
          <w:tcPr>
            <w:tcW w:w="3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(5,057)</w:t>
            </w:r>
          </w:p>
        </w:tc>
      </w:tr>
      <w:tr>
        <w:trPr>
          <w:trHeight w:val="210"/>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340" w:type="dxa"/>
            <w:vAlign w:val="bottom"/>
          </w:tcPr>
          <w:p>
            <w:pPr>
              <w:spacing w:after="0"/>
              <w:rPr>
                <w:sz w:val="18"/>
                <w:szCs w:val="18"/>
                <w:color w:val="auto"/>
              </w:rPr>
            </w:pP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5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20" w:type="dxa"/>
            <w:vAlign w:val="bottom"/>
          </w:tcPr>
          <w:p>
            <w:pPr>
              <w:jc w:val="right"/>
              <w:ind w:right="92"/>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2,138</w:t>
            </w:r>
          </w:p>
        </w:tc>
        <w:tc>
          <w:tcPr>
            <w:tcW w:w="340" w:type="dxa"/>
            <w:vAlign w:val="bottom"/>
          </w:tcPr>
          <w:p>
            <w:pPr>
              <w:spacing w:after="0"/>
              <w:rPr>
                <w:sz w:val="18"/>
                <w:szCs w:val="18"/>
                <w:color w:val="auto"/>
              </w:rPr>
            </w:pPr>
          </w:p>
        </w:tc>
        <w:tc>
          <w:tcPr>
            <w:tcW w:w="7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2,164</w:t>
            </w:r>
          </w:p>
        </w:tc>
      </w:tr>
      <w:tr>
        <w:trPr>
          <w:trHeight w:val="216"/>
        </w:trPr>
        <w:tc>
          <w:tcPr>
            <w:tcW w:w="20" w:type="dxa"/>
            <w:vAlign w:val="bottom"/>
          </w:tcPr>
          <w:p>
            <w:pPr>
              <w:spacing w:after="0"/>
              <w:rPr>
                <w:sz w:val="18"/>
                <w:szCs w:val="18"/>
                <w:color w:val="auto"/>
              </w:rPr>
            </w:pPr>
          </w:p>
        </w:tc>
        <w:tc>
          <w:tcPr>
            <w:tcW w:w="406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Cash and cash equivalents, beginning of period</w:t>
            </w:r>
          </w:p>
        </w:tc>
        <w:tc>
          <w:tcPr>
            <w:tcW w:w="34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947</w:t>
            </w:r>
          </w:p>
        </w:tc>
        <w:tc>
          <w:tcPr>
            <w:tcW w:w="3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947</w:t>
            </w:r>
          </w:p>
        </w:tc>
      </w:tr>
      <w:tr>
        <w:trPr>
          <w:trHeight w:val="217"/>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5</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auto"/>
            </w:tcBorders>
          </w:tcPr>
          <w:p>
            <w:pPr>
              <w:ind w:left="80"/>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21</w:t>
            </w:r>
          </w:p>
        </w:tc>
        <w:tc>
          <w:tcPr>
            <w:tcW w:w="2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3,085</w:t>
            </w:r>
          </w:p>
        </w:tc>
        <w:tc>
          <w:tcPr>
            <w:tcW w:w="340" w:type="dxa"/>
            <w:vAlign w:val="bottom"/>
            <w:tcBorders>
              <w:bottom w:val="single" w:sz="8" w:color="auto"/>
            </w:tcBorders>
          </w:tcPr>
          <w:p>
            <w:pPr>
              <w:jc w:val="right"/>
              <w:ind w:right="4"/>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3,111</w:t>
            </w:r>
          </w:p>
        </w:tc>
      </w:tr>
      <w:tr>
        <w:trPr>
          <w:trHeight w:val="363"/>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SEPTEMBER 30, 2007</w:t>
      </w:r>
    </w:p>
    <w:p>
      <w:pPr>
        <w:spacing w:after="0" w:line="108" w:lineRule="exact"/>
        <w:rPr>
          <w:sz w:val="20"/>
          <w:szCs w:val="20"/>
          <w:color w:val="auto"/>
        </w:rPr>
      </w:pPr>
    </w:p>
    <w:p>
      <w:pPr>
        <w:ind w:right="940"/>
        <w:spacing w:after="0" w:line="261"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8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are the largest cable operator in the United States and offer a variety of consumer entertainment and communications products and services. As of September 30, 2007, our cable systems served approximately 24.2 million video subscribers, 12.9 million high-speed Internet subscribers and 4.1 million phone subscribers and passed approximately 48.3 million homes in 39 states and the District of Columbia. We classify our operations in two reportable segments: Cable and Programming. Our Cable segment manages and operates our cable systems, including video, high-speed Internet and phone services (“cable services”). The majority of our Cable segment revenue is earned from monthly subscriptions for these cable services. Other revenue sources include advertising and the operation of our regional sports and news networks. The Cable segment generates approximately 95% of our consolidated revenues. Our Programming segment consists of our six national programming networks, E!, Style, The Golf Channel, VERSUS, G4, and AZN Television, and other entertainment-related businesses. Revenue from our Programming segment is earned primarily from advertising revenues and from monthly per subscriber license fees paid by cable and satellite distributors.</w:t>
      </w:r>
    </w:p>
    <w:p>
      <w:pPr>
        <w:spacing w:after="0" w:line="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comparability of our results of operations for the three and nine months ended September 30, 2007 is impacted by the dissolution of the Texas and Kansas City Cable Partnership (“TKCCP”) in January 2007 and the Adelphia and Time Warner transactions in July 2006. The TKCCP dissolution resulted in the acquisition of a cable system serving approximately 700,000 video subscribers in Houston, Texas and a significant nonoperating gain recognized in connection with the divestiture of our portion of the partnership’s investment in cable systems serving Kansas City, south and west Texas, and New Mexico. The Adelphia and Time Warner transactions resulted in the acquisition of cable systems serving approximately 2.8 million video subscribers, significant nonoperating gains and the disposition of our previously owned cable systems located in Los Angeles, Cleveland and Dallas, which are presented as discontinued operations in 2006. Other highlights and business developments for the nine months ended September 30, 2007 include the following:</w:t>
      </w:r>
    </w:p>
    <w:p>
      <w:pPr>
        <w:spacing w:after="0" w:line="24" w:lineRule="exact"/>
        <w:rPr>
          <w:sz w:val="20"/>
          <w:szCs w:val="20"/>
          <w:color w:val="auto"/>
        </w:rPr>
      </w:pPr>
    </w:p>
    <w:p>
      <w:pPr>
        <w:ind w:left="1020" w:right="1240" w:hanging="215"/>
        <w:spacing w:after="0" w:line="268"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consolidated revenue growth of 27.6% and consolidated operating income growth of 21.1%, both driven by results in our Cable segment</w:t>
      </w:r>
    </w:p>
    <w:p>
      <w:pPr>
        <w:spacing w:after="0" w:line="37" w:lineRule="exact"/>
        <w:rPr>
          <w:rFonts w:ascii="Arial" w:cs="Arial" w:eastAsia="Arial" w:hAnsi="Arial"/>
          <w:sz w:val="18"/>
          <w:szCs w:val="18"/>
          <w:color w:val="auto"/>
        </w:rPr>
      </w:pPr>
    </w:p>
    <w:p>
      <w:pPr>
        <w:jc w:val="both"/>
        <w:ind w:left="1020" w:right="1260" w:hanging="215"/>
        <w:spacing w:after="0" w:line="259"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Cable segment revenue growth of 26.6% and growth in operating income before depreciation and amortization of 27.0%, both driven by growth from acquisitions, as well as growth in revenue generating units (“RGUs”) and the success of our triple play offering</w:t>
      </w:r>
    </w:p>
    <w:p>
      <w:pPr>
        <w:spacing w:after="0" w:line="45" w:lineRule="exact"/>
        <w:rPr>
          <w:rFonts w:ascii="Arial" w:cs="Arial" w:eastAsia="Arial" w:hAnsi="Arial"/>
          <w:sz w:val="18"/>
          <w:szCs w:val="18"/>
          <w:color w:val="auto"/>
        </w:rPr>
      </w:pPr>
    </w:p>
    <w:p>
      <w:pPr>
        <w:jc w:val="both"/>
        <w:ind w:left="1020" w:right="1260" w:hanging="215"/>
        <w:spacing w:after="0" w:line="259"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repurchase of approximately 70 million shares of our Class A Special common stock pursuant to our Board-authorized share repurchase program for approximately $1.85 billion; in October 2007 the Board of Directors authorized a $7 billion addition to the existing share repurchase program</w:t>
      </w:r>
    </w:p>
    <w:p>
      <w:pPr>
        <w:spacing w:after="0" w:line="45" w:lineRule="exact"/>
        <w:rPr>
          <w:rFonts w:ascii="Arial" w:cs="Arial" w:eastAsia="Arial" w:hAnsi="Arial"/>
          <w:sz w:val="18"/>
          <w:szCs w:val="18"/>
          <w:color w:val="auto"/>
        </w:rPr>
      </w:pPr>
    </w:p>
    <w:p>
      <w:pPr>
        <w:jc w:val="both"/>
        <w:ind w:left="1020" w:right="1240" w:hanging="215"/>
        <w:spacing w:after="0" w:line="255"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acquisitions of (i) Fandango, an online entertainment site and movie-ticket service, which closed in April 2007, (ii) Rainbow Media Holdings LLC’s 60% interest in Bay Area SportsNet and its 50% interest in Sports Channel New England, expanding our regional sports networks, which closed in June 2007, (iii) the cable system of Patriot Media serving subscribers in central New Jersey, which closed in August 2007 (refer to Note 4 to our consolidated financial statements for information about acquisitions and other significant events)</w:t>
      </w:r>
    </w:p>
    <w:p>
      <w:pPr>
        <w:spacing w:after="0" w:line="48" w:lineRule="exact"/>
        <w:rPr>
          <w:rFonts w:ascii="Arial" w:cs="Arial" w:eastAsia="Arial" w:hAnsi="Arial"/>
          <w:sz w:val="18"/>
          <w:szCs w:val="18"/>
          <w:color w:val="auto"/>
        </w:rPr>
      </w:pPr>
    </w:p>
    <w:p>
      <w:pPr>
        <w:jc w:val="both"/>
        <w:ind w:left="1020" w:right="1260" w:hanging="215"/>
        <w:spacing w:after="0" w:line="306" w:lineRule="auto"/>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color w:val="auto"/>
        </w:rPr>
        <w:t>agreement to divide the assets and liabilities of the Insight Midwest partnership that, upon closing of the transaction, will result in our 100% ownership of cable systems serving subscribers in Illinois and Indiana; this transaction is subject to closing conditions, including government and other approvals, and is expected to close on or about January 1, 2008</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SEPTEMBER 30, 2007</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discussion below provides further details of these highlights and insights into our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Operating Results</w:t>
      </w:r>
    </w:p>
    <w:p>
      <w:pPr>
        <w:spacing w:after="0" w:line="5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40" w:type="dxa"/>
            <w:vAlign w:val="bottom"/>
            <w:gridSpan w:val="3"/>
          </w:tcPr>
          <w:p>
            <w:pPr>
              <w:jc w:val="right"/>
              <w:ind w:right="354"/>
              <w:spacing w:after="0"/>
              <w:rPr>
                <w:sz w:val="20"/>
                <w:szCs w:val="20"/>
                <w:color w:val="auto"/>
              </w:rPr>
            </w:pPr>
            <w:r>
              <w:rPr>
                <w:rFonts w:ascii="Arial" w:cs="Arial" w:eastAsia="Arial" w:hAnsi="Arial"/>
                <w:sz w:val="14"/>
                <w:szCs w:val="14"/>
                <w:b w:val="1"/>
                <w:bCs w:val="1"/>
                <w:color w:val="auto"/>
                <w:w w:val="92"/>
              </w:rPr>
              <w:t>Three Months Ended</w:t>
            </w:r>
          </w:p>
        </w:tc>
        <w:tc>
          <w:tcPr>
            <w:tcW w:w="1220" w:type="dxa"/>
            <w:vAlign w:val="bottom"/>
          </w:tcPr>
          <w:p>
            <w:pPr>
              <w:jc w:val="right"/>
              <w:ind w:right="355"/>
              <w:spacing w:after="0"/>
              <w:rPr>
                <w:sz w:val="20"/>
                <w:szCs w:val="20"/>
                <w:color w:val="auto"/>
              </w:rPr>
            </w:pPr>
            <w:r>
              <w:rPr>
                <w:rFonts w:ascii="Arial" w:cs="Arial" w:eastAsia="Arial" w:hAnsi="Arial"/>
                <w:sz w:val="14"/>
                <w:szCs w:val="14"/>
                <w:b w:val="1"/>
                <w:bCs w:val="1"/>
                <w:color w:val="auto"/>
              </w:rPr>
              <w:t>Increase /</w:t>
            </w:r>
          </w:p>
        </w:tc>
        <w:tc>
          <w:tcPr>
            <w:tcW w:w="300" w:type="dxa"/>
            <w:vAlign w:val="bottom"/>
          </w:tcPr>
          <w:p>
            <w:pPr>
              <w:spacing w:after="0"/>
              <w:rPr>
                <w:sz w:val="14"/>
                <w:szCs w:val="14"/>
                <w:color w:val="auto"/>
              </w:rPr>
            </w:pPr>
          </w:p>
        </w:tc>
        <w:tc>
          <w:tcPr>
            <w:tcW w:w="1820" w:type="dxa"/>
            <w:vAlign w:val="bottom"/>
            <w:gridSpan w:val="3"/>
          </w:tcPr>
          <w:p>
            <w:pPr>
              <w:jc w:val="right"/>
              <w:ind w:right="414"/>
              <w:spacing w:after="0"/>
              <w:rPr>
                <w:sz w:val="20"/>
                <w:szCs w:val="20"/>
                <w:color w:val="auto"/>
              </w:rPr>
            </w:pPr>
            <w:r>
              <w:rPr>
                <w:rFonts w:ascii="Arial" w:cs="Arial" w:eastAsia="Arial" w:hAnsi="Arial"/>
                <w:sz w:val="14"/>
                <w:szCs w:val="14"/>
                <w:b w:val="1"/>
                <w:bCs w:val="1"/>
                <w:color w:val="auto"/>
                <w:w w:val="99"/>
              </w:rPr>
              <w:t>Nine Months Ended</w:t>
            </w:r>
          </w:p>
        </w:tc>
        <w:tc>
          <w:tcPr>
            <w:tcW w:w="1040" w:type="dxa"/>
            <w:vAlign w:val="bottom"/>
          </w:tcPr>
          <w:p>
            <w:pPr>
              <w:jc w:val="right"/>
              <w:ind w:right="175"/>
              <w:spacing w:after="0"/>
              <w:rPr>
                <w:sz w:val="20"/>
                <w:szCs w:val="20"/>
                <w:color w:val="auto"/>
              </w:rPr>
            </w:pPr>
            <w:r>
              <w:rPr>
                <w:rFonts w:ascii="Arial" w:cs="Arial" w:eastAsia="Arial" w:hAnsi="Arial"/>
                <w:sz w:val="14"/>
                <w:szCs w:val="14"/>
                <w:b w:val="1"/>
                <w:bCs w:val="1"/>
                <w:color w:val="auto"/>
              </w:rPr>
              <w:t>Increase /</w:t>
            </w:r>
          </w:p>
        </w:tc>
      </w:tr>
      <w:tr>
        <w:trPr>
          <w:trHeight w:val="175"/>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ind w:right="574"/>
              <w:spacing w:after="0"/>
              <w:rPr>
                <w:sz w:val="20"/>
                <w:szCs w:val="20"/>
                <w:color w:val="auto"/>
              </w:rPr>
            </w:pPr>
            <w:r>
              <w:rPr>
                <w:rFonts w:ascii="Arial" w:cs="Arial" w:eastAsia="Arial" w:hAnsi="Arial"/>
                <w:sz w:val="14"/>
                <w:szCs w:val="14"/>
                <w:b w:val="1"/>
                <w:bCs w:val="1"/>
                <w:color w:val="auto"/>
              </w:rPr>
              <w:t>September 30,</w:t>
            </w:r>
          </w:p>
        </w:tc>
        <w:tc>
          <w:tcPr>
            <w:tcW w:w="12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(Decrease)</w:t>
            </w:r>
          </w:p>
        </w:tc>
        <w:tc>
          <w:tcPr>
            <w:tcW w:w="3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jc w:val="right"/>
              <w:ind w:right="594"/>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(Decrease)</w:t>
            </w:r>
          </w:p>
        </w:tc>
      </w:tr>
      <w:tr>
        <w:trPr>
          <w:trHeight w:val="237"/>
        </w:trPr>
        <w:tc>
          <w:tcPr>
            <w:tcW w:w="358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580" w:type="dxa"/>
            <w:vAlign w:val="bottom"/>
          </w:tcPr>
          <w:p>
            <w:pPr>
              <w:spacing w:after="0"/>
              <w:rPr>
                <w:sz w:val="20"/>
                <w:szCs w:val="20"/>
                <w:color w:val="auto"/>
              </w:rPr>
            </w:pPr>
          </w:p>
        </w:tc>
        <w:tc>
          <w:tcPr>
            <w:tcW w:w="680" w:type="dxa"/>
            <w:vAlign w:val="bottom"/>
          </w:tcPr>
          <w:p>
            <w:pPr>
              <w:jc w:val="right"/>
              <w:ind w:right="316"/>
              <w:spacing w:after="0"/>
              <w:rPr>
                <w:sz w:val="20"/>
                <w:szCs w:val="20"/>
                <w:color w:val="auto"/>
              </w:rPr>
            </w:pPr>
            <w:r>
              <w:rPr>
                <w:rFonts w:ascii="Arial" w:cs="Arial" w:eastAsia="Arial" w:hAnsi="Arial"/>
                <w:sz w:val="14"/>
                <w:szCs w:val="14"/>
                <w:b w:val="1"/>
                <w:bCs w:val="1"/>
                <w:color w:val="auto"/>
                <w:w w:val="83"/>
              </w:rPr>
              <w:t>2007</w:t>
            </w:r>
          </w:p>
        </w:tc>
        <w:tc>
          <w:tcPr>
            <w:tcW w:w="340" w:type="dxa"/>
            <w:vAlign w:val="bottom"/>
          </w:tcPr>
          <w:p>
            <w:pPr>
              <w:spacing w:after="0"/>
              <w:rPr>
                <w:sz w:val="20"/>
                <w:szCs w:val="20"/>
                <w:color w:val="auto"/>
              </w:rPr>
            </w:pPr>
          </w:p>
        </w:tc>
        <w:tc>
          <w:tcPr>
            <w:tcW w:w="720" w:type="dxa"/>
            <w:vAlign w:val="bottom"/>
          </w:tcPr>
          <w:p>
            <w:pPr>
              <w:jc w:val="right"/>
              <w:ind w:right="334"/>
              <w:spacing w:after="0"/>
              <w:rPr>
                <w:sz w:val="20"/>
                <w:szCs w:val="20"/>
                <w:color w:val="auto"/>
              </w:rPr>
            </w:pPr>
            <w:r>
              <w:rPr>
                <w:rFonts w:ascii="Arial" w:cs="Arial" w:eastAsia="Arial" w:hAnsi="Arial"/>
                <w:sz w:val="14"/>
                <w:szCs w:val="14"/>
                <w:b w:val="1"/>
                <w:bCs w:val="1"/>
                <w:color w:val="auto"/>
                <w:w w:val="89"/>
              </w:rPr>
              <w:t>2006</w:t>
            </w: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ind w:right="336"/>
              <w:spacing w:after="0"/>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20"/>
                <w:szCs w:val="20"/>
                <w:color w:val="auto"/>
              </w:rPr>
            </w:pPr>
          </w:p>
        </w:tc>
        <w:tc>
          <w:tcPr>
            <w:tcW w:w="760" w:type="dxa"/>
            <w:vAlign w:val="bottom"/>
          </w:tcPr>
          <w:p>
            <w:pPr>
              <w:jc w:val="right"/>
              <w:ind w:right="334"/>
              <w:spacing w:after="0"/>
              <w:rPr>
                <w:sz w:val="20"/>
                <w:szCs w:val="20"/>
                <w:color w:val="auto"/>
              </w:rPr>
            </w:pPr>
            <w:r>
              <w:rPr>
                <w:rFonts w:ascii="Arial" w:cs="Arial" w:eastAsia="Arial" w:hAnsi="Arial"/>
                <w:sz w:val="14"/>
                <w:szCs w:val="14"/>
                <w:b w:val="1"/>
                <w:bCs w:val="1"/>
                <w:color w:val="auto"/>
              </w:rPr>
              <w:t>2006</w:t>
            </w:r>
          </w:p>
        </w:tc>
        <w:tc>
          <w:tcPr>
            <w:tcW w:w="104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5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Revenues</w:t>
            </w:r>
          </w:p>
        </w:tc>
        <w:tc>
          <w:tcPr>
            <w:tcW w:w="5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E5E5"/>
          </w:tcPr>
          <w:p>
            <w:pPr>
              <w:jc w:val="right"/>
              <w:ind w:right="176"/>
              <w:spacing w:after="0"/>
              <w:rPr>
                <w:sz w:val="20"/>
                <w:szCs w:val="20"/>
                <w:color w:val="auto"/>
              </w:rPr>
            </w:pPr>
            <w:r>
              <w:rPr>
                <w:rFonts w:ascii="Arial" w:cs="Arial" w:eastAsia="Arial" w:hAnsi="Arial"/>
                <w:sz w:val="18"/>
                <w:szCs w:val="18"/>
                <w:color w:val="auto"/>
                <w:w w:val="88"/>
              </w:rPr>
              <w:t>7,781</w:t>
            </w:r>
          </w:p>
        </w:tc>
        <w:tc>
          <w:tcPr>
            <w:tcW w:w="3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color w:val="auto"/>
                <w:w w:val="97"/>
              </w:rPr>
              <w:t>6,432</w:t>
            </w:r>
          </w:p>
        </w:tc>
        <w:tc>
          <w:tcPr>
            <w:tcW w:w="1220" w:type="dxa"/>
            <w:vAlign w:val="bottom"/>
            <w:tcBorders>
              <w:top w:val="single" w:sz="8" w:color="auto"/>
            </w:tcBorders>
            <w:shd w:val="clear" w:color="auto" w:fill="E5E5E5"/>
          </w:tcPr>
          <w:p>
            <w:pPr>
              <w:jc w:val="right"/>
              <w:ind w:right="175"/>
              <w:spacing w:after="0"/>
              <w:rPr>
                <w:sz w:val="20"/>
                <w:szCs w:val="20"/>
                <w:color w:val="auto"/>
              </w:rPr>
            </w:pPr>
            <w:r>
              <w:rPr>
                <w:rFonts w:ascii="Arial" w:cs="Arial" w:eastAsia="Arial" w:hAnsi="Arial"/>
                <w:sz w:val="18"/>
                <w:szCs w:val="18"/>
                <w:color w:val="auto"/>
              </w:rPr>
              <w:t>21.0%</w:t>
            </w:r>
          </w:p>
        </w:tc>
        <w:tc>
          <w:tcPr>
            <w:tcW w:w="3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E5E5E5"/>
          </w:tcPr>
          <w:p>
            <w:pPr>
              <w:jc w:val="right"/>
              <w:ind w:right="176"/>
              <w:spacing w:after="0"/>
              <w:rPr>
                <w:sz w:val="20"/>
                <w:szCs w:val="20"/>
                <w:color w:val="auto"/>
              </w:rPr>
            </w:pPr>
            <w:r>
              <w:rPr>
                <w:rFonts w:ascii="Arial" w:cs="Arial" w:eastAsia="Arial" w:hAnsi="Arial"/>
                <w:sz w:val="18"/>
                <w:szCs w:val="18"/>
                <w:color w:val="auto"/>
                <w:w w:val="87"/>
              </w:rPr>
              <w:t>22,881</w:t>
            </w:r>
          </w:p>
        </w:tc>
        <w:tc>
          <w:tcPr>
            <w:tcW w:w="3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E5E5E5"/>
          </w:tcPr>
          <w:p>
            <w:pPr>
              <w:jc w:val="right"/>
              <w:ind w:right="194"/>
              <w:spacing w:after="0"/>
              <w:rPr>
                <w:sz w:val="20"/>
                <w:szCs w:val="20"/>
                <w:color w:val="auto"/>
              </w:rPr>
            </w:pPr>
            <w:r>
              <w:rPr>
                <w:rFonts w:ascii="Arial" w:cs="Arial" w:eastAsia="Arial" w:hAnsi="Arial"/>
                <w:sz w:val="18"/>
                <w:szCs w:val="18"/>
                <w:color w:val="auto"/>
                <w:w w:val="83"/>
              </w:rPr>
              <w:t>17,935</w:t>
            </w:r>
          </w:p>
        </w:tc>
        <w:tc>
          <w:tcPr>
            <w:tcW w:w="10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27.6%</w:t>
            </w: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Costs and expenses</w:t>
            </w: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3560" w:type="dxa"/>
            <w:vAlign w:val="bottom"/>
            <w:shd w:val="clear" w:color="auto" w:fill="E5E5E5"/>
          </w:tcPr>
          <w:p>
            <w:pPr>
              <w:spacing w:after="0"/>
              <w:rPr>
                <w:sz w:val="20"/>
                <w:szCs w:val="20"/>
                <w:color w:val="auto"/>
              </w:rPr>
            </w:pPr>
            <w:r>
              <w:rPr>
                <w:rFonts w:ascii="Arial" w:cs="Arial" w:eastAsia="Arial" w:hAnsi="Arial"/>
                <w:sz w:val="18"/>
                <w:szCs w:val="18"/>
                <w:color w:val="auto"/>
                <w:w w:val="98"/>
              </w:rPr>
              <w:t>Operating, selling, general and administrative</w:t>
            </w:r>
          </w:p>
        </w:tc>
        <w:tc>
          <w:tcPr>
            <w:tcW w:w="58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122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1040" w:type="dxa"/>
            <w:vAlign w:val="bottom"/>
            <w:shd w:val="clear" w:color="auto" w:fill="E5E5E5"/>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35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(excluding depreciation)</w:t>
            </w:r>
          </w:p>
        </w:tc>
        <w:tc>
          <w:tcPr>
            <w:tcW w:w="580" w:type="dxa"/>
            <w:vAlign w:val="bottom"/>
            <w:shd w:val="clear" w:color="auto" w:fill="E5E5E5"/>
          </w:tcPr>
          <w:p>
            <w:pPr>
              <w:spacing w:after="0"/>
              <w:rPr>
                <w:sz w:val="19"/>
                <w:szCs w:val="19"/>
                <w:color w:val="auto"/>
              </w:rPr>
            </w:pPr>
          </w:p>
        </w:tc>
        <w:tc>
          <w:tcPr>
            <w:tcW w:w="680" w:type="dxa"/>
            <w:vAlign w:val="bottom"/>
            <w:shd w:val="clear" w:color="auto" w:fill="E5E5E5"/>
          </w:tcPr>
          <w:p>
            <w:pPr>
              <w:jc w:val="right"/>
              <w:ind w:right="176"/>
              <w:spacing w:after="0"/>
              <w:rPr>
                <w:sz w:val="20"/>
                <w:szCs w:val="20"/>
                <w:color w:val="auto"/>
              </w:rPr>
            </w:pPr>
            <w:r>
              <w:rPr>
                <w:rFonts w:ascii="Arial" w:cs="Arial" w:eastAsia="Arial" w:hAnsi="Arial"/>
                <w:sz w:val="18"/>
                <w:szCs w:val="18"/>
                <w:color w:val="auto"/>
                <w:w w:val="88"/>
              </w:rPr>
              <w:t>4,852</w:t>
            </w:r>
          </w:p>
        </w:tc>
        <w:tc>
          <w:tcPr>
            <w:tcW w:w="340" w:type="dxa"/>
            <w:vAlign w:val="bottom"/>
            <w:shd w:val="clear" w:color="auto" w:fill="E5E5E5"/>
          </w:tcPr>
          <w:p>
            <w:pPr>
              <w:spacing w:after="0"/>
              <w:rPr>
                <w:sz w:val="19"/>
                <w:szCs w:val="19"/>
                <w:color w:val="auto"/>
              </w:rPr>
            </w:pPr>
          </w:p>
        </w:tc>
        <w:tc>
          <w:tcPr>
            <w:tcW w:w="72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w w:val="97"/>
              </w:rPr>
              <w:t>3,995</w:t>
            </w:r>
          </w:p>
        </w:tc>
        <w:tc>
          <w:tcPr>
            <w:tcW w:w="1220" w:type="dxa"/>
            <w:vAlign w:val="bottom"/>
            <w:shd w:val="clear" w:color="auto" w:fill="E5E5E5"/>
          </w:tcPr>
          <w:p>
            <w:pPr>
              <w:jc w:val="right"/>
              <w:ind w:right="315"/>
              <w:spacing w:after="0"/>
              <w:rPr>
                <w:sz w:val="20"/>
                <w:szCs w:val="20"/>
                <w:color w:val="auto"/>
              </w:rPr>
            </w:pPr>
            <w:r>
              <w:rPr>
                <w:rFonts w:ascii="Arial" w:cs="Arial" w:eastAsia="Arial" w:hAnsi="Arial"/>
                <w:sz w:val="18"/>
                <w:szCs w:val="18"/>
                <w:color w:val="auto"/>
              </w:rPr>
              <w:t>21.4</w:t>
            </w:r>
          </w:p>
        </w:tc>
        <w:tc>
          <w:tcPr>
            <w:tcW w:w="300" w:type="dxa"/>
            <w:vAlign w:val="bottom"/>
            <w:shd w:val="clear" w:color="auto" w:fill="E5E5E5"/>
          </w:tcPr>
          <w:p>
            <w:pPr>
              <w:spacing w:after="0"/>
              <w:rPr>
                <w:sz w:val="19"/>
                <w:szCs w:val="19"/>
                <w:color w:val="auto"/>
              </w:rPr>
            </w:pPr>
          </w:p>
        </w:tc>
        <w:tc>
          <w:tcPr>
            <w:tcW w:w="760" w:type="dxa"/>
            <w:vAlign w:val="bottom"/>
            <w:shd w:val="clear" w:color="auto" w:fill="E5E5E5"/>
          </w:tcPr>
          <w:p>
            <w:pPr>
              <w:jc w:val="right"/>
              <w:ind w:right="176"/>
              <w:spacing w:after="0"/>
              <w:rPr>
                <w:sz w:val="20"/>
                <w:szCs w:val="20"/>
                <w:color w:val="auto"/>
              </w:rPr>
            </w:pPr>
            <w:r>
              <w:rPr>
                <w:rFonts w:ascii="Arial" w:cs="Arial" w:eastAsia="Arial" w:hAnsi="Arial"/>
                <w:sz w:val="18"/>
                <w:szCs w:val="18"/>
                <w:color w:val="auto"/>
                <w:w w:val="87"/>
              </w:rPr>
              <w:t>14,177</w:t>
            </w:r>
          </w:p>
        </w:tc>
        <w:tc>
          <w:tcPr>
            <w:tcW w:w="300" w:type="dxa"/>
            <w:vAlign w:val="bottom"/>
            <w:shd w:val="clear" w:color="auto" w:fill="E5E5E5"/>
          </w:tcPr>
          <w:p>
            <w:pPr>
              <w:spacing w:after="0"/>
              <w:rPr>
                <w:sz w:val="19"/>
                <w:szCs w:val="19"/>
                <w:color w:val="auto"/>
              </w:rPr>
            </w:pPr>
          </w:p>
        </w:tc>
        <w:tc>
          <w:tcPr>
            <w:tcW w:w="76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w w:val="83"/>
              </w:rPr>
              <w:t>11,087</w:t>
            </w:r>
          </w:p>
        </w:tc>
        <w:tc>
          <w:tcPr>
            <w:tcW w:w="104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27.9</w:t>
            </w: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Depreciation</w:t>
            </w:r>
          </w:p>
        </w:tc>
        <w:tc>
          <w:tcPr>
            <w:tcW w:w="580" w:type="dxa"/>
            <w:vAlign w:val="bottom"/>
          </w:tcPr>
          <w:p>
            <w:pPr>
              <w:spacing w:after="0"/>
              <w:rPr>
                <w:sz w:val="18"/>
                <w:szCs w:val="18"/>
                <w:color w:val="auto"/>
              </w:rPr>
            </w:pPr>
          </w:p>
        </w:tc>
        <w:tc>
          <w:tcPr>
            <w:tcW w:w="680" w:type="dxa"/>
            <w:vAlign w:val="bottom"/>
          </w:tcPr>
          <w:p>
            <w:pPr>
              <w:jc w:val="right"/>
              <w:ind w:right="176"/>
              <w:spacing w:after="0"/>
              <w:rPr>
                <w:sz w:val="20"/>
                <w:szCs w:val="20"/>
                <w:color w:val="auto"/>
              </w:rPr>
            </w:pPr>
            <w:r>
              <w:rPr>
                <w:rFonts w:ascii="Arial" w:cs="Arial" w:eastAsia="Arial" w:hAnsi="Arial"/>
                <w:sz w:val="18"/>
                <w:szCs w:val="18"/>
                <w:color w:val="auto"/>
                <w:w w:val="88"/>
              </w:rPr>
              <w:t>1,291</w:t>
            </w:r>
          </w:p>
        </w:tc>
        <w:tc>
          <w:tcPr>
            <w:tcW w:w="340" w:type="dxa"/>
            <w:vAlign w:val="bottom"/>
          </w:tcPr>
          <w:p>
            <w:pPr>
              <w:spacing w:after="0"/>
              <w:rPr>
                <w:sz w:val="18"/>
                <w:szCs w:val="18"/>
                <w:color w:val="auto"/>
              </w:rPr>
            </w:pPr>
          </w:p>
        </w:tc>
        <w:tc>
          <w:tcPr>
            <w:tcW w:w="720" w:type="dxa"/>
            <w:vAlign w:val="bottom"/>
          </w:tcPr>
          <w:p>
            <w:pPr>
              <w:jc w:val="right"/>
              <w:ind w:right="174"/>
              <w:spacing w:after="0"/>
              <w:rPr>
                <w:sz w:val="20"/>
                <w:szCs w:val="20"/>
                <w:color w:val="auto"/>
              </w:rPr>
            </w:pPr>
            <w:r>
              <w:rPr>
                <w:rFonts w:ascii="Arial" w:cs="Arial" w:eastAsia="Arial" w:hAnsi="Arial"/>
                <w:sz w:val="18"/>
                <w:szCs w:val="18"/>
                <w:color w:val="auto"/>
              </w:rPr>
              <w:t>963</w:t>
            </w:r>
          </w:p>
        </w:tc>
        <w:tc>
          <w:tcPr>
            <w:tcW w:w="1220" w:type="dxa"/>
            <w:vAlign w:val="bottom"/>
          </w:tcPr>
          <w:p>
            <w:pPr>
              <w:jc w:val="right"/>
              <w:ind w:right="315"/>
              <w:spacing w:after="0"/>
              <w:rPr>
                <w:sz w:val="20"/>
                <w:szCs w:val="20"/>
                <w:color w:val="auto"/>
              </w:rPr>
            </w:pPr>
            <w:r>
              <w:rPr>
                <w:rFonts w:ascii="Arial" w:cs="Arial" w:eastAsia="Arial" w:hAnsi="Arial"/>
                <w:sz w:val="18"/>
                <w:szCs w:val="18"/>
                <w:color w:val="auto"/>
              </w:rPr>
              <w:t>34.0</w:t>
            </w:r>
          </w:p>
        </w:tc>
        <w:tc>
          <w:tcPr>
            <w:tcW w:w="300" w:type="dxa"/>
            <w:vAlign w:val="bottom"/>
          </w:tcPr>
          <w:p>
            <w:pPr>
              <w:spacing w:after="0"/>
              <w:rPr>
                <w:sz w:val="18"/>
                <w:szCs w:val="18"/>
                <w:color w:val="auto"/>
              </w:rPr>
            </w:pPr>
          </w:p>
        </w:tc>
        <w:tc>
          <w:tcPr>
            <w:tcW w:w="760" w:type="dxa"/>
            <w:vAlign w:val="bottom"/>
          </w:tcPr>
          <w:p>
            <w:pPr>
              <w:jc w:val="right"/>
              <w:ind w:right="176"/>
              <w:spacing w:after="0"/>
              <w:rPr>
                <w:sz w:val="20"/>
                <w:szCs w:val="20"/>
                <w:color w:val="auto"/>
              </w:rPr>
            </w:pPr>
            <w:r>
              <w:rPr>
                <w:rFonts w:ascii="Arial" w:cs="Arial" w:eastAsia="Arial" w:hAnsi="Arial"/>
                <w:sz w:val="18"/>
                <w:szCs w:val="18"/>
                <w:color w:val="auto"/>
              </w:rPr>
              <w:t>3,768</w:t>
            </w:r>
          </w:p>
        </w:tc>
        <w:tc>
          <w:tcPr>
            <w:tcW w:w="300" w:type="dxa"/>
            <w:vAlign w:val="bottom"/>
          </w:tcPr>
          <w:p>
            <w:pPr>
              <w:spacing w:after="0"/>
              <w:rPr>
                <w:sz w:val="18"/>
                <w:szCs w:val="18"/>
                <w:color w:val="auto"/>
              </w:rPr>
            </w:pPr>
          </w:p>
        </w:tc>
        <w:tc>
          <w:tcPr>
            <w:tcW w:w="760" w:type="dxa"/>
            <w:vAlign w:val="bottom"/>
          </w:tcPr>
          <w:p>
            <w:pPr>
              <w:jc w:val="right"/>
              <w:ind w:right="194"/>
              <w:spacing w:after="0"/>
              <w:rPr>
                <w:sz w:val="20"/>
                <w:szCs w:val="20"/>
                <w:color w:val="auto"/>
              </w:rPr>
            </w:pPr>
            <w:r>
              <w:rPr>
                <w:rFonts w:ascii="Arial" w:cs="Arial" w:eastAsia="Arial" w:hAnsi="Arial"/>
                <w:sz w:val="18"/>
                <w:szCs w:val="18"/>
                <w:color w:val="auto"/>
              </w:rPr>
              <w:t>2,748</w:t>
            </w:r>
          </w:p>
        </w:tc>
        <w:tc>
          <w:tcPr>
            <w:tcW w:w="1040" w:type="dxa"/>
            <w:vAlign w:val="bottom"/>
          </w:tcPr>
          <w:p>
            <w:pPr>
              <w:jc w:val="right"/>
              <w:ind w:right="135"/>
              <w:spacing w:after="0"/>
              <w:rPr>
                <w:sz w:val="20"/>
                <w:szCs w:val="20"/>
                <w:color w:val="auto"/>
              </w:rPr>
            </w:pPr>
            <w:r>
              <w:rPr>
                <w:rFonts w:ascii="Arial" w:cs="Arial" w:eastAsia="Arial" w:hAnsi="Arial"/>
                <w:sz w:val="18"/>
                <w:szCs w:val="18"/>
                <w:color w:val="auto"/>
              </w:rPr>
              <w:t>37.1</w:t>
            </w:r>
          </w:p>
        </w:tc>
      </w:tr>
      <w:tr>
        <w:trPr>
          <w:trHeight w:val="216"/>
        </w:trPr>
        <w:tc>
          <w:tcPr>
            <w:tcW w:w="20" w:type="dxa"/>
            <w:vAlign w:val="bottom"/>
          </w:tcPr>
          <w:p>
            <w:pPr>
              <w:spacing w:after="0"/>
              <w:rPr>
                <w:sz w:val="18"/>
                <w:szCs w:val="18"/>
                <w:color w:val="auto"/>
              </w:rPr>
            </w:pPr>
          </w:p>
        </w:tc>
        <w:tc>
          <w:tcPr>
            <w:tcW w:w="356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Amortization</w:t>
            </w:r>
          </w:p>
        </w:tc>
        <w:tc>
          <w:tcPr>
            <w:tcW w:w="5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76"/>
              <w:spacing w:after="0"/>
              <w:rPr>
                <w:sz w:val="20"/>
                <w:szCs w:val="20"/>
                <w:color w:val="auto"/>
              </w:rPr>
            </w:pPr>
            <w:r>
              <w:rPr>
                <w:rFonts w:ascii="Arial" w:cs="Arial" w:eastAsia="Arial" w:hAnsi="Arial"/>
                <w:sz w:val="18"/>
                <w:szCs w:val="18"/>
                <w:color w:val="auto"/>
              </w:rPr>
              <w:t>247</w:t>
            </w:r>
          </w:p>
        </w:tc>
        <w:tc>
          <w:tcPr>
            <w:tcW w:w="3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color w:val="auto"/>
              </w:rPr>
              <w:t>250</w:t>
            </w:r>
          </w:p>
        </w:tc>
        <w:tc>
          <w:tcPr>
            <w:tcW w:w="1220" w:type="dxa"/>
            <w:vAlign w:val="bottom"/>
            <w:tcBorders>
              <w:bottom w:val="single" w:sz="8" w:color="auto"/>
            </w:tcBorders>
            <w:shd w:val="clear" w:color="auto" w:fill="E5E5E5"/>
          </w:tcPr>
          <w:p>
            <w:pPr>
              <w:jc w:val="right"/>
              <w:ind w:right="255"/>
              <w:spacing w:after="0"/>
              <w:rPr>
                <w:sz w:val="20"/>
                <w:szCs w:val="20"/>
                <w:color w:val="auto"/>
              </w:rPr>
            </w:pPr>
            <w:r>
              <w:rPr>
                <w:rFonts w:ascii="Arial" w:cs="Arial" w:eastAsia="Arial" w:hAnsi="Arial"/>
                <w:sz w:val="18"/>
                <w:szCs w:val="18"/>
                <w:color w:val="auto"/>
              </w:rPr>
              <w:t>(0.6)</w:t>
            </w:r>
          </w:p>
        </w:tc>
        <w:tc>
          <w:tcPr>
            <w:tcW w:w="30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76"/>
              <w:spacing w:after="0"/>
              <w:rPr>
                <w:sz w:val="20"/>
                <w:szCs w:val="20"/>
                <w:color w:val="auto"/>
              </w:rPr>
            </w:pPr>
            <w:r>
              <w:rPr>
                <w:rFonts w:ascii="Arial" w:cs="Arial" w:eastAsia="Arial" w:hAnsi="Arial"/>
                <w:sz w:val="18"/>
                <w:szCs w:val="18"/>
                <w:color w:val="auto"/>
              </w:rPr>
              <w:t>816</w:t>
            </w:r>
          </w:p>
        </w:tc>
        <w:tc>
          <w:tcPr>
            <w:tcW w:w="30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94"/>
              <w:spacing w:after="0"/>
              <w:rPr>
                <w:sz w:val="20"/>
                <w:szCs w:val="20"/>
                <w:color w:val="auto"/>
              </w:rPr>
            </w:pPr>
            <w:r>
              <w:rPr>
                <w:rFonts w:ascii="Arial" w:cs="Arial" w:eastAsia="Arial" w:hAnsi="Arial"/>
                <w:sz w:val="18"/>
                <w:szCs w:val="18"/>
                <w:color w:val="auto"/>
              </w:rPr>
              <w:t>699</w:t>
            </w:r>
          </w:p>
        </w:tc>
        <w:tc>
          <w:tcPr>
            <w:tcW w:w="104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16.8</w:t>
            </w:r>
          </w:p>
        </w:tc>
      </w:tr>
      <w:tr>
        <w:trPr>
          <w:trHeight w:val="210"/>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580" w:type="dxa"/>
            <w:vAlign w:val="bottom"/>
          </w:tcPr>
          <w:p>
            <w:pPr>
              <w:spacing w:after="0"/>
              <w:rPr>
                <w:sz w:val="18"/>
                <w:szCs w:val="18"/>
                <w:color w:val="auto"/>
              </w:rPr>
            </w:pPr>
          </w:p>
        </w:tc>
        <w:tc>
          <w:tcPr>
            <w:tcW w:w="680" w:type="dxa"/>
            <w:vAlign w:val="bottom"/>
          </w:tcPr>
          <w:p>
            <w:pPr>
              <w:jc w:val="right"/>
              <w:ind w:right="176"/>
              <w:spacing w:after="0"/>
              <w:rPr>
                <w:sz w:val="20"/>
                <w:szCs w:val="20"/>
                <w:color w:val="auto"/>
              </w:rPr>
            </w:pPr>
            <w:r>
              <w:rPr>
                <w:rFonts w:ascii="Arial" w:cs="Arial" w:eastAsia="Arial" w:hAnsi="Arial"/>
                <w:sz w:val="18"/>
                <w:szCs w:val="18"/>
                <w:color w:val="auto"/>
                <w:w w:val="88"/>
              </w:rPr>
              <w:t>1,391</w:t>
            </w:r>
          </w:p>
        </w:tc>
        <w:tc>
          <w:tcPr>
            <w:tcW w:w="340" w:type="dxa"/>
            <w:vAlign w:val="bottom"/>
          </w:tcPr>
          <w:p>
            <w:pPr>
              <w:spacing w:after="0"/>
              <w:rPr>
                <w:sz w:val="18"/>
                <w:szCs w:val="18"/>
                <w:color w:val="auto"/>
              </w:rPr>
            </w:pPr>
          </w:p>
        </w:tc>
        <w:tc>
          <w:tcPr>
            <w:tcW w:w="720" w:type="dxa"/>
            <w:vAlign w:val="bottom"/>
          </w:tcPr>
          <w:p>
            <w:pPr>
              <w:jc w:val="right"/>
              <w:ind w:right="174"/>
              <w:spacing w:after="0"/>
              <w:rPr>
                <w:sz w:val="20"/>
                <w:szCs w:val="20"/>
                <w:color w:val="auto"/>
              </w:rPr>
            </w:pPr>
            <w:r>
              <w:rPr>
                <w:rFonts w:ascii="Arial" w:cs="Arial" w:eastAsia="Arial" w:hAnsi="Arial"/>
                <w:sz w:val="18"/>
                <w:szCs w:val="18"/>
                <w:color w:val="auto"/>
                <w:w w:val="97"/>
              </w:rPr>
              <w:t>1,224</w:t>
            </w:r>
          </w:p>
        </w:tc>
        <w:tc>
          <w:tcPr>
            <w:tcW w:w="1220" w:type="dxa"/>
            <w:vAlign w:val="bottom"/>
          </w:tcPr>
          <w:p>
            <w:pPr>
              <w:jc w:val="right"/>
              <w:ind w:right="315"/>
              <w:spacing w:after="0"/>
              <w:rPr>
                <w:sz w:val="20"/>
                <w:szCs w:val="20"/>
                <w:color w:val="auto"/>
              </w:rPr>
            </w:pPr>
            <w:r>
              <w:rPr>
                <w:rFonts w:ascii="Arial" w:cs="Arial" w:eastAsia="Arial" w:hAnsi="Arial"/>
                <w:sz w:val="18"/>
                <w:szCs w:val="18"/>
                <w:color w:val="auto"/>
              </w:rPr>
              <w:t>13.6</w:t>
            </w:r>
          </w:p>
        </w:tc>
        <w:tc>
          <w:tcPr>
            <w:tcW w:w="300" w:type="dxa"/>
            <w:vAlign w:val="bottom"/>
          </w:tcPr>
          <w:p>
            <w:pPr>
              <w:spacing w:after="0"/>
              <w:rPr>
                <w:sz w:val="18"/>
                <w:szCs w:val="18"/>
                <w:color w:val="auto"/>
              </w:rPr>
            </w:pPr>
          </w:p>
        </w:tc>
        <w:tc>
          <w:tcPr>
            <w:tcW w:w="760" w:type="dxa"/>
            <w:vAlign w:val="bottom"/>
          </w:tcPr>
          <w:p>
            <w:pPr>
              <w:jc w:val="right"/>
              <w:ind w:right="176"/>
              <w:spacing w:after="0"/>
              <w:rPr>
                <w:sz w:val="20"/>
                <w:szCs w:val="20"/>
                <w:color w:val="auto"/>
              </w:rPr>
            </w:pPr>
            <w:r>
              <w:rPr>
                <w:rFonts w:ascii="Arial" w:cs="Arial" w:eastAsia="Arial" w:hAnsi="Arial"/>
                <w:sz w:val="18"/>
                <w:szCs w:val="18"/>
                <w:color w:val="auto"/>
              </w:rPr>
              <w:t>4,120</w:t>
            </w:r>
          </w:p>
        </w:tc>
        <w:tc>
          <w:tcPr>
            <w:tcW w:w="300" w:type="dxa"/>
            <w:vAlign w:val="bottom"/>
          </w:tcPr>
          <w:p>
            <w:pPr>
              <w:spacing w:after="0"/>
              <w:rPr>
                <w:sz w:val="18"/>
                <w:szCs w:val="18"/>
                <w:color w:val="auto"/>
              </w:rPr>
            </w:pPr>
          </w:p>
        </w:tc>
        <w:tc>
          <w:tcPr>
            <w:tcW w:w="760" w:type="dxa"/>
            <w:vAlign w:val="bottom"/>
          </w:tcPr>
          <w:p>
            <w:pPr>
              <w:jc w:val="right"/>
              <w:ind w:right="194"/>
              <w:spacing w:after="0"/>
              <w:rPr>
                <w:sz w:val="20"/>
                <w:szCs w:val="20"/>
                <w:color w:val="auto"/>
              </w:rPr>
            </w:pPr>
            <w:r>
              <w:rPr>
                <w:rFonts w:ascii="Arial" w:cs="Arial" w:eastAsia="Arial" w:hAnsi="Arial"/>
                <w:sz w:val="18"/>
                <w:szCs w:val="18"/>
                <w:color w:val="auto"/>
              </w:rPr>
              <w:t>3,401</w:t>
            </w:r>
          </w:p>
        </w:tc>
        <w:tc>
          <w:tcPr>
            <w:tcW w:w="1040" w:type="dxa"/>
            <w:vAlign w:val="bottom"/>
          </w:tcPr>
          <w:p>
            <w:pPr>
              <w:jc w:val="right"/>
              <w:ind w:right="135"/>
              <w:spacing w:after="0"/>
              <w:rPr>
                <w:sz w:val="20"/>
                <w:szCs w:val="20"/>
                <w:color w:val="auto"/>
              </w:rPr>
            </w:pPr>
            <w:r>
              <w:rPr>
                <w:rFonts w:ascii="Arial" w:cs="Arial" w:eastAsia="Arial" w:hAnsi="Arial"/>
                <w:sz w:val="18"/>
                <w:szCs w:val="18"/>
                <w:color w:val="auto"/>
              </w:rPr>
              <w:t>21.1</w:t>
            </w:r>
          </w:p>
        </w:tc>
      </w:tr>
      <w:tr>
        <w:trPr>
          <w:trHeight w:val="216"/>
        </w:trPr>
        <w:tc>
          <w:tcPr>
            <w:tcW w:w="20" w:type="dxa"/>
            <w:vAlign w:val="bottom"/>
          </w:tcPr>
          <w:p>
            <w:pPr>
              <w:spacing w:after="0"/>
              <w:rPr>
                <w:sz w:val="18"/>
                <w:szCs w:val="18"/>
                <w:color w:val="auto"/>
              </w:rPr>
            </w:pPr>
          </w:p>
        </w:tc>
        <w:tc>
          <w:tcPr>
            <w:tcW w:w="356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Other income (expense) items, net</w:t>
            </w:r>
          </w:p>
        </w:tc>
        <w:tc>
          <w:tcPr>
            <w:tcW w:w="5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16"/>
              <w:spacing w:after="0"/>
              <w:rPr>
                <w:sz w:val="20"/>
                <w:szCs w:val="20"/>
                <w:color w:val="auto"/>
              </w:rPr>
            </w:pPr>
            <w:r>
              <w:rPr>
                <w:rFonts w:ascii="Arial" w:cs="Arial" w:eastAsia="Arial" w:hAnsi="Arial"/>
                <w:sz w:val="18"/>
                <w:szCs w:val="18"/>
                <w:color w:val="auto"/>
              </w:rPr>
              <w:t>(426)</w:t>
            </w:r>
          </w:p>
        </w:tc>
        <w:tc>
          <w:tcPr>
            <w:tcW w:w="3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color w:val="auto"/>
              </w:rPr>
              <w:t>358</w:t>
            </w:r>
          </w:p>
        </w:tc>
        <w:tc>
          <w:tcPr>
            <w:tcW w:w="1220" w:type="dxa"/>
            <w:vAlign w:val="bottom"/>
            <w:tcBorders>
              <w:bottom w:val="single" w:sz="8" w:color="auto"/>
            </w:tcBorders>
            <w:shd w:val="clear" w:color="auto" w:fill="E5E5E5"/>
          </w:tcPr>
          <w:p>
            <w:pPr>
              <w:jc w:val="right"/>
              <w:ind w:right="315"/>
              <w:spacing w:after="0"/>
              <w:rPr>
                <w:sz w:val="20"/>
                <w:szCs w:val="20"/>
                <w:color w:val="auto"/>
              </w:rPr>
            </w:pPr>
            <w:r>
              <w:rPr>
                <w:rFonts w:ascii="Arial" w:cs="Arial" w:eastAsia="Arial" w:hAnsi="Arial"/>
                <w:sz w:val="18"/>
                <w:szCs w:val="18"/>
                <w:color w:val="auto"/>
              </w:rPr>
              <w:t>n/m</w:t>
            </w:r>
          </w:p>
        </w:tc>
        <w:tc>
          <w:tcPr>
            <w:tcW w:w="30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16"/>
              <w:spacing w:after="0"/>
              <w:rPr>
                <w:sz w:val="20"/>
                <w:szCs w:val="20"/>
                <w:color w:val="auto"/>
              </w:rPr>
            </w:pPr>
            <w:r>
              <w:rPr>
                <w:rFonts w:ascii="Arial" w:cs="Arial" w:eastAsia="Arial" w:hAnsi="Arial"/>
                <w:sz w:val="18"/>
                <w:szCs w:val="18"/>
                <w:color w:val="auto"/>
              </w:rPr>
              <w:t>(767)</w:t>
            </w:r>
          </w:p>
        </w:tc>
        <w:tc>
          <w:tcPr>
            <w:tcW w:w="30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(459)</w:t>
            </w:r>
          </w:p>
        </w:tc>
        <w:tc>
          <w:tcPr>
            <w:tcW w:w="104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67.3</w:t>
            </w:r>
          </w:p>
        </w:tc>
      </w:tr>
      <w:tr>
        <w:trPr>
          <w:trHeight w:val="201"/>
        </w:trPr>
        <w:tc>
          <w:tcPr>
            <w:tcW w:w="20" w:type="dxa"/>
            <w:vAlign w:val="bottom"/>
          </w:tcPr>
          <w:p>
            <w:pPr>
              <w:spacing w:after="0"/>
              <w:rPr>
                <w:sz w:val="17"/>
                <w:szCs w:val="17"/>
                <w:color w:val="auto"/>
              </w:rPr>
            </w:pPr>
          </w:p>
        </w:tc>
        <w:tc>
          <w:tcPr>
            <w:tcW w:w="3560" w:type="dxa"/>
            <w:vAlign w:val="bottom"/>
          </w:tcPr>
          <w:p>
            <w:pPr>
              <w:spacing w:after="0" w:line="201" w:lineRule="exact"/>
              <w:rPr>
                <w:sz w:val="20"/>
                <w:szCs w:val="20"/>
                <w:color w:val="auto"/>
              </w:rPr>
            </w:pPr>
            <w:r>
              <w:rPr>
                <w:rFonts w:ascii="Arial" w:cs="Arial" w:eastAsia="Arial" w:hAnsi="Arial"/>
                <w:sz w:val="18"/>
                <w:szCs w:val="18"/>
                <w:color w:val="auto"/>
                <w:w w:val="89"/>
              </w:rPr>
              <w:t>Income from continuing operations before income</w:t>
            </w: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3560" w:type="dxa"/>
            <w:vAlign w:val="bottom"/>
          </w:tcPr>
          <w:p>
            <w:pPr>
              <w:ind w:left="200"/>
              <w:spacing w:after="0"/>
              <w:rPr>
                <w:sz w:val="20"/>
                <w:szCs w:val="20"/>
                <w:color w:val="auto"/>
              </w:rPr>
            </w:pPr>
            <w:r>
              <w:rPr>
                <w:rFonts w:ascii="Arial" w:cs="Arial" w:eastAsia="Arial" w:hAnsi="Arial"/>
                <w:sz w:val="18"/>
                <w:szCs w:val="18"/>
                <w:color w:val="auto"/>
              </w:rPr>
              <w:t>taxes and minority interest</w:t>
            </w:r>
          </w:p>
        </w:tc>
        <w:tc>
          <w:tcPr>
            <w:tcW w:w="580" w:type="dxa"/>
            <w:vAlign w:val="bottom"/>
          </w:tcPr>
          <w:p>
            <w:pPr>
              <w:spacing w:after="0"/>
              <w:rPr>
                <w:sz w:val="19"/>
                <w:szCs w:val="19"/>
                <w:color w:val="auto"/>
              </w:rPr>
            </w:pPr>
          </w:p>
        </w:tc>
        <w:tc>
          <w:tcPr>
            <w:tcW w:w="680" w:type="dxa"/>
            <w:vAlign w:val="bottom"/>
          </w:tcPr>
          <w:p>
            <w:pPr>
              <w:jc w:val="right"/>
              <w:ind w:right="176"/>
              <w:spacing w:after="0"/>
              <w:rPr>
                <w:sz w:val="20"/>
                <w:szCs w:val="20"/>
                <w:color w:val="auto"/>
              </w:rPr>
            </w:pPr>
            <w:r>
              <w:rPr>
                <w:rFonts w:ascii="Arial" w:cs="Arial" w:eastAsia="Arial" w:hAnsi="Arial"/>
                <w:sz w:val="18"/>
                <w:szCs w:val="18"/>
                <w:color w:val="auto"/>
              </w:rPr>
              <w:t>965</w:t>
            </w:r>
          </w:p>
        </w:tc>
        <w:tc>
          <w:tcPr>
            <w:tcW w:w="340" w:type="dxa"/>
            <w:vAlign w:val="bottom"/>
          </w:tcPr>
          <w:p>
            <w:pPr>
              <w:spacing w:after="0"/>
              <w:rPr>
                <w:sz w:val="19"/>
                <w:szCs w:val="19"/>
                <w:color w:val="auto"/>
              </w:rPr>
            </w:pPr>
          </w:p>
        </w:tc>
        <w:tc>
          <w:tcPr>
            <w:tcW w:w="720" w:type="dxa"/>
            <w:vAlign w:val="bottom"/>
          </w:tcPr>
          <w:p>
            <w:pPr>
              <w:jc w:val="right"/>
              <w:ind w:right="174"/>
              <w:spacing w:after="0"/>
              <w:rPr>
                <w:sz w:val="20"/>
                <w:szCs w:val="20"/>
                <w:color w:val="auto"/>
              </w:rPr>
            </w:pPr>
            <w:r>
              <w:rPr>
                <w:rFonts w:ascii="Arial" w:cs="Arial" w:eastAsia="Arial" w:hAnsi="Arial"/>
                <w:sz w:val="18"/>
                <w:szCs w:val="18"/>
                <w:color w:val="auto"/>
                <w:w w:val="97"/>
              </w:rPr>
              <w:t>1,582</w:t>
            </w:r>
          </w:p>
        </w:tc>
        <w:tc>
          <w:tcPr>
            <w:tcW w:w="1220" w:type="dxa"/>
            <w:vAlign w:val="bottom"/>
          </w:tcPr>
          <w:p>
            <w:pPr>
              <w:jc w:val="right"/>
              <w:ind w:right="255"/>
              <w:spacing w:after="0"/>
              <w:rPr>
                <w:sz w:val="20"/>
                <w:szCs w:val="20"/>
                <w:color w:val="auto"/>
              </w:rPr>
            </w:pPr>
            <w:r>
              <w:rPr>
                <w:rFonts w:ascii="Arial" w:cs="Arial" w:eastAsia="Arial" w:hAnsi="Arial"/>
                <w:sz w:val="18"/>
                <w:szCs w:val="18"/>
                <w:color w:val="auto"/>
              </w:rPr>
              <w:t>(39.0)</w:t>
            </w:r>
          </w:p>
        </w:tc>
        <w:tc>
          <w:tcPr>
            <w:tcW w:w="300" w:type="dxa"/>
            <w:vAlign w:val="bottom"/>
          </w:tcPr>
          <w:p>
            <w:pPr>
              <w:spacing w:after="0"/>
              <w:rPr>
                <w:sz w:val="19"/>
                <w:szCs w:val="19"/>
                <w:color w:val="auto"/>
              </w:rPr>
            </w:pPr>
          </w:p>
        </w:tc>
        <w:tc>
          <w:tcPr>
            <w:tcW w:w="760" w:type="dxa"/>
            <w:vAlign w:val="bottom"/>
          </w:tcPr>
          <w:p>
            <w:pPr>
              <w:jc w:val="right"/>
              <w:ind w:right="176"/>
              <w:spacing w:after="0"/>
              <w:rPr>
                <w:sz w:val="20"/>
                <w:szCs w:val="20"/>
                <w:color w:val="auto"/>
              </w:rPr>
            </w:pPr>
            <w:r>
              <w:rPr>
                <w:rFonts w:ascii="Arial" w:cs="Arial" w:eastAsia="Arial" w:hAnsi="Arial"/>
                <w:sz w:val="18"/>
                <w:szCs w:val="18"/>
                <w:color w:val="auto"/>
              </w:rPr>
              <w:t>3,353</w:t>
            </w:r>
          </w:p>
        </w:tc>
        <w:tc>
          <w:tcPr>
            <w:tcW w:w="300" w:type="dxa"/>
            <w:vAlign w:val="bottom"/>
          </w:tcPr>
          <w:p>
            <w:pPr>
              <w:spacing w:after="0"/>
              <w:rPr>
                <w:sz w:val="19"/>
                <w:szCs w:val="19"/>
                <w:color w:val="auto"/>
              </w:rPr>
            </w:pPr>
          </w:p>
        </w:tc>
        <w:tc>
          <w:tcPr>
            <w:tcW w:w="760" w:type="dxa"/>
            <w:vAlign w:val="bottom"/>
          </w:tcPr>
          <w:p>
            <w:pPr>
              <w:jc w:val="right"/>
              <w:ind w:right="194"/>
              <w:spacing w:after="0"/>
              <w:rPr>
                <w:sz w:val="20"/>
                <w:szCs w:val="20"/>
                <w:color w:val="auto"/>
              </w:rPr>
            </w:pPr>
            <w:r>
              <w:rPr>
                <w:rFonts w:ascii="Arial" w:cs="Arial" w:eastAsia="Arial" w:hAnsi="Arial"/>
                <w:sz w:val="18"/>
                <w:szCs w:val="18"/>
                <w:color w:val="auto"/>
              </w:rPr>
              <w:t>2,942</w:t>
            </w:r>
          </w:p>
        </w:tc>
        <w:tc>
          <w:tcPr>
            <w:tcW w:w="1040" w:type="dxa"/>
            <w:vAlign w:val="bottom"/>
          </w:tcPr>
          <w:p>
            <w:pPr>
              <w:jc w:val="right"/>
              <w:ind w:right="135"/>
              <w:spacing w:after="0"/>
              <w:rPr>
                <w:sz w:val="20"/>
                <w:szCs w:val="20"/>
                <w:color w:val="auto"/>
              </w:rPr>
            </w:pPr>
            <w:r>
              <w:rPr>
                <w:rFonts w:ascii="Arial" w:cs="Arial" w:eastAsia="Arial" w:hAnsi="Arial"/>
                <w:sz w:val="18"/>
                <w:szCs w:val="18"/>
                <w:color w:val="auto"/>
              </w:rPr>
              <w:t>14.0</w:t>
            </w:r>
          </w:p>
        </w:tc>
      </w:tr>
      <w:tr>
        <w:trPr>
          <w:trHeight w:val="218"/>
        </w:trPr>
        <w:tc>
          <w:tcPr>
            <w:tcW w:w="20" w:type="dxa"/>
            <w:vAlign w:val="bottom"/>
          </w:tcPr>
          <w:p>
            <w:pPr>
              <w:spacing w:after="0"/>
              <w:rPr>
                <w:sz w:val="18"/>
                <w:szCs w:val="18"/>
                <w:color w:val="auto"/>
              </w:rPr>
            </w:pPr>
          </w:p>
        </w:tc>
        <w:tc>
          <w:tcPr>
            <w:tcW w:w="356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Income tax expense</w:t>
            </w:r>
          </w:p>
        </w:tc>
        <w:tc>
          <w:tcPr>
            <w:tcW w:w="5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16"/>
              <w:spacing w:after="0"/>
              <w:rPr>
                <w:sz w:val="20"/>
                <w:szCs w:val="20"/>
                <w:color w:val="auto"/>
              </w:rPr>
            </w:pPr>
            <w:r>
              <w:rPr>
                <w:rFonts w:ascii="Arial" w:cs="Arial" w:eastAsia="Arial" w:hAnsi="Arial"/>
                <w:sz w:val="18"/>
                <w:szCs w:val="18"/>
                <w:color w:val="auto"/>
              </w:rPr>
              <w:t>(421)</w:t>
            </w:r>
          </w:p>
        </w:tc>
        <w:tc>
          <w:tcPr>
            <w:tcW w:w="3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14"/>
              <w:spacing w:after="0"/>
              <w:rPr>
                <w:sz w:val="20"/>
                <w:szCs w:val="20"/>
                <w:color w:val="auto"/>
              </w:rPr>
            </w:pPr>
            <w:r>
              <w:rPr>
                <w:rFonts w:ascii="Arial" w:cs="Arial" w:eastAsia="Arial" w:hAnsi="Arial"/>
                <w:sz w:val="18"/>
                <w:szCs w:val="18"/>
                <w:color w:val="auto"/>
              </w:rPr>
              <w:t>(610)</w:t>
            </w:r>
          </w:p>
        </w:tc>
        <w:tc>
          <w:tcPr>
            <w:tcW w:w="1220" w:type="dxa"/>
            <w:vAlign w:val="bottom"/>
            <w:tcBorders>
              <w:bottom w:val="single" w:sz="8" w:color="auto"/>
            </w:tcBorders>
            <w:shd w:val="clear" w:color="auto" w:fill="E5E5E5"/>
          </w:tcPr>
          <w:p>
            <w:pPr>
              <w:jc w:val="right"/>
              <w:ind w:right="255"/>
              <w:spacing w:after="0"/>
              <w:rPr>
                <w:sz w:val="20"/>
                <w:szCs w:val="20"/>
                <w:color w:val="auto"/>
              </w:rPr>
            </w:pPr>
            <w:r>
              <w:rPr>
                <w:rFonts w:ascii="Arial" w:cs="Arial" w:eastAsia="Arial" w:hAnsi="Arial"/>
                <w:sz w:val="18"/>
                <w:szCs w:val="18"/>
                <w:color w:val="auto"/>
              </w:rPr>
              <w:t>(30.9)</w:t>
            </w:r>
          </w:p>
        </w:tc>
        <w:tc>
          <w:tcPr>
            <w:tcW w:w="30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16"/>
              <w:spacing w:after="0"/>
              <w:rPr>
                <w:sz w:val="20"/>
                <w:szCs w:val="20"/>
                <w:color w:val="auto"/>
              </w:rPr>
            </w:pPr>
            <w:r>
              <w:rPr>
                <w:rFonts w:ascii="Arial" w:cs="Arial" w:eastAsia="Arial" w:hAnsi="Arial"/>
                <w:sz w:val="18"/>
                <w:szCs w:val="18"/>
                <w:color w:val="auto"/>
                <w:w w:val="94"/>
              </w:rPr>
              <w:t>(1,400)</w:t>
            </w:r>
          </w:p>
        </w:tc>
        <w:tc>
          <w:tcPr>
            <w:tcW w:w="30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w w:val="91"/>
              </w:rPr>
              <w:t>(1,126)</w:t>
            </w:r>
          </w:p>
        </w:tc>
        <w:tc>
          <w:tcPr>
            <w:tcW w:w="104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24.4</w:t>
            </w:r>
          </w:p>
        </w:tc>
      </w:tr>
      <w:tr>
        <w:trPr>
          <w:trHeight w:val="201"/>
        </w:trPr>
        <w:tc>
          <w:tcPr>
            <w:tcW w:w="20" w:type="dxa"/>
            <w:vAlign w:val="bottom"/>
          </w:tcPr>
          <w:p>
            <w:pPr>
              <w:spacing w:after="0"/>
              <w:rPr>
                <w:sz w:val="17"/>
                <w:szCs w:val="17"/>
                <w:color w:val="auto"/>
              </w:rPr>
            </w:pPr>
          </w:p>
        </w:tc>
        <w:tc>
          <w:tcPr>
            <w:tcW w:w="3560" w:type="dxa"/>
            <w:vAlign w:val="bottom"/>
          </w:tcPr>
          <w:p>
            <w:pPr>
              <w:spacing w:after="0" w:line="201" w:lineRule="exact"/>
              <w:rPr>
                <w:sz w:val="20"/>
                <w:szCs w:val="20"/>
                <w:color w:val="auto"/>
              </w:rPr>
            </w:pPr>
            <w:r>
              <w:rPr>
                <w:rFonts w:ascii="Arial" w:cs="Arial" w:eastAsia="Arial" w:hAnsi="Arial"/>
                <w:sz w:val="18"/>
                <w:szCs w:val="18"/>
                <w:color w:val="auto"/>
              </w:rPr>
              <w:t>Income from continuing operations before</w:t>
            </w: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3560" w:type="dxa"/>
            <w:vAlign w:val="bottom"/>
          </w:tcPr>
          <w:p>
            <w:pPr>
              <w:ind w:left="200"/>
              <w:spacing w:after="0"/>
              <w:rPr>
                <w:sz w:val="20"/>
                <w:szCs w:val="20"/>
                <w:color w:val="auto"/>
              </w:rPr>
            </w:pPr>
            <w:r>
              <w:rPr>
                <w:rFonts w:ascii="Arial" w:cs="Arial" w:eastAsia="Arial" w:hAnsi="Arial"/>
                <w:sz w:val="18"/>
                <w:szCs w:val="18"/>
                <w:color w:val="auto"/>
              </w:rPr>
              <w:t>minority interest</w:t>
            </w:r>
          </w:p>
        </w:tc>
        <w:tc>
          <w:tcPr>
            <w:tcW w:w="580" w:type="dxa"/>
            <w:vAlign w:val="bottom"/>
          </w:tcPr>
          <w:p>
            <w:pPr>
              <w:spacing w:after="0"/>
              <w:rPr>
                <w:sz w:val="19"/>
                <w:szCs w:val="19"/>
                <w:color w:val="auto"/>
              </w:rPr>
            </w:pPr>
          </w:p>
        </w:tc>
        <w:tc>
          <w:tcPr>
            <w:tcW w:w="680" w:type="dxa"/>
            <w:vAlign w:val="bottom"/>
          </w:tcPr>
          <w:p>
            <w:pPr>
              <w:jc w:val="right"/>
              <w:ind w:right="176"/>
              <w:spacing w:after="0"/>
              <w:rPr>
                <w:sz w:val="20"/>
                <w:szCs w:val="20"/>
                <w:color w:val="auto"/>
              </w:rPr>
            </w:pPr>
            <w:r>
              <w:rPr>
                <w:rFonts w:ascii="Arial" w:cs="Arial" w:eastAsia="Arial" w:hAnsi="Arial"/>
                <w:sz w:val="18"/>
                <w:szCs w:val="18"/>
                <w:color w:val="auto"/>
              </w:rPr>
              <w:t>544</w:t>
            </w:r>
          </w:p>
        </w:tc>
        <w:tc>
          <w:tcPr>
            <w:tcW w:w="340" w:type="dxa"/>
            <w:vAlign w:val="bottom"/>
          </w:tcPr>
          <w:p>
            <w:pPr>
              <w:spacing w:after="0"/>
              <w:rPr>
                <w:sz w:val="19"/>
                <w:szCs w:val="19"/>
                <w:color w:val="auto"/>
              </w:rPr>
            </w:pPr>
          </w:p>
        </w:tc>
        <w:tc>
          <w:tcPr>
            <w:tcW w:w="720" w:type="dxa"/>
            <w:vAlign w:val="bottom"/>
          </w:tcPr>
          <w:p>
            <w:pPr>
              <w:jc w:val="right"/>
              <w:ind w:right="174"/>
              <w:spacing w:after="0"/>
              <w:rPr>
                <w:sz w:val="20"/>
                <w:szCs w:val="20"/>
                <w:color w:val="auto"/>
              </w:rPr>
            </w:pPr>
            <w:r>
              <w:rPr>
                <w:rFonts w:ascii="Arial" w:cs="Arial" w:eastAsia="Arial" w:hAnsi="Arial"/>
                <w:sz w:val="18"/>
                <w:szCs w:val="18"/>
                <w:color w:val="auto"/>
              </w:rPr>
              <w:t>972</w:t>
            </w:r>
          </w:p>
        </w:tc>
        <w:tc>
          <w:tcPr>
            <w:tcW w:w="1220" w:type="dxa"/>
            <w:vAlign w:val="bottom"/>
          </w:tcPr>
          <w:p>
            <w:pPr>
              <w:jc w:val="right"/>
              <w:ind w:right="255"/>
              <w:spacing w:after="0"/>
              <w:rPr>
                <w:sz w:val="20"/>
                <w:szCs w:val="20"/>
                <w:color w:val="auto"/>
              </w:rPr>
            </w:pPr>
            <w:r>
              <w:rPr>
                <w:rFonts w:ascii="Arial" w:cs="Arial" w:eastAsia="Arial" w:hAnsi="Arial"/>
                <w:sz w:val="18"/>
                <w:szCs w:val="18"/>
                <w:color w:val="auto"/>
              </w:rPr>
              <w:t>(44.1)</w:t>
            </w:r>
          </w:p>
        </w:tc>
        <w:tc>
          <w:tcPr>
            <w:tcW w:w="300" w:type="dxa"/>
            <w:vAlign w:val="bottom"/>
          </w:tcPr>
          <w:p>
            <w:pPr>
              <w:spacing w:after="0"/>
              <w:rPr>
                <w:sz w:val="19"/>
                <w:szCs w:val="19"/>
                <w:color w:val="auto"/>
              </w:rPr>
            </w:pPr>
          </w:p>
        </w:tc>
        <w:tc>
          <w:tcPr>
            <w:tcW w:w="760" w:type="dxa"/>
            <w:vAlign w:val="bottom"/>
          </w:tcPr>
          <w:p>
            <w:pPr>
              <w:jc w:val="right"/>
              <w:ind w:right="176"/>
              <w:spacing w:after="0"/>
              <w:rPr>
                <w:sz w:val="20"/>
                <w:szCs w:val="20"/>
                <w:color w:val="auto"/>
              </w:rPr>
            </w:pPr>
            <w:r>
              <w:rPr>
                <w:rFonts w:ascii="Arial" w:cs="Arial" w:eastAsia="Arial" w:hAnsi="Arial"/>
                <w:sz w:val="18"/>
                <w:szCs w:val="18"/>
                <w:color w:val="auto"/>
              </w:rPr>
              <w:t>1,953</w:t>
            </w:r>
          </w:p>
        </w:tc>
        <w:tc>
          <w:tcPr>
            <w:tcW w:w="300" w:type="dxa"/>
            <w:vAlign w:val="bottom"/>
          </w:tcPr>
          <w:p>
            <w:pPr>
              <w:spacing w:after="0"/>
              <w:rPr>
                <w:sz w:val="19"/>
                <w:szCs w:val="19"/>
                <w:color w:val="auto"/>
              </w:rPr>
            </w:pPr>
          </w:p>
        </w:tc>
        <w:tc>
          <w:tcPr>
            <w:tcW w:w="760" w:type="dxa"/>
            <w:vAlign w:val="bottom"/>
          </w:tcPr>
          <w:p>
            <w:pPr>
              <w:jc w:val="right"/>
              <w:ind w:right="194"/>
              <w:spacing w:after="0"/>
              <w:rPr>
                <w:sz w:val="20"/>
                <w:szCs w:val="20"/>
                <w:color w:val="auto"/>
              </w:rPr>
            </w:pPr>
            <w:r>
              <w:rPr>
                <w:rFonts w:ascii="Arial" w:cs="Arial" w:eastAsia="Arial" w:hAnsi="Arial"/>
                <w:sz w:val="18"/>
                <w:szCs w:val="18"/>
                <w:color w:val="auto"/>
              </w:rPr>
              <w:t>1,816</w:t>
            </w:r>
          </w:p>
        </w:tc>
        <w:tc>
          <w:tcPr>
            <w:tcW w:w="1040" w:type="dxa"/>
            <w:vAlign w:val="bottom"/>
          </w:tcPr>
          <w:p>
            <w:pPr>
              <w:jc w:val="right"/>
              <w:ind w:right="135"/>
              <w:spacing w:after="0"/>
              <w:rPr>
                <w:sz w:val="20"/>
                <w:szCs w:val="20"/>
                <w:color w:val="auto"/>
              </w:rPr>
            </w:pPr>
            <w:r>
              <w:rPr>
                <w:rFonts w:ascii="Arial" w:cs="Arial" w:eastAsia="Arial" w:hAnsi="Arial"/>
                <w:sz w:val="18"/>
                <w:szCs w:val="18"/>
                <w:color w:val="auto"/>
              </w:rPr>
              <w:t>7.5</w:t>
            </w:r>
          </w:p>
        </w:tc>
      </w:tr>
      <w:tr>
        <w:trPr>
          <w:trHeight w:val="218"/>
        </w:trPr>
        <w:tc>
          <w:tcPr>
            <w:tcW w:w="20" w:type="dxa"/>
            <w:vAlign w:val="bottom"/>
          </w:tcPr>
          <w:p>
            <w:pPr>
              <w:spacing w:after="0"/>
              <w:rPr>
                <w:sz w:val="18"/>
                <w:szCs w:val="18"/>
                <w:color w:val="auto"/>
              </w:rPr>
            </w:pPr>
          </w:p>
        </w:tc>
        <w:tc>
          <w:tcPr>
            <w:tcW w:w="356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Minority interest</w:t>
            </w:r>
          </w:p>
        </w:tc>
        <w:tc>
          <w:tcPr>
            <w:tcW w:w="5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76"/>
              <w:spacing w:after="0"/>
              <w:rPr>
                <w:sz w:val="20"/>
                <w:szCs w:val="20"/>
                <w:color w:val="auto"/>
              </w:rPr>
            </w:pPr>
            <w:r>
              <w:rPr>
                <w:rFonts w:ascii="Arial" w:cs="Arial" w:eastAsia="Arial" w:hAnsi="Arial"/>
                <w:sz w:val="18"/>
                <w:szCs w:val="18"/>
                <w:color w:val="auto"/>
              </w:rPr>
              <w:t>16</w:t>
            </w:r>
          </w:p>
        </w:tc>
        <w:tc>
          <w:tcPr>
            <w:tcW w:w="3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14"/>
              <w:spacing w:after="0"/>
              <w:rPr>
                <w:sz w:val="20"/>
                <w:szCs w:val="20"/>
                <w:color w:val="auto"/>
              </w:rPr>
            </w:pPr>
            <w:r>
              <w:rPr>
                <w:rFonts w:ascii="Arial" w:cs="Arial" w:eastAsia="Arial" w:hAnsi="Arial"/>
                <w:sz w:val="18"/>
                <w:szCs w:val="18"/>
                <w:color w:val="auto"/>
              </w:rPr>
              <w:t>(3)</w:t>
            </w:r>
          </w:p>
        </w:tc>
        <w:tc>
          <w:tcPr>
            <w:tcW w:w="1220" w:type="dxa"/>
            <w:vAlign w:val="bottom"/>
            <w:tcBorders>
              <w:bottom w:val="single" w:sz="8" w:color="auto"/>
            </w:tcBorders>
            <w:shd w:val="clear" w:color="auto" w:fill="E5E5E5"/>
          </w:tcPr>
          <w:p>
            <w:pPr>
              <w:jc w:val="right"/>
              <w:ind w:right="315"/>
              <w:spacing w:after="0"/>
              <w:rPr>
                <w:sz w:val="20"/>
                <w:szCs w:val="20"/>
                <w:color w:val="auto"/>
              </w:rPr>
            </w:pPr>
            <w:r>
              <w:rPr>
                <w:rFonts w:ascii="Arial" w:cs="Arial" w:eastAsia="Arial" w:hAnsi="Arial"/>
                <w:sz w:val="18"/>
                <w:szCs w:val="18"/>
                <w:color w:val="auto"/>
              </w:rPr>
              <w:t>n/m</w:t>
            </w:r>
          </w:p>
        </w:tc>
        <w:tc>
          <w:tcPr>
            <w:tcW w:w="30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76"/>
              <w:spacing w:after="0"/>
              <w:rPr>
                <w:sz w:val="20"/>
                <w:szCs w:val="20"/>
                <w:color w:val="auto"/>
              </w:rPr>
            </w:pPr>
            <w:r>
              <w:rPr>
                <w:rFonts w:ascii="Arial" w:cs="Arial" w:eastAsia="Arial" w:hAnsi="Arial"/>
                <w:sz w:val="18"/>
                <w:szCs w:val="18"/>
                <w:color w:val="auto"/>
              </w:rPr>
              <w:t>32</w:t>
            </w:r>
          </w:p>
        </w:tc>
        <w:tc>
          <w:tcPr>
            <w:tcW w:w="30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(10)</w:t>
            </w:r>
          </w:p>
        </w:tc>
        <w:tc>
          <w:tcPr>
            <w:tcW w:w="104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n/m</w:t>
            </w:r>
          </w:p>
        </w:tc>
      </w:tr>
      <w:tr>
        <w:trPr>
          <w:trHeight w:val="210"/>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b w:val="1"/>
                <w:bCs w:val="1"/>
                <w:color w:val="auto"/>
              </w:rPr>
              <w:t>Income from continuing operations</w:t>
            </w:r>
          </w:p>
        </w:tc>
        <w:tc>
          <w:tcPr>
            <w:tcW w:w="580" w:type="dxa"/>
            <w:vAlign w:val="bottom"/>
          </w:tcPr>
          <w:p>
            <w:pPr>
              <w:spacing w:after="0"/>
              <w:rPr>
                <w:sz w:val="18"/>
                <w:szCs w:val="18"/>
                <w:color w:val="auto"/>
              </w:rPr>
            </w:pPr>
          </w:p>
        </w:tc>
        <w:tc>
          <w:tcPr>
            <w:tcW w:w="680" w:type="dxa"/>
            <w:vAlign w:val="bottom"/>
          </w:tcPr>
          <w:p>
            <w:pPr>
              <w:jc w:val="right"/>
              <w:ind w:right="176"/>
              <w:spacing w:after="0"/>
              <w:rPr>
                <w:sz w:val="20"/>
                <w:szCs w:val="20"/>
                <w:color w:val="auto"/>
              </w:rPr>
            </w:pPr>
            <w:r>
              <w:rPr>
                <w:rFonts w:ascii="Arial" w:cs="Arial" w:eastAsia="Arial" w:hAnsi="Arial"/>
                <w:sz w:val="18"/>
                <w:szCs w:val="18"/>
                <w:b w:val="1"/>
                <w:bCs w:val="1"/>
                <w:color w:val="auto"/>
              </w:rPr>
              <w:t>560</w:t>
            </w:r>
          </w:p>
        </w:tc>
        <w:tc>
          <w:tcPr>
            <w:tcW w:w="340" w:type="dxa"/>
            <w:vAlign w:val="bottom"/>
          </w:tcPr>
          <w:p>
            <w:pPr>
              <w:spacing w:after="0"/>
              <w:rPr>
                <w:sz w:val="18"/>
                <w:szCs w:val="18"/>
                <w:color w:val="auto"/>
              </w:rPr>
            </w:pPr>
          </w:p>
        </w:tc>
        <w:tc>
          <w:tcPr>
            <w:tcW w:w="720" w:type="dxa"/>
            <w:vAlign w:val="bottom"/>
          </w:tcPr>
          <w:p>
            <w:pPr>
              <w:jc w:val="right"/>
              <w:ind w:right="174"/>
              <w:spacing w:after="0"/>
              <w:rPr>
                <w:sz w:val="20"/>
                <w:szCs w:val="20"/>
                <w:color w:val="auto"/>
              </w:rPr>
            </w:pPr>
            <w:r>
              <w:rPr>
                <w:rFonts w:ascii="Arial" w:cs="Arial" w:eastAsia="Arial" w:hAnsi="Arial"/>
                <w:sz w:val="18"/>
                <w:szCs w:val="18"/>
                <w:b w:val="1"/>
                <w:bCs w:val="1"/>
                <w:color w:val="auto"/>
              </w:rPr>
              <w:t>969</w:t>
            </w:r>
          </w:p>
        </w:tc>
        <w:tc>
          <w:tcPr>
            <w:tcW w:w="1220" w:type="dxa"/>
            <w:vAlign w:val="bottom"/>
          </w:tcPr>
          <w:p>
            <w:pPr>
              <w:jc w:val="right"/>
              <w:ind w:right="255"/>
              <w:spacing w:after="0"/>
              <w:rPr>
                <w:sz w:val="20"/>
                <w:szCs w:val="20"/>
                <w:color w:val="auto"/>
              </w:rPr>
            </w:pPr>
            <w:r>
              <w:rPr>
                <w:rFonts w:ascii="Arial" w:cs="Arial" w:eastAsia="Arial" w:hAnsi="Arial"/>
                <w:sz w:val="18"/>
                <w:szCs w:val="18"/>
                <w:color w:val="auto"/>
              </w:rPr>
              <w:t>(42.3)</w:t>
            </w:r>
          </w:p>
        </w:tc>
        <w:tc>
          <w:tcPr>
            <w:tcW w:w="300" w:type="dxa"/>
            <w:vAlign w:val="bottom"/>
          </w:tcPr>
          <w:p>
            <w:pPr>
              <w:spacing w:after="0"/>
              <w:rPr>
                <w:sz w:val="18"/>
                <w:szCs w:val="18"/>
                <w:color w:val="auto"/>
              </w:rPr>
            </w:pPr>
          </w:p>
        </w:tc>
        <w:tc>
          <w:tcPr>
            <w:tcW w:w="760" w:type="dxa"/>
            <w:vAlign w:val="bottom"/>
          </w:tcPr>
          <w:p>
            <w:pPr>
              <w:jc w:val="right"/>
              <w:ind w:right="176"/>
              <w:spacing w:after="0"/>
              <w:rPr>
                <w:sz w:val="20"/>
                <w:szCs w:val="20"/>
                <w:color w:val="auto"/>
              </w:rPr>
            </w:pPr>
            <w:r>
              <w:rPr>
                <w:rFonts w:ascii="Arial" w:cs="Arial" w:eastAsia="Arial" w:hAnsi="Arial"/>
                <w:sz w:val="18"/>
                <w:szCs w:val="18"/>
                <w:b w:val="1"/>
                <w:bCs w:val="1"/>
                <w:color w:val="auto"/>
              </w:rPr>
              <w:t>1,985</w:t>
            </w:r>
          </w:p>
        </w:tc>
        <w:tc>
          <w:tcPr>
            <w:tcW w:w="300" w:type="dxa"/>
            <w:vAlign w:val="bottom"/>
          </w:tcPr>
          <w:p>
            <w:pPr>
              <w:spacing w:after="0"/>
              <w:rPr>
                <w:sz w:val="18"/>
                <w:szCs w:val="18"/>
                <w:color w:val="auto"/>
              </w:rPr>
            </w:pPr>
          </w:p>
        </w:tc>
        <w:tc>
          <w:tcPr>
            <w:tcW w:w="760" w:type="dxa"/>
            <w:vAlign w:val="bottom"/>
          </w:tcPr>
          <w:p>
            <w:pPr>
              <w:jc w:val="right"/>
              <w:ind w:right="194"/>
              <w:spacing w:after="0"/>
              <w:rPr>
                <w:sz w:val="20"/>
                <w:szCs w:val="20"/>
                <w:color w:val="auto"/>
              </w:rPr>
            </w:pPr>
            <w:r>
              <w:rPr>
                <w:rFonts w:ascii="Arial" w:cs="Arial" w:eastAsia="Arial" w:hAnsi="Arial"/>
                <w:sz w:val="18"/>
                <w:szCs w:val="18"/>
                <w:b w:val="1"/>
                <w:bCs w:val="1"/>
                <w:color w:val="auto"/>
              </w:rPr>
              <w:t>1,806</w:t>
            </w:r>
          </w:p>
        </w:tc>
        <w:tc>
          <w:tcPr>
            <w:tcW w:w="1040" w:type="dxa"/>
            <w:vAlign w:val="bottom"/>
          </w:tcPr>
          <w:p>
            <w:pPr>
              <w:jc w:val="right"/>
              <w:ind w:right="135"/>
              <w:spacing w:after="0"/>
              <w:rPr>
                <w:sz w:val="20"/>
                <w:szCs w:val="20"/>
                <w:color w:val="auto"/>
              </w:rPr>
            </w:pPr>
            <w:r>
              <w:rPr>
                <w:rFonts w:ascii="Arial" w:cs="Arial" w:eastAsia="Arial" w:hAnsi="Arial"/>
                <w:sz w:val="18"/>
                <w:szCs w:val="18"/>
                <w:color w:val="auto"/>
              </w:rPr>
              <w:t>9.9</w:t>
            </w:r>
          </w:p>
        </w:tc>
      </w:tr>
      <w:tr>
        <w:trPr>
          <w:trHeight w:val="216"/>
        </w:trPr>
        <w:tc>
          <w:tcPr>
            <w:tcW w:w="20" w:type="dxa"/>
            <w:vAlign w:val="bottom"/>
          </w:tcPr>
          <w:p>
            <w:pPr>
              <w:spacing w:after="0"/>
              <w:rPr>
                <w:sz w:val="18"/>
                <w:szCs w:val="18"/>
                <w:color w:val="auto"/>
              </w:rPr>
            </w:pPr>
          </w:p>
        </w:tc>
        <w:tc>
          <w:tcPr>
            <w:tcW w:w="3560" w:type="dxa"/>
            <w:vAlign w:val="bottom"/>
            <w:shd w:val="clear" w:color="auto" w:fill="E5E5E5"/>
          </w:tcPr>
          <w:p>
            <w:pPr>
              <w:spacing w:after="0"/>
              <w:rPr>
                <w:sz w:val="20"/>
                <w:szCs w:val="20"/>
                <w:color w:val="auto"/>
              </w:rPr>
            </w:pPr>
            <w:r>
              <w:rPr>
                <w:rFonts w:ascii="Arial" w:cs="Arial" w:eastAsia="Arial" w:hAnsi="Arial"/>
                <w:sz w:val="18"/>
                <w:szCs w:val="18"/>
                <w:color w:val="auto"/>
                <w:w w:val="93"/>
              </w:rPr>
              <w:t>Income from discontinued operations, net of tax</w:t>
            </w:r>
          </w:p>
        </w:tc>
        <w:tc>
          <w:tcPr>
            <w:tcW w:w="5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76"/>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14</w:t>
            </w:r>
          </w:p>
        </w:tc>
        <w:tc>
          <w:tcPr>
            <w:tcW w:w="1220" w:type="dxa"/>
            <w:vAlign w:val="bottom"/>
            <w:shd w:val="clear" w:color="auto" w:fill="E5E5E5"/>
          </w:tcPr>
          <w:p>
            <w:pPr>
              <w:jc w:val="right"/>
              <w:ind w:right="315"/>
              <w:spacing w:after="0"/>
              <w:rPr>
                <w:sz w:val="20"/>
                <w:szCs w:val="20"/>
                <w:color w:val="auto"/>
              </w:rPr>
            </w:pPr>
            <w:r>
              <w:rPr>
                <w:rFonts w:ascii="Arial" w:cs="Arial" w:eastAsia="Arial" w:hAnsi="Arial"/>
                <w:sz w:val="18"/>
                <w:szCs w:val="18"/>
                <w:color w:val="auto"/>
              </w:rPr>
              <w:t>n/m</w:t>
            </w: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76"/>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103</w:t>
            </w:r>
          </w:p>
        </w:tc>
        <w:tc>
          <w:tcPr>
            <w:tcW w:w="104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n/m</w:t>
            </w: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Gain (loss) on discontinued operations</w:t>
            </w:r>
          </w:p>
        </w:tc>
        <w:tc>
          <w:tcPr>
            <w:tcW w:w="5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b w:val="1"/>
                <w:bCs w:val="1"/>
                <w:color w:val="auto"/>
              </w:rPr>
              <w:t>234</w:t>
            </w:r>
          </w:p>
        </w:tc>
        <w:tc>
          <w:tcPr>
            <w:tcW w:w="1220" w:type="dxa"/>
            <w:vAlign w:val="bottom"/>
            <w:tcBorders>
              <w:bottom w:val="single" w:sz="8" w:color="auto"/>
            </w:tcBorders>
          </w:tcPr>
          <w:p>
            <w:pPr>
              <w:jc w:val="right"/>
              <w:ind w:right="315"/>
              <w:spacing w:after="0"/>
              <w:rPr>
                <w:sz w:val="20"/>
                <w:szCs w:val="20"/>
                <w:color w:val="auto"/>
              </w:rPr>
            </w:pPr>
            <w:r>
              <w:rPr>
                <w:rFonts w:ascii="Arial" w:cs="Arial" w:eastAsia="Arial" w:hAnsi="Arial"/>
                <w:sz w:val="18"/>
                <w:szCs w:val="18"/>
                <w:color w:val="auto"/>
              </w:rPr>
              <w:t>n/m</w:t>
            </w: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234</w:t>
            </w:r>
          </w:p>
        </w:tc>
        <w:tc>
          <w:tcPr>
            <w:tcW w:w="104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n/m</w:t>
            </w:r>
          </w:p>
        </w:tc>
      </w:tr>
      <w:tr>
        <w:trPr>
          <w:trHeight w:val="217"/>
        </w:trPr>
        <w:tc>
          <w:tcPr>
            <w:tcW w:w="20" w:type="dxa"/>
            <w:vAlign w:val="bottom"/>
          </w:tcPr>
          <w:p>
            <w:pPr>
              <w:spacing w:after="0"/>
              <w:rPr>
                <w:sz w:val="18"/>
                <w:szCs w:val="18"/>
                <w:color w:val="auto"/>
              </w:rPr>
            </w:pPr>
          </w:p>
        </w:tc>
        <w:tc>
          <w:tcPr>
            <w:tcW w:w="356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b w:val="1"/>
                <w:bCs w:val="1"/>
                <w:color w:val="auto"/>
              </w:rPr>
              <w:t>Net income</w:t>
            </w:r>
          </w:p>
        </w:tc>
        <w:tc>
          <w:tcPr>
            <w:tcW w:w="5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176"/>
              <w:spacing w:after="0"/>
              <w:rPr>
                <w:sz w:val="20"/>
                <w:szCs w:val="20"/>
                <w:color w:val="auto"/>
              </w:rPr>
            </w:pPr>
            <w:r>
              <w:rPr>
                <w:rFonts w:ascii="Arial" w:cs="Arial" w:eastAsia="Arial" w:hAnsi="Arial"/>
                <w:sz w:val="18"/>
                <w:szCs w:val="18"/>
                <w:b w:val="1"/>
                <w:bCs w:val="1"/>
                <w:color w:val="auto"/>
              </w:rPr>
              <w:t>560</w:t>
            </w:r>
          </w:p>
        </w:tc>
        <w:tc>
          <w:tcPr>
            <w:tcW w:w="3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b w:val="1"/>
                <w:bCs w:val="1"/>
                <w:color w:val="auto"/>
                <w:w w:val="97"/>
              </w:rPr>
              <w:t>1,217</w:t>
            </w:r>
          </w:p>
        </w:tc>
        <w:tc>
          <w:tcPr>
            <w:tcW w:w="1220" w:type="dxa"/>
            <w:vAlign w:val="bottom"/>
            <w:tcBorders>
              <w:bottom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color w:val="auto"/>
              </w:rPr>
              <w:t>(54.0)%</w:t>
            </w:r>
          </w:p>
        </w:tc>
        <w:tc>
          <w:tcPr>
            <w:tcW w:w="3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E5E5E5"/>
          </w:tcPr>
          <w:p>
            <w:pPr>
              <w:jc w:val="right"/>
              <w:ind w:right="176"/>
              <w:spacing w:after="0"/>
              <w:rPr>
                <w:sz w:val="20"/>
                <w:szCs w:val="20"/>
                <w:color w:val="auto"/>
              </w:rPr>
            </w:pPr>
            <w:r>
              <w:rPr>
                <w:rFonts w:ascii="Arial" w:cs="Arial" w:eastAsia="Arial" w:hAnsi="Arial"/>
                <w:sz w:val="18"/>
                <w:szCs w:val="18"/>
                <w:b w:val="1"/>
                <w:bCs w:val="1"/>
                <w:color w:val="auto"/>
              </w:rPr>
              <w:t>1,985</w:t>
            </w:r>
          </w:p>
        </w:tc>
        <w:tc>
          <w:tcPr>
            <w:tcW w:w="3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E5E5E5"/>
          </w:tcPr>
          <w:p>
            <w:pPr>
              <w:jc w:val="right"/>
              <w:ind w:right="194"/>
              <w:spacing w:after="0"/>
              <w:rPr>
                <w:sz w:val="20"/>
                <w:szCs w:val="20"/>
                <w:color w:val="auto"/>
              </w:rPr>
            </w:pPr>
            <w:r>
              <w:rPr>
                <w:rFonts w:ascii="Arial" w:cs="Arial" w:eastAsia="Arial" w:hAnsi="Arial"/>
                <w:sz w:val="18"/>
                <w:szCs w:val="18"/>
                <w:b w:val="1"/>
                <w:bCs w:val="1"/>
                <w:color w:val="auto"/>
              </w:rPr>
              <w:t>2,143</w:t>
            </w:r>
          </w:p>
        </w:tc>
        <w:tc>
          <w:tcPr>
            <w:tcW w:w="10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(7.4)%</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All percentages are calculated based on actual amounts. Minor differences may exist due to rounding.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Revenues</w:t>
      </w:r>
    </w:p>
    <w:p>
      <w:pPr>
        <w:spacing w:after="0" w:line="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Cable and Programming segments accounted for substantially all of the increases in consolidated revenues for the three and nine months ended September 30, 2007 compared to the same periods in 2006. Cable segment and Programming segment revenues are discussed separately below in “Segment Operating Results.” The remaining changes relate to our other business activities, primarily Comcast Spectacor and growth in Comcast Interactive Media.</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Operating, Selling, General and Administrative Expenses</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Cable and Programming segments accounted for substantially all of the increases in consolidated operating, selling, general and administrative expenses for the three and nine months ended September 30, 2007 compared to the same periods in 2006. Cable segment and Programming segment operating, selling, general and administrative expenses are discussed separately below in “Segment Operating Results.” The remaining increases relate to our other business activities, including expanding our Comcast Interactive Media business, the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COMCAST CORPORATION AND SUBSIDIARIES — FORM 10-Q</w:t>
      </w:r>
    </w:p>
    <w:p>
      <w:pPr>
        <w:jc w:val="center"/>
        <w:ind w:right="-19"/>
        <w:spacing w:after="0"/>
        <w:rPr>
          <w:sz w:val="20"/>
          <w:szCs w:val="20"/>
          <w:color w:val="auto"/>
        </w:rPr>
      </w:pPr>
      <w:r>
        <w:rPr>
          <w:rFonts w:ascii="Arial" w:cs="Arial" w:eastAsia="Arial" w:hAnsi="Arial"/>
          <w:sz w:val="18"/>
          <w:szCs w:val="18"/>
          <w:color w:val="auto"/>
        </w:rPr>
        <w:t>QUARTER ENDED SEPTEMBER 30, 2007</w:t>
      </w:r>
    </w:p>
    <w:p>
      <w:pPr>
        <w:spacing w:after="0" w:line="133" w:lineRule="exact"/>
        <w:rPr>
          <w:sz w:val="20"/>
          <w:szCs w:val="20"/>
          <w:color w:val="auto"/>
        </w:rPr>
      </w:pPr>
    </w:p>
    <w:p>
      <w:pPr>
        <w:ind w:right="2200"/>
        <w:spacing w:after="0" w:line="352" w:lineRule="auto"/>
        <w:rPr>
          <w:sz w:val="20"/>
          <w:szCs w:val="20"/>
          <w:color w:val="auto"/>
        </w:rPr>
      </w:pPr>
      <w:r>
        <w:rPr>
          <w:rFonts w:ascii="Arial" w:cs="Arial" w:eastAsia="Arial" w:hAnsi="Arial"/>
          <w:sz w:val="18"/>
          <w:szCs w:val="18"/>
          <w:color w:val="auto"/>
        </w:rPr>
        <w:t xml:space="preserve">settlement of litigation in October 2007 (see Note 11), and player contract termination costs at Comcast Spectacor in January 2007. </w:t>
      </w:r>
      <w:r>
        <w:rPr>
          <w:rFonts w:ascii="Arial" w:cs="Arial" w:eastAsia="Arial" w:hAnsi="Arial"/>
          <w:sz w:val="18"/>
          <w:szCs w:val="18"/>
          <w:b w:val="1"/>
          <w:bCs w:val="1"/>
          <w:color w:val="auto"/>
        </w:rPr>
        <w:t>Consolidated Depreciation and Amortization</w:t>
      </w:r>
    </w:p>
    <w:p>
      <w:pPr>
        <w:spacing w:after="0" w:line="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increases in depreciation expense for the three and nine months ended September 30, 2007 compared to the same periods in 2006 are primarily a result of the effects of capital expenditures and the depreciation associated with our newly acquired cable systems.</w:t>
      </w:r>
    </w:p>
    <w:p>
      <w:pPr>
        <w:spacing w:after="0" w:line="37"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The increase in amortization expense for the nine months ended September 30, 2007 compared to the same period in 2006 is primarily a result of the increase in the amortization expense of our franchise-related customer relationship intangible assets associated with our newly acquired cable systems.</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Segment Operating Results</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Certain adjustments have been made to our 2006 segment presentation to conform to our 2007 management reporting presentation. See Note 12 to our consolidated financial statements for further discussion of these adjustments.</w:t>
      </w:r>
    </w:p>
    <w:p>
      <w:pPr>
        <w:spacing w:after="0" w:line="3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To measure the performance of our operating segments, we use operating income before depreciation and amortization, excluding impairment charges related to fixed and intangible assets, and gains or losses from the sale of assets, if any. This measure eliminates the significant level of noncash depreciation and amortization expense that results from the capital-intensive nature of our businesses and from intangible assets recognized in business combinations. It is also unaffected by our capital structure or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that of other companies in our industries, although our measure may not be directly comparable to similar measures used by other companies. Because we use this metric to measure our segment profit or loss, we reconcile it to operating income, the most directly comparable financial measure calculated and presented in accordance with generally accepted accounting principles in the United States (“GAAP”) in the business segment footnote to our consolidated financial statements (see Note 12). You should not consider this measure a substitute for operating income (loss), net income (loss), net cash provided by operating activities, or other measures of performance or liquidity we have reported in accordance with GAAP.</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Segment Operating Results</w:t>
      </w:r>
    </w:p>
    <w:p>
      <w:pPr>
        <w:spacing w:after="0" w:line="74"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 comparability of the results of operations of our Cable segment is impacted by the acquisition of the cable system serving Houston, Texas in January 2007, the Adelphia and Time Warner transactions in July 2006, and other smaller cable acquisitions. For segment reporting purposes we have included the operating results of the Houston cable system beginning August 1, 2006. We collectively refer to the cable systems acquired in these transactions as the “newly acquired cable systems.” The newly acquired cable systems accounted for approximately $415 million and $2.5 billion of increased revenues for the three and nine months ended September 30, 2007, respectively.</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SEPTEMBER 30, 2007</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present our Cable segment operating results:</w:t>
      </w:r>
    </w:p>
    <w:p>
      <w:pPr>
        <w:spacing w:after="0" w:line="6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60" w:type="dxa"/>
            <w:vAlign w:val="bottom"/>
            <w:gridSpan w:val="3"/>
          </w:tcPr>
          <w:p>
            <w:pPr>
              <w:jc w:val="center"/>
              <w:ind w:right="214"/>
              <w:spacing w:after="0"/>
              <w:rPr>
                <w:sz w:val="20"/>
                <w:szCs w:val="20"/>
                <w:color w:val="auto"/>
              </w:rPr>
            </w:pPr>
            <w:r>
              <w:rPr>
                <w:rFonts w:ascii="Arial" w:cs="Arial" w:eastAsia="Arial" w:hAnsi="Arial"/>
                <w:sz w:val="14"/>
                <w:szCs w:val="14"/>
                <w:b w:val="1"/>
                <w:bCs w:val="1"/>
                <w:color w:val="auto"/>
                <w:w w:val="89"/>
              </w:rPr>
              <w:t>Three Months Ended</w:t>
            </w: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30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4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center"/>
              <w:ind w:right="194"/>
              <w:spacing w:after="0"/>
              <w:rPr>
                <w:sz w:val="20"/>
                <w:szCs w:val="20"/>
                <w:color w:val="auto"/>
              </w:rPr>
            </w:pPr>
            <w:r>
              <w:rPr>
                <w:rFonts w:ascii="Arial" w:cs="Arial" w:eastAsia="Arial" w:hAnsi="Arial"/>
                <w:sz w:val="14"/>
                <w:szCs w:val="14"/>
                <w:b w:val="1"/>
                <w:bCs w:val="1"/>
                <w:color w:val="auto"/>
                <w:w w:val="85"/>
              </w:rPr>
              <w:t>September 30,</w:t>
            </w:r>
          </w:p>
        </w:tc>
        <w:tc>
          <w:tcPr>
            <w:tcW w:w="3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Increase/(Decrease)</w:t>
            </w:r>
          </w:p>
        </w:tc>
        <w:tc>
          <w:tcPr>
            <w:tcW w:w="0" w:type="dxa"/>
            <w:vAlign w:val="bottom"/>
          </w:tcPr>
          <w:p>
            <w:pPr>
              <w:spacing w:after="0"/>
              <w:rPr>
                <w:sz w:val="1"/>
                <w:szCs w:val="1"/>
                <w:color w:val="auto"/>
              </w:rPr>
            </w:pPr>
          </w:p>
        </w:tc>
      </w:tr>
      <w:tr>
        <w:trPr>
          <w:trHeight w:val="142"/>
        </w:trPr>
        <w:tc>
          <w:tcPr>
            <w:tcW w:w="630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right"/>
              <w:ind w:right="257"/>
              <w:spacing w:after="0" w:line="142" w:lineRule="exact"/>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2"/>
                <w:szCs w:val="12"/>
                <w:color w:val="auto"/>
              </w:rPr>
            </w:pPr>
          </w:p>
        </w:tc>
        <w:tc>
          <w:tcPr>
            <w:tcW w:w="680" w:type="dxa"/>
            <w:vAlign w:val="bottom"/>
          </w:tcPr>
          <w:p>
            <w:pPr>
              <w:jc w:val="right"/>
              <w:ind w:right="274"/>
              <w:spacing w:after="0" w:line="142" w:lineRule="exact"/>
              <w:rPr>
                <w:sz w:val="20"/>
                <w:szCs w:val="20"/>
                <w:color w:val="auto"/>
              </w:rPr>
            </w:pPr>
            <w:r>
              <w:rPr>
                <w:rFonts w:ascii="Arial" w:cs="Arial" w:eastAsia="Arial" w:hAnsi="Arial"/>
                <w:sz w:val="14"/>
                <w:szCs w:val="14"/>
                <w:b w:val="1"/>
                <w:bCs w:val="1"/>
                <w:color w:val="auto"/>
                <w:w w:val="96"/>
              </w:rPr>
              <w:t>2006</w:t>
            </w:r>
          </w:p>
        </w:tc>
        <w:tc>
          <w:tcPr>
            <w:tcW w:w="320" w:type="dxa"/>
            <w:vAlign w:val="bottom"/>
          </w:tcPr>
          <w:p>
            <w:pPr>
              <w:spacing w:after="0"/>
              <w:rPr>
                <w:sz w:val="12"/>
                <w:szCs w:val="12"/>
                <w:color w:val="auto"/>
              </w:rPr>
            </w:pPr>
          </w:p>
        </w:tc>
        <w:tc>
          <w:tcPr>
            <w:tcW w:w="700" w:type="dxa"/>
            <w:vAlign w:val="bottom"/>
          </w:tcPr>
          <w:p>
            <w:pPr>
              <w:jc w:val="right"/>
              <w:ind w:right="416"/>
              <w:spacing w:after="0" w:line="142" w:lineRule="exact"/>
              <w:rPr>
                <w:sz w:val="20"/>
                <w:szCs w:val="20"/>
                <w:color w:val="auto"/>
              </w:rPr>
            </w:pPr>
            <w:r>
              <w:rPr>
                <w:rFonts w:ascii="Arial" w:cs="Arial" w:eastAsia="Arial" w:hAnsi="Arial"/>
                <w:sz w:val="14"/>
                <w:szCs w:val="14"/>
                <w:b w:val="1"/>
                <w:bCs w:val="1"/>
                <w:color w:val="auto"/>
              </w:rPr>
              <w:t>$</w:t>
            </w:r>
          </w:p>
        </w:tc>
        <w:tc>
          <w:tcPr>
            <w:tcW w:w="820" w:type="dxa"/>
            <w:vAlign w:val="bottom"/>
          </w:tcPr>
          <w:p>
            <w:pPr>
              <w:ind w:left="320"/>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Video</w:t>
            </w:r>
          </w:p>
        </w:tc>
        <w:tc>
          <w:tcPr>
            <w:tcW w:w="4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E5E5"/>
          </w:tcPr>
          <w:p>
            <w:pPr>
              <w:jc w:val="right"/>
              <w:ind w:right="117"/>
              <w:spacing w:after="0"/>
              <w:rPr>
                <w:sz w:val="20"/>
                <w:szCs w:val="20"/>
                <w:color w:val="auto"/>
              </w:rPr>
            </w:pPr>
            <w:r>
              <w:rPr>
                <w:rFonts w:ascii="Arial" w:cs="Arial" w:eastAsia="Arial" w:hAnsi="Arial"/>
                <w:sz w:val="18"/>
                <w:szCs w:val="18"/>
                <w:color w:val="auto"/>
              </w:rPr>
              <w:t>4,395</w:t>
            </w:r>
          </w:p>
        </w:tc>
        <w:tc>
          <w:tcPr>
            <w:tcW w:w="3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E5E5"/>
          </w:tcPr>
          <w:p>
            <w:pPr>
              <w:jc w:val="right"/>
              <w:ind w:right="114"/>
              <w:spacing w:after="0"/>
              <w:rPr>
                <w:sz w:val="20"/>
                <w:szCs w:val="20"/>
                <w:color w:val="auto"/>
              </w:rPr>
            </w:pPr>
            <w:r>
              <w:rPr>
                <w:rFonts w:ascii="Arial" w:cs="Arial" w:eastAsia="Arial" w:hAnsi="Arial"/>
                <w:sz w:val="18"/>
                <w:szCs w:val="18"/>
                <w:color w:val="auto"/>
              </w:rPr>
              <w:t>3,946</w:t>
            </w:r>
          </w:p>
        </w:tc>
        <w:tc>
          <w:tcPr>
            <w:tcW w:w="3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E5E5E5"/>
          </w:tcPr>
          <w:p>
            <w:pPr>
              <w:jc w:val="right"/>
              <w:ind w:right="156"/>
              <w:spacing w:after="0"/>
              <w:rPr>
                <w:sz w:val="20"/>
                <w:szCs w:val="20"/>
                <w:color w:val="auto"/>
              </w:rPr>
            </w:pPr>
            <w:r>
              <w:rPr>
                <w:rFonts w:ascii="Arial" w:cs="Arial" w:eastAsia="Arial" w:hAnsi="Arial"/>
                <w:sz w:val="18"/>
                <w:szCs w:val="18"/>
                <w:color w:val="auto"/>
              </w:rPr>
              <w:t>449</w:t>
            </w:r>
          </w:p>
        </w:tc>
        <w:tc>
          <w:tcPr>
            <w:tcW w:w="820" w:type="dxa"/>
            <w:vAlign w:val="bottom"/>
            <w:tcBorders>
              <w:top w:val="single" w:sz="8" w:color="auto"/>
            </w:tcBorders>
            <w:shd w:val="clear" w:color="auto" w:fill="E5E5E5"/>
          </w:tcPr>
          <w:p>
            <w:pPr>
              <w:ind w:left="320"/>
              <w:spacing w:after="0"/>
              <w:rPr>
                <w:sz w:val="20"/>
                <w:szCs w:val="20"/>
                <w:color w:val="auto"/>
              </w:rPr>
            </w:pPr>
            <w:r>
              <w:rPr>
                <w:rFonts w:ascii="Arial" w:cs="Arial" w:eastAsia="Arial" w:hAnsi="Arial"/>
                <w:sz w:val="18"/>
                <w:szCs w:val="18"/>
                <w:color w:val="auto"/>
                <w:w w:val="93"/>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High-speed Internet</w:t>
            </w:r>
          </w:p>
        </w:tc>
        <w:tc>
          <w:tcPr>
            <w:tcW w:w="480" w:type="dxa"/>
            <w:vAlign w:val="bottom"/>
          </w:tcPr>
          <w:p>
            <w:pPr>
              <w:spacing w:after="0"/>
              <w:rPr>
                <w:sz w:val="18"/>
                <w:szCs w:val="18"/>
                <w:color w:val="auto"/>
              </w:rPr>
            </w:pPr>
          </w:p>
        </w:tc>
        <w:tc>
          <w:tcPr>
            <w:tcW w:w="680" w:type="dxa"/>
            <w:vAlign w:val="bottom"/>
          </w:tcPr>
          <w:p>
            <w:pPr>
              <w:jc w:val="right"/>
              <w:ind w:right="117"/>
              <w:spacing w:after="0"/>
              <w:rPr>
                <w:sz w:val="20"/>
                <w:szCs w:val="20"/>
                <w:color w:val="auto"/>
              </w:rPr>
            </w:pPr>
            <w:r>
              <w:rPr>
                <w:rFonts w:ascii="Arial" w:cs="Arial" w:eastAsia="Arial" w:hAnsi="Arial"/>
                <w:sz w:val="18"/>
                <w:szCs w:val="18"/>
                <w:color w:val="auto"/>
              </w:rPr>
              <w:t>1,624</w:t>
            </w:r>
          </w:p>
        </w:tc>
        <w:tc>
          <w:tcPr>
            <w:tcW w:w="300" w:type="dxa"/>
            <w:vAlign w:val="bottom"/>
          </w:tcPr>
          <w:p>
            <w:pPr>
              <w:spacing w:after="0"/>
              <w:rPr>
                <w:sz w:val="18"/>
                <w:szCs w:val="18"/>
                <w:color w:val="auto"/>
              </w:rPr>
            </w:pPr>
          </w:p>
        </w:tc>
        <w:tc>
          <w:tcPr>
            <w:tcW w:w="680" w:type="dxa"/>
            <w:vAlign w:val="bottom"/>
          </w:tcPr>
          <w:p>
            <w:pPr>
              <w:jc w:val="right"/>
              <w:ind w:right="114"/>
              <w:spacing w:after="0"/>
              <w:rPr>
                <w:sz w:val="20"/>
                <w:szCs w:val="20"/>
                <w:color w:val="auto"/>
              </w:rPr>
            </w:pPr>
            <w:r>
              <w:rPr>
                <w:rFonts w:ascii="Arial" w:cs="Arial" w:eastAsia="Arial" w:hAnsi="Arial"/>
                <w:sz w:val="18"/>
                <w:szCs w:val="18"/>
                <w:color w:val="auto"/>
              </w:rPr>
              <w:t>1,315</w:t>
            </w:r>
          </w:p>
        </w:tc>
        <w:tc>
          <w:tcPr>
            <w:tcW w:w="320" w:type="dxa"/>
            <w:vAlign w:val="bottom"/>
          </w:tcPr>
          <w:p>
            <w:pPr>
              <w:spacing w:after="0"/>
              <w:rPr>
                <w:sz w:val="18"/>
                <w:szCs w:val="18"/>
                <w:color w:val="auto"/>
              </w:rPr>
            </w:pPr>
          </w:p>
        </w:tc>
        <w:tc>
          <w:tcPr>
            <w:tcW w:w="700" w:type="dxa"/>
            <w:vAlign w:val="bottom"/>
          </w:tcPr>
          <w:p>
            <w:pPr>
              <w:jc w:val="right"/>
              <w:ind w:right="156"/>
              <w:spacing w:after="0"/>
              <w:rPr>
                <w:sz w:val="20"/>
                <w:szCs w:val="20"/>
                <w:color w:val="auto"/>
              </w:rPr>
            </w:pPr>
            <w:r>
              <w:rPr>
                <w:rFonts w:ascii="Arial" w:cs="Arial" w:eastAsia="Arial" w:hAnsi="Arial"/>
                <w:sz w:val="18"/>
                <w:szCs w:val="18"/>
                <w:color w:val="auto"/>
              </w:rPr>
              <w:t>309</w:t>
            </w:r>
          </w:p>
        </w:tc>
        <w:tc>
          <w:tcPr>
            <w:tcW w:w="820" w:type="dxa"/>
            <w:vAlign w:val="bottom"/>
          </w:tcPr>
          <w:p>
            <w:pPr>
              <w:ind w:left="32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E5E5E5"/>
          </w:tcPr>
          <w:p>
            <w:pPr>
              <w:spacing w:after="0"/>
              <w:rPr>
                <w:sz w:val="20"/>
                <w:szCs w:val="20"/>
                <w:color w:val="auto"/>
              </w:rPr>
            </w:pPr>
            <w:r>
              <w:rPr>
                <w:rFonts w:ascii="Arial" w:cs="Arial" w:eastAsia="Arial" w:hAnsi="Arial"/>
                <w:sz w:val="18"/>
                <w:szCs w:val="18"/>
                <w:color w:val="auto"/>
              </w:rPr>
              <w:t>Phone</w:t>
            </w:r>
          </w:p>
        </w:tc>
        <w:tc>
          <w:tcPr>
            <w:tcW w:w="4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7"/>
              <w:spacing w:after="0"/>
              <w:rPr>
                <w:sz w:val="20"/>
                <w:szCs w:val="20"/>
                <w:color w:val="auto"/>
              </w:rPr>
            </w:pPr>
            <w:r>
              <w:rPr>
                <w:rFonts w:ascii="Arial" w:cs="Arial" w:eastAsia="Arial" w:hAnsi="Arial"/>
                <w:sz w:val="18"/>
                <w:szCs w:val="18"/>
                <w:color w:val="auto"/>
              </w:rPr>
              <w:t>470</w:t>
            </w:r>
          </w:p>
        </w:tc>
        <w:tc>
          <w:tcPr>
            <w:tcW w:w="3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246</w:t>
            </w:r>
          </w:p>
        </w:tc>
        <w:tc>
          <w:tcPr>
            <w:tcW w:w="3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6"/>
              <w:spacing w:after="0"/>
              <w:rPr>
                <w:sz w:val="20"/>
                <w:szCs w:val="20"/>
                <w:color w:val="auto"/>
              </w:rPr>
            </w:pPr>
            <w:r>
              <w:rPr>
                <w:rFonts w:ascii="Arial" w:cs="Arial" w:eastAsia="Arial" w:hAnsi="Arial"/>
                <w:sz w:val="18"/>
                <w:szCs w:val="18"/>
                <w:color w:val="auto"/>
              </w:rPr>
              <w:t>224</w:t>
            </w:r>
          </w:p>
        </w:tc>
        <w:tc>
          <w:tcPr>
            <w:tcW w:w="820" w:type="dxa"/>
            <w:vAlign w:val="bottom"/>
            <w:shd w:val="clear" w:color="auto" w:fill="E5E5E5"/>
          </w:tcPr>
          <w:p>
            <w:pPr>
              <w:ind w:left="320"/>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Advertising</w:t>
            </w:r>
          </w:p>
        </w:tc>
        <w:tc>
          <w:tcPr>
            <w:tcW w:w="480" w:type="dxa"/>
            <w:vAlign w:val="bottom"/>
          </w:tcPr>
          <w:p>
            <w:pPr>
              <w:spacing w:after="0"/>
              <w:rPr>
                <w:sz w:val="18"/>
                <w:szCs w:val="18"/>
                <w:color w:val="auto"/>
              </w:rPr>
            </w:pPr>
          </w:p>
        </w:tc>
        <w:tc>
          <w:tcPr>
            <w:tcW w:w="680" w:type="dxa"/>
            <w:vAlign w:val="bottom"/>
          </w:tcPr>
          <w:p>
            <w:pPr>
              <w:jc w:val="right"/>
              <w:ind w:right="117"/>
              <w:spacing w:after="0"/>
              <w:rPr>
                <w:sz w:val="20"/>
                <w:szCs w:val="20"/>
                <w:color w:val="auto"/>
              </w:rPr>
            </w:pPr>
            <w:r>
              <w:rPr>
                <w:rFonts w:ascii="Arial" w:cs="Arial" w:eastAsia="Arial" w:hAnsi="Arial"/>
                <w:sz w:val="18"/>
                <w:szCs w:val="18"/>
                <w:color w:val="auto"/>
              </w:rPr>
              <w:t>407</w:t>
            </w:r>
          </w:p>
        </w:tc>
        <w:tc>
          <w:tcPr>
            <w:tcW w:w="300" w:type="dxa"/>
            <w:vAlign w:val="bottom"/>
          </w:tcPr>
          <w:p>
            <w:pPr>
              <w:spacing w:after="0"/>
              <w:rPr>
                <w:sz w:val="18"/>
                <w:szCs w:val="18"/>
                <w:color w:val="auto"/>
              </w:rPr>
            </w:pPr>
          </w:p>
        </w:tc>
        <w:tc>
          <w:tcPr>
            <w:tcW w:w="680" w:type="dxa"/>
            <w:vAlign w:val="bottom"/>
          </w:tcPr>
          <w:p>
            <w:pPr>
              <w:jc w:val="right"/>
              <w:ind w:right="114"/>
              <w:spacing w:after="0"/>
              <w:rPr>
                <w:sz w:val="20"/>
                <w:szCs w:val="20"/>
                <w:color w:val="auto"/>
              </w:rPr>
            </w:pPr>
            <w:r>
              <w:rPr>
                <w:rFonts w:ascii="Arial" w:cs="Arial" w:eastAsia="Arial" w:hAnsi="Arial"/>
                <w:sz w:val="18"/>
                <w:szCs w:val="18"/>
                <w:color w:val="auto"/>
              </w:rPr>
              <w:t>365</w:t>
            </w:r>
          </w:p>
        </w:tc>
        <w:tc>
          <w:tcPr>
            <w:tcW w:w="320" w:type="dxa"/>
            <w:vAlign w:val="bottom"/>
          </w:tcPr>
          <w:p>
            <w:pPr>
              <w:spacing w:after="0"/>
              <w:rPr>
                <w:sz w:val="18"/>
                <w:szCs w:val="18"/>
                <w:color w:val="auto"/>
              </w:rPr>
            </w:pPr>
          </w:p>
        </w:tc>
        <w:tc>
          <w:tcPr>
            <w:tcW w:w="700" w:type="dxa"/>
            <w:vAlign w:val="bottom"/>
          </w:tcPr>
          <w:p>
            <w:pPr>
              <w:jc w:val="right"/>
              <w:ind w:right="156"/>
              <w:spacing w:after="0"/>
              <w:rPr>
                <w:sz w:val="20"/>
                <w:szCs w:val="20"/>
                <w:color w:val="auto"/>
              </w:rPr>
            </w:pPr>
            <w:r>
              <w:rPr>
                <w:rFonts w:ascii="Arial" w:cs="Arial" w:eastAsia="Arial" w:hAnsi="Arial"/>
                <w:sz w:val="18"/>
                <w:szCs w:val="18"/>
                <w:color w:val="auto"/>
              </w:rPr>
              <w:t>42</w:t>
            </w:r>
          </w:p>
        </w:tc>
        <w:tc>
          <w:tcPr>
            <w:tcW w:w="820" w:type="dxa"/>
            <w:vAlign w:val="bottom"/>
          </w:tcPr>
          <w:p>
            <w:pPr>
              <w:ind w:left="32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E5E5E5"/>
          </w:tcPr>
          <w:p>
            <w:pPr>
              <w:spacing w:after="0"/>
              <w:rPr>
                <w:sz w:val="20"/>
                <w:szCs w:val="20"/>
                <w:color w:val="auto"/>
              </w:rPr>
            </w:pPr>
            <w:r>
              <w:rPr>
                <w:rFonts w:ascii="Arial" w:cs="Arial" w:eastAsia="Arial" w:hAnsi="Arial"/>
                <w:sz w:val="18"/>
                <w:szCs w:val="18"/>
                <w:color w:val="auto"/>
              </w:rPr>
              <w:t>Other</w:t>
            </w:r>
          </w:p>
        </w:tc>
        <w:tc>
          <w:tcPr>
            <w:tcW w:w="4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7"/>
              <w:spacing w:after="0"/>
              <w:rPr>
                <w:sz w:val="20"/>
                <w:szCs w:val="20"/>
                <w:color w:val="auto"/>
              </w:rPr>
            </w:pPr>
            <w:r>
              <w:rPr>
                <w:rFonts w:ascii="Arial" w:cs="Arial" w:eastAsia="Arial" w:hAnsi="Arial"/>
                <w:sz w:val="18"/>
                <w:szCs w:val="18"/>
                <w:color w:val="auto"/>
              </w:rPr>
              <w:t>296</w:t>
            </w:r>
          </w:p>
        </w:tc>
        <w:tc>
          <w:tcPr>
            <w:tcW w:w="3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238</w:t>
            </w:r>
          </w:p>
        </w:tc>
        <w:tc>
          <w:tcPr>
            <w:tcW w:w="3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6"/>
              <w:spacing w:after="0"/>
              <w:rPr>
                <w:sz w:val="20"/>
                <w:szCs w:val="20"/>
                <w:color w:val="auto"/>
              </w:rPr>
            </w:pPr>
            <w:r>
              <w:rPr>
                <w:rFonts w:ascii="Arial" w:cs="Arial" w:eastAsia="Arial" w:hAnsi="Arial"/>
                <w:sz w:val="18"/>
                <w:szCs w:val="18"/>
                <w:color w:val="auto"/>
              </w:rPr>
              <w:t>58</w:t>
            </w:r>
          </w:p>
        </w:tc>
        <w:tc>
          <w:tcPr>
            <w:tcW w:w="820" w:type="dxa"/>
            <w:vAlign w:val="bottom"/>
            <w:shd w:val="clear" w:color="auto" w:fill="E5E5E5"/>
          </w:tcPr>
          <w:p>
            <w:pPr>
              <w:ind w:left="32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Franchise fees</w:t>
            </w:r>
          </w:p>
        </w:tc>
        <w:tc>
          <w:tcPr>
            <w:tcW w:w="4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color w:val="auto"/>
              </w:rPr>
              <w:t>208</w:t>
            </w: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188</w:t>
            </w: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rPr>
              <w:t>20</w:t>
            </w:r>
          </w:p>
        </w:tc>
        <w:tc>
          <w:tcPr>
            <w:tcW w:w="8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Revenues</w:t>
            </w:r>
          </w:p>
        </w:tc>
        <w:tc>
          <w:tcPr>
            <w:tcW w:w="4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7"/>
              <w:spacing w:after="0"/>
              <w:rPr>
                <w:sz w:val="20"/>
                <w:szCs w:val="20"/>
                <w:color w:val="auto"/>
              </w:rPr>
            </w:pPr>
            <w:r>
              <w:rPr>
                <w:rFonts w:ascii="Arial" w:cs="Arial" w:eastAsia="Arial" w:hAnsi="Arial"/>
                <w:sz w:val="18"/>
                <w:szCs w:val="18"/>
                <w:color w:val="auto"/>
              </w:rPr>
              <w:t>7,400</w:t>
            </w:r>
          </w:p>
        </w:tc>
        <w:tc>
          <w:tcPr>
            <w:tcW w:w="3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6,298</w:t>
            </w:r>
          </w:p>
        </w:tc>
        <w:tc>
          <w:tcPr>
            <w:tcW w:w="3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6"/>
              <w:spacing w:after="0"/>
              <w:rPr>
                <w:sz w:val="20"/>
                <w:szCs w:val="20"/>
                <w:color w:val="auto"/>
              </w:rPr>
            </w:pPr>
            <w:r>
              <w:rPr>
                <w:rFonts w:ascii="Arial" w:cs="Arial" w:eastAsia="Arial" w:hAnsi="Arial"/>
                <w:sz w:val="18"/>
                <w:szCs w:val="18"/>
                <w:color w:val="auto"/>
                <w:w w:val="97"/>
              </w:rPr>
              <w:t>1,102</w:t>
            </w:r>
          </w:p>
        </w:tc>
        <w:tc>
          <w:tcPr>
            <w:tcW w:w="820" w:type="dxa"/>
            <w:vAlign w:val="bottom"/>
            <w:shd w:val="clear" w:color="auto" w:fill="E5E5E5"/>
          </w:tcPr>
          <w:p>
            <w:pPr>
              <w:ind w:left="32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Operating expenses</w:t>
            </w:r>
          </w:p>
        </w:tc>
        <w:tc>
          <w:tcPr>
            <w:tcW w:w="480" w:type="dxa"/>
            <w:vAlign w:val="bottom"/>
          </w:tcPr>
          <w:p>
            <w:pPr>
              <w:spacing w:after="0"/>
              <w:rPr>
                <w:sz w:val="18"/>
                <w:szCs w:val="18"/>
                <w:color w:val="auto"/>
              </w:rPr>
            </w:pPr>
          </w:p>
        </w:tc>
        <w:tc>
          <w:tcPr>
            <w:tcW w:w="680" w:type="dxa"/>
            <w:vAlign w:val="bottom"/>
          </w:tcPr>
          <w:p>
            <w:pPr>
              <w:jc w:val="right"/>
              <w:ind w:right="117"/>
              <w:spacing w:after="0"/>
              <w:rPr>
                <w:sz w:val="20"/>
                <w:szCs w:val="20"/>
                <w:color w:val="auto"/>
              </w:rPr>
            </w:pPr>
            <w:r>
              <w:rPr>
                <w:rFonts w:ascii="Arial" w:cs="Arial" w:eastAsia="Arial" w:hAnsi="Arial"/>
                <w:sz w:val="18"/>
                <w:szCs w:val="18"/>
                <w:color w:val="auto"/>
              </w:rPr>
              <w:t>2,615</w:t>
            </w:r>
          </w:p>
        </w:tc>
        <w:tc>
          <w:tcPr>
            <w:tcW w:w="300" w:type="dxa"/>
            <w:vAlign w:val="bottom"/>
          </w:tcPr>
          <w:p>
            <w:pPr>
              <w:spacing w:after="0"/>
              <w:rPr>
                <w:sz w:val="18"/>
                <w:szCs w:val="18"/>
                <w:color w:val="auto"/>
              </w:rPr>
            </w:pPr>
          </w:p>
        </w:tc>
        <w:tc>
          <w:tcPr>
            <w:tcW w:w="680" w:type="dxa"/>
            <w:vAlign w:val="bottom"/>
          </w:tcPr>
          <w:p>
            <w:pPr>
              <w:jc w:val="right"/>
              <w:ind w:right="114"/>
              <w:spacing w:after="0"/>
              <w:rPr>
                <w:sz w:val="20"/>
                <w:szCs w:val="20"/>
                <w:color w:val="auto"/>
              </w:rPr>
            </w:pPr>
            <w:r>
              <w:rPr>
                <w:rFonts w:ascii="Arial" w:cs="Arial" w:eastAsia="Arial" w:hAnsi="Arial"/>
                <w:sz w:val="18"/>
                <w:szCs w:val="18"/>
                <w:color w:val="auto"/>
              </w:rPr>
              <w:t>2,229</w:t>
            </w:r>
          </w:p>
        </w:tc>
        <w:tc>
          <w:tcPr>
            <w:tcW w:w="320" w:type="dxa"/>
            <w:vAlign w:val="bottom"/>
          </w:tcPr>
          <w:p>
            <w:pPr>
              <w:spacing w:after="0"/>
              <w:rPr>
                <w:sz w:val="18"/>
                <w:szCs w:val="18"/>
                <w:color w:val="auto"/>
              </w:rPr>
            </w:pPr>
          </w:p>
        </w:tc>
        <w:tc>
          <w:tcPr>
            <w:tcW w:w="700" w:type="dxa"/>
            <w:vAlign w:val="bottom"/>
          </w:tcPr>
          <w:p>
            <w:pPr>
              <w:jc w:val="right"/>
              <w:ind w:right="156"/>
              <w:spacing w:after="0"/>
              <w:rPr>
                <w:sz w:val="20"/>
                <w:szCs w:val="20"/>
                <w:color w:val="auto"/>
              </w:rPr>
            </w:pPr>
            <w:r>
              <w:rPr>
                <w:rFonts w:ascii="Arial" w:cs="Arial" w:eastAsia="Arial" w:hAnsi="Arial"/>
                <w:sz w:val="18"/>
                <w:szCs w:val="18"/>
                <w:color w:val="auto"/>
              </w:rPr>
              <w:t>386</w:t>
            </w:r>
          </w:p>
        </w:tc>
        <w:tc>
          <w:tcPr>
            <w:tcW w:w="820" w:type="dxa"/>
            <w:vAlign w:val="bottom"/>
          </w:tcPr>
          <w:p>
            <w:pPr>
              <w:ind w:left="32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Selling, general and administrative expenses</w:t>
            </w:r>
          </w:p>
        </w:tc>
        <w:tc>
          <w:tcPr>
            <w:tcW w:w="4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17"/>
              <w:spacing w:after="0"/>
              <w:rPr>
                <w:sz w:val="20"/>
                <w:szCs w:val="20"/>
                <w:color w:val="auto"/>
              </w:rPr>
            </w:pPr>
            <w:r>
              <w:rPr>
                <w:rFonts w:ascii="Arial" w:cs="Arial" w:eastAsia="Arial" w:hAnsi="Arial"/>
                <w:sz w:val="18"/>
                <w:szCs w:val="18"/>
                <w:color w:val="auto"/>
              </w:rPr>
              <w:t>1,810</w:t>
            </w:r>
          </w:p>
        </w:tc>
        <w:tc>
          <w:tcPr>
            <w:tcW w:w="3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14"/>
              <w:spacing w:after="0"/>
              <w:rPr>
                <w:sz w:val="20"/>
                <w:szCs w:val="20"/>
                <w:color w:val="auto"/>
              </w:rPr>
            </w:pPr>
            <w:r>
              <w:rPr>
                <w:rFonts w:ascii="Arial" w:cs="Arial" w:eastAsia="Arial" w:hAnsi="Arial"/>
                <w:sz w:val="18"/>
                <w:szCs w:val="18"/>
                <w:color w:val="auto"/>
              </w:rPr>
              <w:t>1,571</w:t>
            </w:r>
          </w:p>
        </w:tc>
        <w:tc>
          <w:tcPr>
            <w:tcW w:w="3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56"/>
              <w:spacing w:after="0"/>
              <w:rPr>
                <w:sz w:val="20"/>
                <w:szCs w:val="20"/>
                <w:color w:val="auto"/>
              </w:rPr>
            </w:pPr>
            <w:r>
              <w:rPr>
                <w:rFonts w:ascii="Arial" w:cs="Arial" w:eastAsia="Arial" w:hAnsi="Arial"/>
                <w:sz w:val="18"/>
                <w:szCs w:val="18"/>
                <w:color w:val="auto"/>
              </w:rPr>
              <w:t>239</w:t>
            </w:r>
          </w:p>
        </w:tc>
        <w:tc>
          <w:tcPr>
            <w:tcW w:w="820" w:type="dxa"/>
            <w:vAlign w:val="bottom"/>
            <w:tcBorders>
              <w:bottom w:val="single" w:sz="8" w:color="auto"/>
            </w:tcBorders>
            <w:shd w:val="clear" w:color="auto" w:fill="E5E5E5"/>
          </w:tcPr>
          <w:p>
            <w:pPr>
              <w:ind w:left="32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280" w:type="dxa"/>
            <w:vAlign w:val="bottom"/>
          </w:tcPr>
          <w:p>
            <w:pPr>
              <w:spacing w:after="0" w:line="195" w:lineRule="exact"/>
              <w:rPr>
                <w:sz w:val="20"/>
                <w:szCs w:val="20"/>
                <w:color w:val="auto"/>
              </w:rPr>
            </w:pPr>
            <w:r>
              <w:rPr>
                <w:rFonts w:ascii="Arial" w:cs="Arial" w:eastAsia="Arial" w:hAnsi="Arial"/>
                <w:sz w:val="18"/>
                <w:szCs w:val="18"/>
                <w:b w:val="1"/>
                <w:bCs w:val="1"/>
                <w:color w:val="auto"/>
              </w:rPr>
              <w:t>Operating income before depreciation and</w:t>
            </w:r>
          </w:p>
        </w:tc>
        <w:tc>
          <w:tcPr>
            <w:tcW w:w="4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vMerge w:val="restart"/>
          </w:tcPr>
          <w:p>
            <w:pPr>
              <w:jc w:val="right"/>
              <w:ind w:right="117"/>
              <w:spacing w:after="0"/>
              <w:rPr>
                <w:sz w:val="20"/>
                <w:szCs w:val="20"/>
                <w:color w:val="auto"/>
              </w:rPr>
            </w:pPr>
            <w:r>
              <w:rPr>
                <w:rFonts w:ascii="Arial" w:cs="Arial" w:eastAsia="Arial" w:hAnsi="Arial"/>
                <w:sz w:val="18"/>
                <w:szCs w:val="18"/>
                <w:b w:val="1"/>
                <w:bCs w:val="1"/>
                <w:color w:val="auto"/>
              </w:rPr>
              <w:t>2,975</w:t>
            </w:r>
          </w:p>
        </w:tc>
        <w:tc>
          <w:tcPr>
            <w:tcW w:w="3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vMerge w:val="restart"/>
          </w:tcPr>
          <w:p>
            <w:pPr>
              <w:jc w:val="right"/>
              <w:ind w:right="114"/>
              <w:spacing w:after="0"/>
              <w:rPr>
                <w:sz w:val="20"/>
                <w:szCs w:val="20"/>
                <w:color w:val="auto"/>
              </w:rPr>
            </w:pPr>
            <w:r>
              <w:rPr>
                <w:rFonts w:ascii="Arial" w:cs="Arial" w:eastAsia="Arial" w:hAnsi="Arial"/>
                <w:sz w:val="18"/>
                <w:szCs w:val="18"/>
                <w:b w:val="1"/>
                <w:bCs w:val="1"/>
                <w:color w:val="auto"/>
              </w:rPr>
              <w:t>2,498</w:t>
            </w:r>
          </w:p>
        </w:tc>
        <w:tc>
          <w:tcPr>
            <w:tcW w:w="3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vMerge w:val="restart"/>
          </w:tcPr>
          <w:p>
            <w:pPr>
              <w:jc w:val="right"/>
              <w:ind w:right="156"/>
              <w:spacing w:after="0"/>
              <w:rPr>
                <w:sz w:val="20"/>
                <w:szCs w:val="20"/>
                <w:color w:val="auto"/>
              </w:rPr>
            </w:pPr>
            <w:r>
              <w:rPr>
                <w:rFonts w:ascii="Arial" w:cs="Arial" w:eastAsia="Arial" w:hAnsi="Arial"/>
                <w:sz w:val="18"/>
                <w:szCs w:val="18"/>
                <w:b w:val="1"/>
                <w:bCs w:val="1"/>
                <w:color w:val="auto"/>
              </w:rPr>
              <w:t>477</w:t>
            </w:r>
          </w:p>
        </w:tc>
        <w:tc>
          <w:tcPr>
            <w:tcW w:w="820" w:type="dxa"/>
            <w:vAlign w:val="bottom"/>
            <w:vMerge w:val="restart"/>
          </w:tcPr>
          <w:p>
            <w:pPr>
              <w:ind w:left="320"/>
              <w:spacing w:after="0"/>
              <w:rPr>
                <w:sz w:val="20"/>
                <w:szCs w:val="20"/>
                <w:color w:val="auto"/>
              </w:rPr>
            </w:pPr>
            <w:r>
              <w:rPr>
                <w:rFonts w:ascii="Arial" w:cs="Arial" w:eastAsia="Arial" w:hAnsi="Arial"/>
                <w:sz w:val="18"/>
                <w:szCs w:val="18"/>
                <w:b w:val="1"/>
                <w:bCs w:val="1"/>
                <w:color w:val="auto"/>
                <w:w w:val="93"/>
              </w:rPr>
              <w:t>19.1%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280" w:type="dxa"/>
            <w:vAlign w:val="bottom"/>
          </w:tcPr>
          <w:p>
            <w:pPr>
              <w:ind w:left="200"/>
              <w:spacing w:after="0" w:line="203" w:lineRule="exact"/>
              <w:rPr>
                <w:sz w:val="20"/>
                <w:szCs w:val="20"/>
                <w:color w:val="auto"/>
              </w:rPr>
            </w:pPr>
            <w:r>
              <w:rPr>
                <w:rFonts w:ascii="Arial" w:cs="Arial" w:eastAsia="Arial" w:hAnsi="Arial"/>
                <w:sz w:val="18"/>
                <w:szCs w:val="18"/>
                <w:b w:val="1"/>
                <w:bCs w:val="1"/>
                <w:color w:val="auto"/>
              </w:rPr>
              <w:t>amortization</w:t>
            </w:r>
          </w:p>
        </w:tc>
        <w:tc>
          <w:tcPr>
            <w:tcW w:w="48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60" w:type="dxa"/>
            <w:vAlign w:val="bottom"/>
            <w:gridSpan w:val="3"/>
          </w:tcPr>
          <w:p>
            <w:pPr>
              <w:jc w:val="center"/>
              <w:ind w:right="214"/>
              <w:spacing w:after="0"/>
              <w:rPr>
                <w:sz w:val="20"/>
                <w:szCs w:val="20"/>
                <w:color w:val="auto"/>
              </w:rPr>
            </w:pPr>
            <w:r>
              <w:rPr>
                <w:rFonts w:ascii="Arial" w:cs="Arial" w:eastAsia="Arial" w:hAnsi="Arial"/>
                <w:sz w:val="14"/>
                <w:szCs w:val="14"/>
                <w:b w:val="1"/>
                <w:bCs w:val="1"/>
                <w:color w:val="auto"/>
                <w:w w:val="88"/>
              </w:rPr>
              <w:t>Nine Months Ended</w:t>
            </w: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630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4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center"/>
              <w:ind w:right="194"/>
              <w:spacing w:after="0"/>
              <w:rPr>
                <w:sz w:val="20"/>
                <w:szCs w:val="20"/>
                <w:color w:val="auto"/>
              </w:rPr>
            </w:pPr>
            <w:r>
              <w:rPr>
                <w:rFonts w:ascii="Arial" w:cs="Arial" w:eastAsia="Arial" w:hAnsi="Arial"/>
                <w:sz w:val="14"/>
                <w:szCs w:val="14"/>
                <w:b w:val="1"/>
                <w:bCs w:val="1"/>
                <w:color w:val="auto"/>
                <w:w w:val="85"/>
              </w:rPr>
              <w:t>September 30,</w:t>
            </w:r>
          </w:p>
        </w:tc>
        <w:tc>
          <w:tcPr>
            <w:tcW w:w="3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Increase/(Decrease)</w:t>
            </w:r>
          </w:p>
        </w:tc>
        <w:tc>
          <w:tcPr>
            <w:tcW w:w="0" w:type="dxa"/>
            <w:vAlign w:val="bottom"/>
          </w:tcPr>
          <w:p>
            <w:pPr>
              <w:spacing w:after="0"/>
              <w:rPr>
                <w:sz w:val="1"/>
                <w:szCs w:val="1"/>
                <w:color w:val="auto"/>
              </w:rPr>
            </w:pPr>
          </w:p>
        </w:tc>
      </w:tr>
      <w:tr>
        <w:trPr>
          <w:trHeight w:val="142"/>
        </w:trPr>
        <w:tc>
          <w:tcPr>
            <w:tcW w:w="630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right"/>
              <w:ind w:right="257"/>
              <w:spacing w:after="0" w:line="142" w:lineRule="exact"/>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2"/>
                <w:szCs w:val="12"/>
                <w:color w:val="auto"/>
              </w:rPr>
            </w:pPr>
          </w:p>
        </w:tc>
        <w:tc>
          <w:tcPr>
            <w:tcW w:w="680" w:type="dxa"/>
            <w:vAlign w:val="bottom"/>
          </w:tcPr>
          <w:p>
            <w:pPr>
              <w:jc w:val="right"/>
              <w:ind w:right="274"/>
              <w:spacing w:after="0" w:line="142" w:lineRule="exact"/>
              <w:rPr>
                <w:sz w:val="20"/>
                <w:szCs w:val="20"/>
                <w:color w:val="auto"/>
              </w:rPr>
            </w:pPr>
            <w:r>
              <w:rPr>
                <w:rFonts w:ascii="Arial" w:cs="Arial" w:eastAsia="Arial" w:hAnsi="Arial"/>
                <w:sz w:val="14"/>
                <w:szCs w:val="14"/>
                <w:b w:val="1"/>
                <w:bCs w:val="1"/>
                <w:color w:val="auto"/>
                <w:w w:val="96"/>
              </w:rPr>
              <w:t>2006</w:t>
            </w:r>
          </w:p>
        </w:tc>
        <w:tc>
          <w:tcPr>
            <w:tcW w:w="320" w:type="dxa"/>
            <w:vAlign w:val="bottom"/>
          </w:tcPr>
          <w:p>
            <w:pPr>
              <w:spacing w:after="0"/>
              <w:rPr>
                <w:sz w:val="12"/>
                <w:szCs w:val="12"/>
                <w:color w:val="auto"/>
              </w:rPr>
            </w:pPr>
          </w:p>
        </w:tc>
        <w:tc>
          <w:tcPr>
            <w:tcW w:w="700" w:type="dxa"/>
            <w:vAlign w:val="bottom"/>
          </w:tcPr>
          <w:p>
            <w:pPr>
              <w:jc w:val="right"/>
              <w:ind w:right="416"/>
              <w:spacing w:after="0" w:line="142" w:lineRule="exact"/>
              <w:rPr>
                <w:sz w:val="20"/>
                <w:szCs w:val="20"/>
                <w:color w:val="auto"/>
              </w:rPr>
            </w:pPr>
            <w:r>
              <w:rPr>
                <w:rFonts w:ascii="Arial" w:cs="Arial" w:eastAsia="Arial" w:hAnsi="Arial"/>
                <w:sz w:val="14"/>
                <w:szCs w:val="14"/>
                <w:b w:val="1"/>
                <w:bCs w:val="1"/>
                <w:color w:val="auto"/>
              </w:rPr>
              <w:t>$</w:t>
            </w:r>
          </w:p>
        </w:tc>
        <w:tc>
          <w:tcPr>
            <w:tcW w:w="820" w:type="dxa"/>
            <w:vAlign w:val="bottom"/>
          </w:tcPr>
          <w:p>
            <w:pPr>
              <w:ind w:left="320"/>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Video</w:t>
            </w:r>
          </w:p>
        </w:tc>
        <w:tc>
          <w:tcPr>
            <w:tcW w:w="4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E5E5"/>
          </w:tcPr>
          <w:p>
            <w:pPr>
              <w:jc w:val="right"/>
              <w:ind w:right="117"/>
              <w:spacing w:after="0"/>
              <w:rPr>
                <w:sz w:val="20"/>
                <w:szCs w:val="20"/>
                <w:color w:val="auto"/>
              </w:rPr>
            </w:pPr>
            <w:r>
              <w:rPr>
                <w:rFonts w:ascii="Arial" w:cs="Arial" w:eastAsia="Arial" w:hAnsi="Arial"/>
                <w:sz w:val="18"/>
                <w:szCs w:val="18"/>
                <w:color w:val="auto"/>
                <w:w w:val="83"/>
              </w:rPr>
              <w:t>13,222</w:t>
            </w:r>
          </w:p>
        </w:tc>
        <w:tc>
          <w:tcPr>
            <w:tcW w:w="3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E5E5"/>
          </w:tcPr>
          <w:p>
            <w:pPr>
              <w:jc w:val="right"/>
              <w:ind w:right="114"/>
              <w:spacing w:after="0"/>
              <w:rPr>
                <w:sz w:val="20"/>
                <w:szCs w:val="20"/>
                <w:color w:val="auto"/>
              </w:rPr>
            </w:pPr>
            <w:r>
              <w:rPr>
                <w:rFonts w:ascii="Arial" w:cs="Arial" w:eastAsia="Arial" w:hAnsi="Arial"/>
                <w:sz w:val="18"/>
                <w:szCs w:val="18"/>
                <w:color w:val="auto"/>
                <w:w w:val="83"/>
              </w:rPr>
              <w:t>10,857</w:t>
            </w:r>
          </w:p>
        </w:tc>
        <w:tc>
          <w:tcPr>
            <w:tcW w:w="3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E5E5E5"/>
          </w:tcPr>
          <w:p>
            <w:pPr>
              <w:jc w:val="right"/>
              <w:ind w:right="156"/>
              <w:spacing w:after="0"/>
              <w:rPr>
                <w:sz w:val="20"/>
                <w:szCs w:val="20"/>
                <w:color w:val="auto"/>
              </w:rPr>
            </w:pPr>
            <w:r>
              <w:rPr>
                <w:rFonts w:ascii="Arial" w:cs="Arial" w:eastAsia="Arial" w:hAnsi="Arial"/>
                <w:sz w:val="18"/>
                <w:szCs w:val="18"/>
                <w:color w:val="auto"/>
                <w:w w:val="97"/>
              </w:rPr>
              <w:t>2,365</w:t>
            </w:r>
          </w:p>
        </w:tc>
        <w:tc>
          <w:tcPr>
            <w:tcW w:w="820" w:type="dxa"/>
            <w:vAlign w:val="bottom"/>
            <w:tcBorders>
              <w:top w:val="single" w:sz="8" w:color="auto"/>
            </w:tcBorders>
            <w:shd w:val="clear" w:color="auto" w:fill="E5E5E5"/>
          </w:tcPr>
          <w:p>
            <w:pPr>
              <w:ind w:left="320"/>
              <w:spacing w:after="0"/>
              <w:rPr>
                <w:sz w:val="20"/>
                <w:szCs w:val="20"/>
                <w:color w:val="auto"/>
              </w:rPr>
            </w:pPr>
            <w:r>
              <w:rPr>
                <w:rFonts w:ascii="Arial" w:cs="Arial" w:eastAsia="Arial" w:hAnsi="Arial"/>
                <w:sz w:val="18"/>
                <w:szCs w:val="18"/>
                <w:color w:val="auto"/>
                <w:w w:val="93"/>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High-speed Internet</w:t>
            </w:r>
          </w:p>
        </w:tc>
        <w:tc>
          <w:tcPr>
            <w:tcW w:w="480" w:type="dxa"/>
            <w:vAlign w:val="bottom"/>
          </w:tcPr>
          <w:p>
            <w:pPr>
              <w:spacing w:after="0"/>
              <w:rPr>
                <w:sz w:val="18"/>
                <w:szCs w:val="18"/>
                <w:color w:val="auto"/>
              </w:rPr>
            </w:pPr>
          </w:p>
        </w:tc>
        <w:tc>
          <w:tcPr>
            <w:tcW w:w="680" w:type="dxa"/>
            <w:vAlign w:val="bottom"/>
          </w:tcPr>
          <w:p>
            <w:pPr>
              <w:jc w:val="right"/>
              <w:ind w:right="117"/>
              <w:spacing w:after="0"/>
              <w:rPr>
                <w:sz w:val="20"/>
                <w:szCs w:val="20"/>
                <w:color w:val="auto"/>
              </w:rPr>
            </w:pPr>
            <w:r>
              <w:rPr>
                <w:rFonts w:ascii="Arial" w:cs="Arial" w:eastAsia="Arial" w:hAnsi="Arial"/>
                <w:sz w:val="18"/>
                <w:szCs w:val="18"/>
                <w:color w:val="auto"/>
              </w:rPr>
              <w:t>4,740</w:t>
            </w:r>
          </w:p>
        </w:tc>
        <w:tc>
          <w:tcPr>
            <w:tcW w:w="300" w:type="dxa"/>
            <w:vAlign w:val="bottom"/>
          </w:tcPr>
          <w:p>
            <w:pPr>
              <w:spacing w:after="0"/>
              <w:rPr>
                <w:sz w:val="18"/>
                <w:szCs w:val="18"/>
                <w:color w:val="auto"/>
              </w:rPr>
            </w:pPr>
          </w:p>
        </w:tc>
        <w:tc>
          <w:tcPr>
            <w:tcW w:w="680" w:type="dxa"/>
            <w:vAlign w:val="bottom"/>
          </w:tcPr>
          <w:p>
            <w:pPr>
              <w:jc w:val="right"/>
              <w:ind w:right="114"/>
              <w:spacing w:after="0"/>
              <w:rPr>
                <w:sz w:val="20"/>
                <w:szCs w:val="20"/>
                <w:color w:val="auto"/>
              </w:rPr>
            </w:pPr>
            <w:r>
              <w:rPr>
                <w:rFonts w:ascii="Arial" w:cs="Arial" w:eastAsia="Arial" w:hAnsi="Arial"/>
                <w:sz w:val="18"/>
                <w:szCs w:val="18"/>
                <w:color w:val="auto"/>
              </w:rPr>
              <w:t>3,507</w:t>
            </w:r>
          </w:p>
        </w:tc>
        <w:tc>
          <w:tcPr>
            <w:tcW w:w="320" w:type="dxa"/>
            <w:vAlign w:val="bottom"/>
          </w:tcPr>
          <w:p>
            <w:pPr>
              <w:spacing w:after="0"/>
              <w:rPr>
                <w:sz w:val="18"/>
                <w:szCs w:val="18"/>
                <w:color w:val="auto"/>
              </w:rPr>
            </w:pPr>
          </w:p>
        </w:tc>
        <w:tc>
          <w:tcPr>
            <w:tcW w:w="700" w:type="dxa"/>
            <w:vAlign w:val="bottom"/>
          </w:tcPr>
          <w:p>
            <w:pPr>
              <w:jc w:val="right"/>
              <w:ind w:right="156"/>
              <w:spacing w:after="0"/>
              <w:rPr>
                <w:sz w:val="20"/>
                <w:szCs w:val="20"/>
                <w:color w:val="auto"/>
              </w:rPr>
            </w:pPr>
            <w:r>
              <w:rPr>
                <w:rFonts w:ascii="Arial" w:cs="Arial" w:eastAsia="Arial" w:hAnsi="Arial"/>
                <w:sz w:val="18"/>
                <w:szCs w:val="18"/>
                <w:color w:val="auto"/>
                <w:w w:val="97"/>
              </w:rPr>
              <w:t>1,233</w:t>
            </w:r>
          </w:p>
        </w:tc>
        <w:tc>
          <w:tcPr>
            <w:tcW w:w="820" w:type="dxa"/>
            <w:vAlign w:val="bottom"/>
          </w:tcPr>
          <w:p>
            <w:pPr>
              <w:ind w:left="32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E5E5E5"/>
          </w:tcPr>
          <w:p>
            <w:pPr>
              <w:spacing w:after="0"/>
              <w:rPr>
                <w:sz w:val="20"/>
                <w:szCs w:val="20"/>
                <w:color w:val="auto"/>
              </w:rPr>
            </w:pPr>
            <w:r>
              <w:rPr>
                <w:rFonts w:ascii="Arial" w:cs="Arial" w:eastAsia="Arial" w:hAnsi="Arial"/>
                <w:sz w:val="18"/>
                <w:szCs w:val="18"/>
                <w:color w:val="auto"/>
              </w:rPr>
              <w:t>Phone</w:t>
            </w:r>
          </w:p>
        </w:tc>
        <w:tc>
          <w:tcPr>
            <w:tcW w:w="4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7"/>
              <w:spacing w:after="0"/>
              <w:rPr>
                <w:sz w:val="20"/>
                <w:szCs w:val="20"/>
                <w:color w:val="auto"/>
              </w:rPr>
            </w:pPr>
            <w:r>
              <w:rPr>
                <w:rFonts w:ascii="Arial" w:cs="Arial" w:eastAsia="Arial" w:hAnsi="Arial"/>
                <w:sz w:val="18"/>
                <w:szCs w:val="18"/>
                <w:color w:val="auto"/>
              </w:rPr>
              <w:t>1,243</w:t>
            </w:r>
          </w:p>
        </w:tc>
        <w:tc>
          <w:tcPr>
            <w:tcW w:w="3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609</w:t>
            </w:r>
          </w:p>
        </w:tc>
        <w:tc>
          <w:tcPr>
            <w:tcW w:w="3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6"/>
              <w:spacing w:after="0"/>
              <w:rPr>
                <w:sz w:val="20"/>
                <w:szCs w:val="20"/>
                <w:color w:val="auto"/>
              </w:rPr>
            </w:pPr>
            <w:r>
              <w:rPr>
                <w:rFonts w:ascii="Arial" w:cs="Arial" w:eastAsia="Arial" w:hAnsi="Arial"/>
                <w:sz w:val="18"/>
                <w:szCs w:val="18"/>
                <w:color w:val="auto"/>
              </w:rPr>
              <w:t>634</w:t>
            </w:r>
          </w:p>
        </w:tc>
        <w:tc>
          <w:tcPr>
            <w:tcW w:w="820" w:type="dxa"/>
            <w:vAlign w:val="bottom"/>
            <w:shd w:val="clear" w:color="auto" w:fill="E5E5E5"/>
          </w:tcPr>
          <w:p>
            <w:pPr>
              <w:ind w:left="240"/>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Advertising</w:t>
            </w:r>
          </w:p>
        </w:tc>
        <w:tc>
          <w:tcPr>
            <w:tcW w:w="480" w:type="dxa"/>
            <w:vAlign w:val="bottom"/>
          </w:tcPr>
          <w:p>
            <w:pPr>
              <w:spacing w:after="0"/>
              <w:rPr>
                <w:sz w:val="18"/>
                <w:szCs w:val="18"/>
                <w:color w:val="auto"/>
              </w:rPr>
            </w:pPr>
          </w:p>
        </w:tc>
        <w:tc>
          <w:tcPr>
            <w:tcW w:w="680" w:type="dxa"/>
            <w:vAlign w:val="bottom"/>
          </w:tcPr>
          <w:p>
            <w:pPr>
              <w:jc w:val="right"/>
              <w:ind w:right="117"/>
              <w:spacing w:after="0"/>
              <w:rPr>
                <w:sz w:val="20"/>
                <w:szCs w:val="20"/>
                <w:color w:val="auto"/>
              </w:rPr>
            </w:pPr>
            <w:r>
              <w:rPr>
                <w:rFonts w:ascii="Arial" w:cs="Arial" w:eastAsia="Arial" w:hAnsi="Arial"/>
                <w:sz w:val="18"/>
                <w:szCs w:val="18"/>
                <w:color w:val="auto"/>
              </w:rPr>
              <w:t>1,119</w:t>
            </w:r>
          </w:p>
        </w:tc>
        <w:tc>
          <w:tcPr>
            <w:tcW w:w="300" w:type="dxa"/>
            <w:vAlign w:val="bottom"/>
          </w:tcPr>
          <w:p>
            <w:pPr>
              <w:spacing w:after="0"/>
              <w:rPr>
                <w:sz w:val="18"/>
                <w:szCs w:val="18"/>
                <w:color w:val="auto"/>
              </w:rPr>
            </w:pPr>
          </w:p>
        </w:tc>
        <w:tc>
          <w:tcPr>
            <w:tcW w:w="680" w:type="dxa"/>
            <w:vAlign w:val="bottom"/>
          </w:tcPr>
          <w:p>
            <w:pPr>
              <w:jc w:val="right"/>
              <w:ind w:right="114"/>
              <w:spacing w:after="0"/>
              <w:rPr>
                <w:sz w:val="20"/>
                <w:szCs w:val="20"/>
                <w:color w:val="auto"/>
              </w:rPr>
            </w:pPr>
            <w:r>
              <w:rPr>
                <w:rFonts w:ascii="Arial" w:cs="Arial" w:eastAsia="Arial" w:hAnsi="Arial"/>
                <w:sz w:val="18"/>
                <w:szCs w:val="18"/>
                <w:color w:val="auto"/>
              </w:rPr>
              <w:t>992</w:t>
            </w:r>
          </w:p>
        </w:tc>
        <w:tc>
          <w:tcPr>
            <w:tcW w:w="320" w:type="dxa"/>
            <w:vAlign w:val="bottom"/>
          </w:tcPr>
          <w:p>
            <w:pPr>
              <w:spacing w:after="0"/>
              <w:rPr>
                <w:sz w:val="18"/>
                <w:szCs w:val="18"/>
                <w:color w:val="auto"/>
              </w:rPr>
            </w:pPr>
          </w:p>
        </w:tc>
        <w:tc>
          <w:tcPr>
            <w:tcW w:w="700" w:type="dxa"/>
            <w:vAlign w:val="bottom"/>
          </w:tcPr>
          <w:p>
            <w:pPr>
              <w:jc w:val="right"/>
              <w:ind w:right="156"/>
              <w:spacing w:after="0"/>
              <w:rPr>
                <w:sz w:val="20"/>
                <w:szCs w:val="20"/>
                <w:color w:val="auto"/>
              </w:rPr>
            </w:pPr>
            <w:r>
              <w:rPr>
                <w:rFonts w:ascii="Arial" w:cs="Arial" w:eastAsia="Arial" w:hAnsi="Arial"/>
                <w:sz w:val="18"/>
                <w:szCs w:val="18"/>
                <w:color w:val="auto"/>
              </w:rPr>
              <w:t>127</w:t>
            </w:r>
          </w:p>
        </w:tc>
        <w:tc>
          <w:tcPr>
            <w:tcW w:w="820" w:type="dxa"/>
            <w:vAlign w:val="bottom"/>
          </w:tcPr>
          <w:p>
            <w:pPr>
              <w:ind w:left="32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E5E5E5"/>
          </w:tcPr>
          <w:p>
            <w:pPr>
              <w:spacing w:after="0"/>
              <w:rPr>
                <w:sz w:val="20"/>
                <w:szCs w:val="20"/>
                <w:color w:val="auto"/>
              </w:rPr>
            </w:pPr>
            <w:r>
              <w:rPr>
                <w:rFonts w:ascii="Arial" w:cs="Arial" w:eastAsia="Arial" w:hAnsi="Arial"/>
                <w:sz w:val="18"/>
                <w:szCs w:val="18"/>
                <w:color w:val="auto"/>
              </w:rPr>
              <w:t>Other</w:t>
            </w:r>
          </w:p>
        </w:tc>
        <w:tc>
          <w:tcPr>
            <w:tcW w:w="4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7"/>
              <w:spacing w:after="0"/>
              <w:rPr>
                <w:sz w:val="20"/>
                <w:szCs w:val="20"/>
                <w:color w:val="auto"/>
              </w:rPr>
            </w:pPr>
            <w:r>
              <w:rPr>
                <w:rFonts w:ascii="Arial" w:cs="Arial" w:eastAsia="Arial" w:hAnsi="Arial"/>
                <w:sz w:val="18"/>
                <w:szCs w:val="18"/>
                <w:color w:val="auto"/>
              </w:rPr>
              <w:t>788</w:t>
            </w:r>
          </w:p>
        </w:tc>
        <w:tc>
          <w:tcPr>
            <w:tcW w:w="3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677</w:t>
            </w:r>
          </w:p>
        </w:tc>
        <w:tc>
          <w:tcPr>
            <w:tcW w:w="3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6"/>
              <w:spacing w:after="0"/>
              <w:rPr>
                <w:sz w:val="20"/>
                <w:szCs w:val="20"/>
                <w:color w:val="auto"/>
              </w:rPr>
            </w:pPr>
            <w:r>
              <w:rPr>
                <w:rFonts w:ascii="Arial" w:cs="Arial" w:eastAsia="Arial" w:hAnsi="Arial"/>
                <w:sz w:val="18"/>
                <w:szCs w:val="18"/>
                <w:color w:val="auto"/>
              </w:rPr>
              <w:t>111</w:t>
            </w:r>
          </w:p>
        </w:tc>
        <w:tc>
          <w:tcPr>
            <w:tcW w:w="820" w:type="dxa"/>
            <w:vAlign w:val="bottom"/>
            <w:shd w:val="clear" w:color="auto" w:fill="E5E5E5"/>
          </w:tcPr>
          <w:p>
            <w:pPr>
              <w:ind w:left="32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Franchise fees</w:t>
            </w:r>
          </w:p>
        </w:tc>
        <w:tc>
          <w:tcPr>
            <w:tcW w:w="4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color w:val="auto"/>
              </w:rPr>
              <w:t>616</w:t>
            </w: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524</w:t>
            </w: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rPr>
              <w:t>92</w:t>
            </w:r>
          </w:p>
        </w:tc>
        <w:tc>
          <w:tcPr>
            <w:tcW w:w="8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Revenues</w:t>
            </w:r>
          </w:p>
        </w:tc>
        <w:tc>
          <w:tcPr>
            <w:tcW w:w="4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7"/>
              <w:spacing w:after="0"/>
              <w:rPr>
                <w:sz w:val="20"/>
                <w:szCs w:val="20"/>
                <w:color w:val="auto"/>
              </w:rPr>
            </w:pPr>
            <w:r>
              <w:rPr>
                <w:rFonts w:ascii="Arial" w:cs="Arial" w:eastAsia="Arial" w:hAnsi="Arial"/>
                <w:sz w:val="18"/>
                <w:szCs w:val="18"/>
                <w:color w:val="auto"/>
                <w:w w:val="83"/>
              </w:rPr>
              <w:t>21,728</w:t>
            </w:r>
          </w:p>
        </w:tc>
        <w:tc>
          <w:tcPr>
            <w:tcW w:w="3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w w:val="83"/>
              </w:rPr>
              <w:t>17,166</w:t>
            </w:r>
          </w:p>
        </w:tc>
        <w:tc>
          <w:tcPr>
            <w:tcW w:w="3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6"/>
              <w:spacing w:after="0"/>
              <w:rPr>
                <w:sz w:val="20"/>
                <w:szCs w:val="20"/>
                <w:color w:val="auto"/>
              </w:rPr>
            </w:pPr>
            <w:r>
              <w:rPr>
                <w:rFonts w:ascii="Arial" w:cs="Arial" w:eastAsia="Arial" w:hAnsi="Arial"/>
                <w:sz w:val="18"/>
                <w:szCs w:val="18"/>
                <w:color w:val="auto"/>
                <w:w w:val="97"/>
              </w:rPr>
              <w:t>4,562</w:t>
            </w:r>
          </w:p>
        </w:tc>
        <w:tc>
          <w:tcPr>
            <w:tcW w:w="820" w:type="dxa"/>
            <w:vAlign w:val="bottom"/>
            <w:shd w:val="clear" w:color="auto" w:fill="E5E5E5"/>
          </w:tcPr>
          <w:p>
            <w:pPr>
              <w:ind w:left="32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Operating expenses</w:t>
            </w:r>
          </w:p>
        </w:tc>
        <w:tc>
          <w:tcPr>
            <w:tcW w:w="480" w:type="dxa"/>
            <w:vAlign w:val="bottom"/>
          </w:tcPr>
          <w:p>
            <w:pPr>
              <w:spacing w:after="0"/>
              <w:rPr>
                <w:sz w:val="18"/>
                <w:szCs w:val="18"/>
                <w:color w:val="auto"/>
              </w:rPr>
            </w:pPr>
          </w:p>
        </w:tc>
        <w:tc>
          <w:tcPr>
            <w:tcW w:w="680" w:type="dxa"/>
            <w:vAlign w:val="bottom"/>
          </w:tcPr>
          <w:p>
            <w:pPr>
              <w:jc w:val="right"/>
              <w:ind w:right="117"/>
              <w:spacing w:after="0"/>
              <w:rPr>
                <w:sz w:val="20"/>
                <w:szCs w:val="20"/>
                <w:color w:val="auto"/>
              </w:rPr>
            </w:pPr>
            <w:r>
              <w:rPr>
                <w:rFonts w:ascii="Arial" w:cs="Arial" w:eastAsia="Arial" w:hAnsi="Arial"/>
                <w:sz w:val="18"/>
                <w:szCs w:val="18"/>
                <w:color w:val="auto"/>
              </w:rPr>
              <w:t>7,741</w:t>
            </w:r>
          </w:p>
        </w:tc>
        <w:tc>
          <w:tcPr>
            <w:tcW w:w="300" w:type="dxa"/>
            <w:vAlign w:val="bottom"/>
          </w:tcPr>
          <w:p>
            <w:pPr>
              <w:spacing w:after="0"/>
              <w:rPr>
                <w:sz w:val="18"/>
                <w:szCs w:val="18"/>
                <w:color w:val="auto"/>
              </w:rPr>
            </w:pPr>
          </w:p>
        </w:tc>
        <w:tc>
          <w:tcPr>
            <w:tcW w:w="680" w:type="dxa"/>
            <w:vAlign w:val="bottom"/>
          </w:tcPr>
          <w:p>
            <w:pPr>
              <w:jc w:val="right"/>
              <w:ind w:right="114"/>
              <w:spacing w:after="0"/>
              <w:rPr>
                <w:sz w:val="20"/>
                <w:szCs w:val="20"/>
                <w:color w:val="auto"/>
              </w:rPr>
            </w:pPr>
            <w:r>
              <w:rPr>
                <w:rFonts w:ascii="Arial" w:cs="Arial" w:eastAsia="Arial" w:hAnsi="Arial"/>
                <w:sz w:val="18"/>
                <w:szCs w:val="18"/>
                <w:color w:val="auto"/>
              </w:rPr>
              <w:t>6,097</w:t>
            </w:r>
          </w:p>
        </w:tc>
        <w:tc>
          <w:tcPr>
            <w:tcW w:w="320" w:type="dxa"/>
            <w:vAlign w:val="bottom"/>
          </w:tcPr>
          <w:p>
            <w:pPr>
              <w:spacing w:after="0"/>
              <w:rPr>
                <w:sz w:val="18"/>
                <w:szCs w:val="18"/>
                <w:color w:val="auto"/>
              </w:rPr>
            </w:pPr>
          </w:p>
        </w:tc>
        <w:tc>
          <w:tcPr>
            <w:tcW w:w="700" w:type="dxa"/>
            <w:vAlign w:val="bottom"/>
          </w:tcPr>
          <w:p>
            <w:pPr>
              <w:jc w:val="right"/>
              <w:ind w:right="156"/>
              <w:spacing w:after="0"/>
              <w:rPr>
                <w:sz w:val="20"/>
                <w:szCs w:val="20"/>
                <w:color w:val="auto"/>
              </w:rPr>
            </w:pPr>
            <w:r>
              <w:rPr>
                <w:rFonts w:ascii="Arial" w:cs="Arial" w:eastAsia="Arial" w:hAnsi="Arial"/>
                <w:sz w:val="18"/>
                <w:szCs w:val="18"/>
                <w:color w:val="auto"/>
                <w:w w:val="97"/>
              </w:rPr>
              <w:t>1,644</w:t>
            </w:r>
          </w:p>
        </w:tc>
        <w:tc>
          <w:tcPr>
            <w:tcW w:w="820" w:type="dxa"/>
            <w:vAlign w:val="bottom"/>
          </w:tcPr>
          <w:p>
            <w:pPr>
              <w:ind w:left="32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Selling, general and administrative expenses</w:t>
            </w:r>
          </w:p>
        </w:tc>
        <w:tc>
          <w:tcPr>
            <w:tcW w:w="4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17"/>
              <w:spacing w:after="0"/>
              <w:rPr>
                <w:sz w:val="20"/>
                <w:szCs w:val="20"/>
                <w:color w:val="auto"/>
              </w:rPr>
            </w:pPr>
            <w:r>
              <w:rPr>
                <w:rFonts w:ascii="Arial" w:cs="Arial" w:eastAsia="Arial" w:hAnsi="Arial"/>
                <w:sz w:val="18"/>
                <w:szCs w:val="18"/>
                <w:color w:val="auto"/>
              </w:rPr>
              <w:t>5,188</w:t>
            </w:r>
          </w:p>
        </w:tc>
        <w:tc>
          <w:tcPr>
            <w:tcW w:w="3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14"/>
              <w:spacing w:after="0"/>
              <w:rPr>
                <w:sz w:val="20"/>
                <w:szCs w:val="20"/>
                <w:color w:val="auto"/>
              </w:rPr>
            </w:pPr>
            <w:r>
              <w:rPr>
                <w:rFonts w:ascii="Arial" w:cs="Arial" w:eastAsia="Arial" w:hAnsi="Arial"/>
                <w:sz w:val="18"/>
                <w:szCs w:val="18"/>
                <w:color w:val="auto"/>
              </w:rPr>
              <w:t>4,139</w:t>
            </w:r>
          </w:p>
        </w:tc>
        <w:tc>
          <w:tcPr>
            <w:tcW w:w="3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56"/>
              <w:spacing w:after="0"/>
              <w:rPr>
                <w:sz w:val="20"/>
                <w:szCs w:val="20"/>
                <w:color w:val="auto"/>
              </w:rPr>
            </w:pPr>
            <w:r>
              <w:rPr>
                <w:rFonts w:ascii="Arial" w:cs="Arial" w:eastAsia="Arial" w:hAnsi="Arial"/>
                <w:sz w:val="18"/>
                <w:szCs w:val="18"/>
                <w:color w:val="auto"/>
                <w:w w:val="97"/>
              </w:rPr>
              <w:t>1,049</w:t>
            </w:r>
          </w:p>
        </w:tc>
        <w:tc>
          <w:tcPr>
            <w:tcW w:w="820" w:type="dxa"/>
            <w:vAlign w:val="bottom"/>
            <w:tcBorders>
              <w:bottom w:val="single" w:sz="8" w:color="auto"/>
            </w:tcBorders>
            <w:shd w:val="clear" w:color="auto" w:fill="E5E5E5"/>
          </w:tcPr>
          <w:p>
            <w:pPr>
              <w:ind w:left="32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280" w:type="dxa"/>
            <w:vAlign w:val="bottom"/>
          </w:tcPr>
          <w:p>
            <w:pPr>
              <w:spacing w:after="0" w:line="195" w:lineRule="exact"/>
              <w:rPr>
                <w:sz w:val="20"/>
                <w:szCs w:val="20"/>
                <w:color w:val="auto"/>
              </w:rPr>
            </w:pPr>
            <w:r>
              <w:rPr>
                <w:rFonts w:ascii="Arial" w:cs="Arial" w:eastAsia="Arial" w:hAnsi="Arial"/>
                <w:sz w:val="18"/>
                <w:szCs w:val="18"/>
                <w:b w:val="1"/>
                <w:bCs w:val="1"/>
                <w:color w:val="auto"/>
              </w:rPr>
              <w:t>Operating income before depreciation and</w:t>
            </w:r>
          </w:p>
        </w:tc>
        <w:tc>
          <w:tcPr>
            <w:tcW w:w="4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vMerge w:val="restart"/>
          </w:tcPr>
          <w:p>
            <w:pPr>
              <w:jc w:val="right"/>
              <w:ind w:right="117"/>
              <w:spacing w:after="0"/>
              <w:rPr>
                <w:sz w:val="20"/>
                <w:szCs w:val="20"/>
                <w:color w:val="auto"/>
              </w:rPr>
            </w:pPr>
            <w:r>
              <w:rPr>
                <w:rFonts w:ascii="Arial" w:cs="Arial" w:eastAsia="Arial" w:hAnsi="Arial"/>
                <w:sz w:val="18"/>
                <w:szCs w:val="18"/>
                <w:b w:val="1"/>
                <w:bCs w:val="1"/>
                <w:color w:val="auto"/>
              </w:rPr>
              <w:t>8,799</w:t>
            </w:r>
          </w:p>
        </w:tc>
        <w:tc>
          <w:tcPr>
            <w:tcW w:w="3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vMerge w:val="restart"/>
          </w:tcPr>
          <w:p>
            <w:pPr>
              <w:jc w:val="right"/>
              <w:ind w:right="114"/>
              <w:spacing w:after="0"/>
              <w:rPr>
                <w:sz w:val="20"/>
                <w:szCs w:val="20"/>
                <w:color w:val="auto"/>
              </w:rPr>
            </w:pPr>
            <w:r>
              <w:rPr>
                <w:rFonts w:ascii="Arial" w:cs="Arial" w:eastAsia="Arial" w:hAnsi="Arial"/>
                <w:sz w:val="18"/>
                <w:szCs w:val="18"/>
                <w:b w:val="1"/>
                <w:bCs w:val="1"/>
                <w:color w:val="auto"/>
              </w:rPr>
              <w:t>6,930</w:t>
            </w:r>
          </w:p>
        </w:tc>
        <w:tc>
          <w:tcPr>
            <w:tcW w:w="3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vMerge w:val="restart"/>
          </w:tcPr>
          <w:p>
            <w:pPr>
              <w:jc w:val="right"/>
              <w:ind w:right="156"/>
              <w:spacing w:after="0"/>
              <w:rPr>
                <w:sz w:val="20"/>
                <w:szCs w:val="20"/>
                <w:color w:val="auto"/>
              </w:rPr>
            </w:pPr>
            <w:r>
              <w:rPr>
                <w:rFonts w:ascii="Arial" w:cs="Arial" w:eastAsia="Arial" w:hAnsi="Arial"/>
                <w:sz w:val="18"/>
                <w:szCs w:val="18"/>
                <w:b w:val="1"/>
                <w:bCs w:val="1"/>
                <w:color w:val="auto"/>
                <w:w w:val="97"/>
              </w:rPr>
              <w:t>1,869</w:t>
            </w:r>
          </w:p>
        </w:tc>
        <w:tc>
          <w:tcPr>
            <w:tcW w:w="820" w:type="dxa"/>
            <w:vAlign w:val="bottom"/>
            <w:vMerge w:val="restart"/>
          </w:tcPr>
          <w:p>
            <w:pPr>
              <w:ind w:left="320"/>
              <w:spacing w:after="0"/>
              <w:rPr>
                <w:sz w:val="20"/>
                <w:szCs w:val="20"/>
                <w:color w:val="auto"/>
              </w:rPr>
            </w:pPr>
            <w:r>
              <w:rPr>
                <w:rFonts w:ascii="Arial" w:cs="Arial" w:eastAsia="Arial" w:hAnsi="Arial"/>
                <w:sz w:val="18"/>
                <w:szCs w:val="18"/>
                <w:b w:val="1"/>
                <w:bCs w:val="1"/>
                <w:color w:val="auto"/>
                <w:w w:val="93"/>
              </w:rPr>
              <w:t>27.0%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280" w:type="dxa"/>
            <w:vAlign w:val="bottom"/>
          </w:tcPr>
          <w:p>
            <w:pPr>
              <w:ind w:left="200"/>
              <w:spacing w:after="0" w:line="203" w:lineRule="exact"/>
              <w:rPr>
                <w:sz w:val="20"/>
                <w:szCs w:val="20"/>
                <w:color w:val="auto"/>
              </w:rPr>
            </w:pPr>
            <w:r>
              <w:rPr>
                <w:rFonts w:ascii="Arial" w:cs="Arial" w:eastAsia="Arial" w:hAnsi="Arial"/>
                <w:sz w:val="18"/>
                <w:szCs w:val="18"/>
                <w:b w:val="1"/>
                <w:bCs w:val="1"/>
                <w:color w:val="auto"/>
              </w:rPr>
              <w:t>amortization</w:t>
            </w:r>
          </w:p>
        </w:tc>
        <w:tc>
          <w:tcPr>
            <w:tcW w:w="48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 Segment Revenues</w:t>
      </w:r>
    </w:p>
    <w:p>
      <w:pPr>
        <w:spacing w:after="0" w:line="7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u w:val="single" w:color="auto"/>
          <w:color w:val="auto"/>
        </w:rPr>
        <w:t>Video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video revenues continue to grow due to rate increases, subscriber growth in our digital cable services, including the demand for digital features such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ON DEMAND, DVR and HDTV, and the addition of our newly acquired systems. During the nine months ended September 30, 2007, we added approximately 2.0 million digital cable subscribers, while the number of basic subscribers remained relatively unchanged. Our newly acquired cable systems contributed approximately $235 million and $1.6 billion to our video revenue growth for the three and nine months ended September 30, 2007, respectively. As of September 30, 2007, approximately 61% of our 24.2 million video subscribers subscribed to at least one of our digital cable services. In addition, our average monthly video revenue per video subscriber increased to $60.92 during the nine months ended September 30, 2007. We expect that the rate of subscriber and revenue growth will continue to slow as the market continues to mature and competition increases.</w:t>
      </w:r>
    </w:p>
    <w:p>
      <w:pPr>
        <w:spacing w:after="0" w:line="2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u w:val="single" w:color="auto"/>
          <w:color w:val="auto"/>
        </w:rPr>
        <w:t>High-Speed Internet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increases in high-speed Internet revenue for the three and nine months ended September 30, 2007 compared to the same periods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2006 reflect an increase in subscribers and the addition of our newly acquired cable systems. During the nine months ended September 30, 2007, we added approximately 1.3 million high-speed Internet subscribers. Our newly acquired systems contributed approximately $95 million and $533 million to our high-speed Internet revenue growth for the three and nine months ended September 30, 2007, respectively. Average monthly revenue per subscriber has remained relatively stable. We expect that the rate of subscriber and revenue growth will continue to slow as the market continues to mature and competition increases.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SEPTEMBER 30, 2007</w:t>
      </w:r>
    </w:p>
    <w:p>
      <w:pPr>
        <w:spacing w:after="0" w:line="13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u w:val="single" w:color="auto"/>
          <w:color w:val="auto"/>
        </w:rPr>
        <w:t>Phone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offer two phone services, Comcast Digital Voice, our IP-enabled phone service, and our circuit-switched local phone service. Revenues increased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result of subscriber growth in our Comcast Digital Voice service, partially offset by the loss of circuit-switched subscribers. During the nine months ended September 30, 2007, we added approximately 1.9 million Comcast Digital Voice subscribers. Our newly acquired systems contributed approximately $20 million and $73 million to our phone revenue growth for the three and nine months ended September 30, 2007, respectively. We expect the number of phone subscribers will grow as we continue to expand Comcast Digital Voice into new markets. We expect the number of subscribers to our circuit-switched local phone service will continue to decrease as our marketing efforts are now focused on Comcast Digital Voice.</w:t>
      </w:r>
    </w:p>
    <w:p>
      <w:pPr>
        <w:spacing w:after="0" w:line="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u w:val="single" w:color="auto"/>
          <w:color w:val="auto"/>
        </w:rPr>
        <w:t>Advertising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increases in advertising revenue for the three and nine months ended September 30, 2007 compared to the same periods in 2006 are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due to the addition of our newly acquired cable systems. Absent the growth from the newly acquired systems, advertising revenue grew slightly, reflecting continued weakness across the television advertising market and a decline in political advertising.</w:t>
      </w:r>
    </w:p>
    <w:p>
      <w:pPr>
        <w:spacing w:after="0" w:line="4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u w:val="single" w:color="auto"/>
          <w:color w:val="auto"/>
        </w:rPr>
        <w:t>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also generate revenues from our regional sports and news networks, video installation services, commissions from third-party electronic retailing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fees for other services, such as providing businesses with data connectivity and networked applications. The increases in other revenue for the three and nine months ended September 30, 2007 compared to the same periods in 2006 are primarily a result of the regional sports network acquisitions of Bay Area SportsNet and Sports Channel New England.</w:t>
      </w:r>
    </w:p>
    <w:p>
      <w:pPr>
        <w:spacing w:after="0" w:line="4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u w:val="single" w:color="auto"/>
          <w:color w:val="auto"/>
        </w:rPr>
        <w:t>Franchise Fees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increases in franchise fees collected from our cable subscribers for the three and nine months ended September 30, 2007 compared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same periods in 2006 are primarily a result of the increases in our revenues upon which the fees apply.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 Segment Operating Expenses</w:t>
      </w:r>
    </w:p>
    <w:p>
      <w:pPr>
        <w:spacing w:after="0" w:line="7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Operating expenses increased primarily as a result of growth in the number of subscribers to our cable services and the addition of our newly acquired cable systems. For the three and nine months ended September 30, 2007, our newly acquired cable systems contributed approximately $145 million and $900 million, respectively, to our increases in Cable segment operating expenses. The remaining increases were primarily a result of costs associated with the delivery of these services and additional personnel to handle service calls and provide customer support.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 Segment Selling, General and Administrative Expenses</w:t>
      </w:r>
    </w:p>
    <w:p>
      <w:pPr>
        <w:spacing w:after="0" w:line="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Selling, general and administrative expenses increased primarily as a result of growth in the number of subscribers to our cable services and the addition of our newly acquired systems. For the three and nine months ended September 30, 2007, our newly acquired cable systems contributed approximately $80 million and $560 million, respectively, to our increases in Cable segment selling, general and administrative expenses. The remaining increases were primarily a result of additional employees needed to provide customer and other administrative services, as well as additional marketing costs associated with attracting new subscribers.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SEPTEMBER 30, 2007</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Programming Segment Operating Results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present our Programming segment operating results:</w:t>
      </w:r>
    </w:p>
    <w:p>
      <w:pPr>
        <w:spacing w:after="0" w:line="6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2880" w:type="dxa"/>
            <w:vAlign w:val="bottom"/>
            <w:gridSpan w:val="2"/>
          </w:tcPr>
          <w:p>
            <w:pPr>
              <w:jc w:val="center"/>
              <w:ind w:left="212"/>
              <w:spacing w:after="0"/>
              <w:rPr>
                <w:sz w:val="20"/>
                <w:szCs w:val="20"/>
                <w:color w:val="auto"/>
              </w:rPr>
            </w:pPr>
            <w:r>
              <w:rPr>
                <w:rFonts w:ascii="Arial" w:cs="Arial" w:eastAsia="Arial" w:hAnsi="Arial"/>
                <w:sz w:val="14"/>
                <w:szCs w:val="14"/>
                <w:b w:val="1"/>
                <w:bCs w:val="1"/>
                <w:color w:val="auto"/>
                <w:w w:val="89"/>
              </w:rPr>
              <w:t>Three Months Ended</w:t>
            </w:r>
          </w:p>
        </w:tc>
        <w:tc>
          <w:tcPr>
            <w:tcW w:w="6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96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11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center"/>
              <w:ind w:right="772"/>
              <w:spacing w:after="0"/>
              <w:rPr>
                <w:sz w:val="20"/>
                <w:szCs w:val="20"/>
                <w:color w:val="auto"/>
              </w:rPr>
            </w:pPr>
            <w:r>
              <w:rPr>
                <w:rFonts w:ascii="Arial" w:cs="Arial" w:eastAsia="Arial" w:hAnsi="Arial"/>
                <w:sz w:val="14"/>
                <w:szCs w:val="14"/>
                <w:b w:val="1"/>
                <w:bCs w:val="1"/>
                <w:color w:val="auto"/>
                <w:w w:val="87"/>
              </w:rPr>
              <w:t>September 30,</w:t>
            </w:r>
          </w:p>
        </w:tc>
        <w:tc>
          <w:tcPr>
            <w:tcW w:w="6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w w:val="87"/>
              </w:rPr>
              <w:t>Increase/(Decrease)</w:t>
            </w:r>
          </w:p>
        </w:tc>
        <w:tc>
          <w:tcPr>
            <w:tcW w:w="0" w:type="dxa"/>
            <w:vAlign w:val="bottom"/>
          </w:tcPr>
          <w:p>
            <w:pPr>
              <w:spacing w:after="0"/>
              <w:rPr>
                <w:sz w:val="1"/>
                <w:szCs w:val="1"/>
                <w:color w:val="auto"/>
              </w:rPr>
            </w:pPr>
          </w:p>
        </w:tc>
      </w:tr>
      <w:tr>
        <w:trPr>
          <w:trHeight w:val="161"/>
        </w:trPr>
        <w:tc>
          <w:tcPr>
            <w:tcW w:w="4960" w:type="dxa"/>
            <w:vAlign w:val="bottom"/>
            <w:vMerge w:val="continue"/>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2007</w:t>
            </w:r>
          </w:p>
        </w:tc>
        <w:tc>
          <w:tcPr>
            <w:tcW w:w="1760" w:type="dxa"/>
            <w:vAlign w:val="bottom"/>
          </w:tcPr>
          <w:p>
            <w:pPr>
              <w:jc w:val="right"/>
              <w:ind w:right="492"/>
              <w:spacing w:after="0"/>
              <w:rPr>
                <w:sz w:val="20"/>
                <w:szCs w:val="20"/>
                <w:color w:val="auto"/>
              </w:rPr>
            </w:pPr>
            <w:r>
              <w:rPr>
                <w:rFonts w:ascii="Arial" w:cs="Arial" w:eastAsia="Arial" w:hAnsi="Arial"/>
                <w:sz w:val="14"/>
                <w:szCs w:val="14"/>
                <w:b w:val="1"/>
                <w:bCs w:val="1"/>
                <w:color w:val="auto"/>
              </w:rPr>
              <w:t>2006</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80" w:type="dxa"/>
            <w:vAlign w:val="bottom"/>
          </w:tcPr>
          <w:p>
            <w:pPr>
              <w:jc w:val="right"/>
              <w:ind w:right="39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-11430</wp:posOffset>
            </wp:positionV>
            <wp:extent cx="6517640"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ind w:left="580"/>
        <w:spacing w:after="0"/>
        <w:rPr>
          <w:sz w:val="20"/>
          <w:szCs w:val="20"/>
          <w:color w:val="auto"/>
        </w:rPr>
      </w:pPr>
      <w:r>
        <w:rPr>
          <w:rFonts w:ascii="Arial" w:cs="Arial" w:eastAsia="Arial" w:hAnsi="Arial"/>
          <w:sz w:val="18"/>
          <w:szCs w:val="18"/>
          <w:color w:val="auto"/>
        </w:rPr>
        <w:t>Revenues</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Operating, selling, general and administrative expenses</w:t>
      </w:r>
    </w:p>
    <w:p>
      <w:pPr>
        <w:spacing w:after="0" w:line="33" w:lineRule="exact"/>
        <w:rPr>
          <w:sz w:val="20"/>
          <w:szCs w:val="20"/>
          <w:color w:val="auto"/>
        </w:rPr>
      </w:pPr>
    </w:p>
    <w:p>
      <w:pPr>
        <w:ind w:left="580"/>
        <w:spacing w:after="0"/>
        <w:rPr>
          <w:sz w:val="20"/>
          <w:szCs w:val="20"/>
          <w:color w:val="auto"/>
        </w:rPr>
      </w:pPr>
      <w:r>
        <w:rPr>
          <w:rFonts w:ascii="Arial" w:cs="Arial" w:eastAsia="Arial" w:hAnsi="Arial"/>
          <w:sz w:val="15"/>
          <w:szCs w:val="15"/>
          <w:b w:val="1"/>
          <w:bCs w:val="1"/>
          <w:color w:val="auto"/>
        </w:rPr>
        <w:t>Operating income before depreciation and amortization</w:t>
      </w:r>
    </w:p>
    <w:p>
      <w:pPr>
        <w:spacing w:after="0" w:line="200" w:lineRule="exact"/>
        <w:rPr>
          <w:sz w:val="20"/>
          <w:szCs w:val="20"/>
          <w:color w:val="auto"/>
        </w:rPr>
      </w:pPr>
    </w:p>
    <w:p>
      <w:pPr>
        <w:spacing w:after="0" w:line="345" w:lineRule="exact"/>
        <w:rPr>
          <w:sz w:val="20"/>
          <w:szCs w:val="20"/>
          <w:color w:val="auto"/>
        </w:rPr>
      </w:pPr>
    </w:p>
    <w:p>
      <w:pPr>
        <w:ind w:left="580"/>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262"/>
              <w:spacing w:after="0" w:line="202" w:lineRule="exact"/>
              <w:rPr>
                <w:sz w:val="20"/>
                <w:szCs w:val="20"/>
                <w:color w:val="auto"/>
              </w:rPr>
            </w:pPr>
            <w:r>
              <w:rPr>
                <w:rFonts w:ascii="Arial" w:cs="Arial" w:eastAsia="Arial" w:hAnsi="Arial"/>
                <w:sz w:val="18"/>
                <w:szCs w:val="18"/>
                <w:color w:val="auto"/>
              </w:rPr>
              <w:t>330</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257"/>
              <w:spacing w:after="0" w:line="202" w:lineRule="exact"/>
              <w:rPr>
                <w:sz w:val="20"/>
                <w:szCs w:val="20"/>
                <w:color w:val="auto"/>
              </w:rPr>
            </w:pPr>
            <w:r>
              <w:rPr>
                <w:rFonts w:ascii="Arial" w:cs="Arial" w:eastAsia="Arial" w:hAnsi="Arial"/>
                <w:sz w:val="18"/>
                <w:szCs w:val="18"/>
                <w:color w:val="auto"/>
              </w:rPr>
              <w:t>259</w:t>
            </w:r>
          </w:p>
        </w:tc>
        <w:tc>
          <w:tcPr>
            <w:tcW w:w="5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ind w:left="240"/>
              <w:spacing w:after="0" w:line="202" w:lineRule="exact"/>
              <w:rPr>
                <w:sz w:val="20"/>
                <w:szCs w:val="20"/>
                <w:color w:val="auto"/>
              </w:rPr>
            </w:pPr>
            <w:r>
              <w:rPr>
                <w:rFonts w:ascii="Arial" w:cs="Arial" w:eastAsia="Arial" w:hAnsi="Arial"/>
                <w:sz w:val="18"/>
                <w:szCs w:val="18"/>
                <w:color w:val="auto"/>
              </w:rPr>
              <w:t>71</w:t>
            </w:r>
          </w:p>
        </w:tc>
        <w:tc>
          <w:tcPr>
            <w:tcW w:w="600" w:type="dxa"/>
            <w:vAlign w:val="bottom"/>
          </w:tcPr>
          <w:p>
            <w:pPr>
              <w:ind w:left="100"/>
              <w:spacing w:after="0" w:line="202" w:lineRule="exact"/>
              <w:rPr>
                <w:sz w:val="20"/>
                <w:szCs w:val="20"/>
                <w:color w:val="auto"/>
              </w:rPr>
            </w:pPr>
            <w:r>
              <w:rPr>
                <w:rFonts w:ascii="Arial" w:cs="Arial" w:eastAsia="Arial" w:hAnsi="Arial"/>
                <w:sz w:val="18"/>
                <w:szCs w:val="18"/>
                <w:color w:val="auto"/>
                <w:w w:val="93"/>
              </w:rPr>
              <w:t>27.2%</w:t>
            </w:r>
          </w:p>
        </w:tc>
      </w:tr>
      <w:tr>
        <w:trPr>
          <w:trHeight w:val="223"/>
        </w:trPr>
        <w:tc>
          <w:tcPr>
            <w:tcW w:w="7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62"/>
              <w:spacing w:after="0"/>
              <w:rPr>
                <w:sz w:val="20"/>
                <w:szCs w:val="20"/>
                <w:color w:val="auto"/>
              </w:rPr>
            </w:pPr>
            <w:r>
              <w:rPr>
                <w:rFonts w:ascii="Arial" w:cs="Arial" w:eastAsia="Arial" w:hAnsi="Arial"/>
                <w:sz w:val="18"/>
                <w:szCs w:val="18"/>
                <w:color w:val="auto"/>
              </w:rPr>
              <w:t>233</w:t>
            </w: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7"/>
              <w:spacing w:after="0"/>
              <w:rPr>
                <w:sz w:val="20"/>
                <w:szCs w:val="20"/>
                <w:color w:val="auto"/>
              </w:rPr>
            </w:pPr>
            <w:r>
              <w:rPr>
                <w:rFonts w:ascii="Arial" w:cs="Arial" w:eastAsia="Arial" w:hAnsi="Arial"/>
                <w:sz w:val="18"/>
                <w:szCs w:val="18"/>
                <w:color w:val="auto"/>
              </w:rPr>
              <w:t>172</w:t>
            </w:r>
          </w:p>
        </w:tc>
        <w:tc>
          <w:tcPr>
            <w:tcW w:w="5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61</w:t>
            </w:r>
          </w:p>
        </w:tc>
        <w:tc>
          <w:tcPr>
            <w:tcW w:w="6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35.6</w:t>
            </w:r>
          </w:p>
        </w:tc>
      </w:tr>
      <w:tr>
        <w:trPr>
          <w:trHeight w:val="218"/>
        </w:trPr>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262"/>
              <w:spacing w:after="0"/>
              <w:rPr>
                <w:sz w:val="20"/>
                <w:szCs w:val="20"/>
                <w:color w:val="auto"/>
              </w:rPr>
            </w:pPr>
            <w:r>
              <w:rPr>
                <w:rFonts w:ascii="Arial" w:cs="Arial" w:eastAsia="Arial" w:hAnsi="Arial"/>
                <w:sz w:val="18"/>
                <w:szCs w:val="18"/>
                <w:b w:val="1"/>
                <w:bCs w:val="1"/>
                <w:color w:val="auto"/>
              </w:rPr>
              <w:t>97</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ind w:right="257"/>
              <w:spacing w:after="0"/>
              <w:rPr>
                <w:sz w:val="20"/>
                <w:szCs w:val="20"/>
                <w:color w:val="auto"/>
              </w:rPr>
            </w:pPr>
            <w:r>
              <w:rPr>
                <w:rFonts w:ascii="Arial" w:cs="Arial" w:eastAsia="Arial" w:hAnsi="Arial"/>
                <w:sz w:val="18"/>
                <w:szCs w:val="18"/>
                <w:b w:val="1"/>
                <w:bCs w:val="1"/>
                <w:color w:val="auto"/>
              </w:rPr>
              <w:t>87</w:t>
            </w:r>
          </w:p>
        </w:tc>
        <w:tc>
          <w:tcPr>
            <w:tcW w:w="5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10</w:t>
            </w:r>
          </w:p>
        </w:tc>
        <w:tc>
          <w:tcPr>
            <w:tcW w:w="6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3"/>
              </w:rPr>
              <w:t>10.7%</w:t>
            </w:r>
          </w:p>
        </w:tc>
      </w:tr>
      <w:tr>
        <w:trPr>
          <w:trHeight w:val="298"/>
        </w:trPr>
        <w:tc>
          <w:tcPr>
            <w:tcW w:w="780" w:type="dxa"/>
            <w:vAlign w:val="bottom"/>
          </w:tcPr>
          <w:p>
            <w:pPr>
              <w:spacing w:after="0"/>
              <w:rPr>
                <w:sz w:val="24"/>
                <w:szCs w:val="24"/>
                <w:color w:val="auto"/>
              </w:rPr>
            </w:pPr>
          </w:p>
        </w:tc>
        <w:tc>
          <w:tcPr>
            <w:tcW w:w="2060" w:type="dxa"/>
            <w:vAlign w:val="bottom"/>
            <w:gridSpan w:val="3"/>
          </w:tcPr>
          <w:p>
            <w:pPr>
              <w:jc w:val="right"/>
              <w:ind w:right="597"/>
              <w:spacing w:after="0"/>
              <w:rPr>
                <w:sz w:val="20"/>
                <w:szCs w:val="20"/>
                <w:color w:val="auto"/>
              </w:rPr>
            </w:pPr>
            <w:r>
              <w:rPr>
                <w:rFonts w:ascii="Arial" w:cs="Arial" w:eastAsia="Arial" w:hAnsi="Arial"/>
                <w:sz w:val="14"/>
                <w:szCs w:val="14"/>
                <w:b w:val="1"/>
                <w:bCs w:val="1"/>
                <w:color w:val="auto"/>
              </w:rPr>
              <w:t>Nine Months Ended</w:t>
            </w:r>
          </w:p>
        </w:tc>
        <w:tc>
          <w:tcPr>
            <w:tcW w:w="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1"/>
        </w:trPr>
        <w:tc>
          <w:tcPr>
            <w:tcW w:w="7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w w:val="84"/>
              </w:rPr>
              <w:t>Increase/(Decrease)</w:t>
            </w:r>
          </w:p>
        </w:tc>
        <w:tc>
          <w:tcPr>
            <w:tcW w:w="600" w:type="dxa"/>
            <w:vAlign w:val="bottom"/>
            <w:tcBorders>
              <w:bottom w:val="single" w:sz="8" w:color="auto"/>
            </w:tcBorders>
          </w:tcPr>
          <w:p>
            <w:pPr>
              <w:spacing w:after="0"/>
              <w:rPr>
                <w:sz w:val="14"/>
                <w:szCs w:val="14"/>
                <w:color w:val="auto"/>
              </w:rPr>
            </w:pPr>
          </w:p>
        </w:tc>
      </w:tr>
      <w:tr>
        <w:trPr>
          <w:trHeight w:val="142"/>
        </w:trPr>
        <w:tc>
          <w:tcPr>
            <w:tcW w:w="780" w:type="dxa"/>
            <w:vAlign w:val="bottom"/>
          </w:tcPr>
          <w:p>
            <w:pPr>
              <w:spacing w:after="0"/>
              <w:rPr>
                <w:sz w:val="12"/>
                <w:szCs w:val="12"/>
                <w:color w:val="auto"/>
              </w:rPr>
            </w:pPr>
          </w:p>
        </w:tc>
        <w:tc>
          <w:tcPr>
            <w:tcW w:w="780" w:type="dxa"/>
            <w:vAlign w:val="bottom"/>
          </w:tcPr>
          <w:p>
            <w:pPr>
              <w:jc w:val="right"/>
              <w:ind w:right="402"/>
              <w:spacing w:after="0" w:line="142" w:lineRule="exact"/>
              <w:rPr>
                <w:sz w:val="20"/>
                <w:szCs w:val="20"/>
                <w:color w:val="auto"/>
              </w:rPr>
            </w:pPr>
            <w:r>
              <w:rPr>
                <w:rFonts w:ascii="Arial" w:cs="Arial" w:eastAsia="Arial" w:hAnsi="Arial"/>
                <w:sz w:val="14"/>
                <w:szCs w:val="14"/>
                <w:b w:val="1"/>
                <w:bCs w:val="1"/>
                <w:color w:val="auto"/>
                <w:w w:val="89"/>
              </w:rPr>
              <w:t>2007</w:t>
            </w:r>
          </w:p>
        </w:tc>
        <w:tc>
          <w:tcPr>
            <w:tcW w:w="460" w:type="dxa"/>
            <w:vAlign w:val="bottom"/>
          </w:tcPr>
          <w:p>
            <w:pPr>
              <w:spacing w:after="0"/>
              <w:rPr>
                <w:sz w:val="12"/>
                <w:szCs w:val="12"/>
                <w:color w:val="auto"/>
              </w:rPr>
            </w:pPr>
          </w:p>
        </w:tc>
        <w:tc>
          <w:tcPr>
            <w:tcW w:w="820" w:type="dxa"/>
            <w:vAlign w:val="bottom"/>
          </w:tcPr>
          <w:p>
            <w:pPr>
              <w:jc w:val="right"/>
              <w:ind w:right="437"/>
              <w:spacing w:after="0" w:line="142" w:lineRule="exact"/>
              <w:rPr>
                <w:sz w:val="20"/>
                <w:szCs w:val="20"/>
                <w:color w:val="auto"/>
              </w:rPr>
            </w:pPr>
            <w:r>
              <w:rPr>
                <w:rFonts w:ascii="Arial" w:cs="Arial" w:eastAsia="Arial" w:hAnsi="Arial"/>
                <w:sz w:val="14"/>
                <w:szCs w:val="14"/>
                <w:b w:val="1"/>
                <w:bCs w:val="1"/>
                <w:color w:val="auto"/>
                <w:w w:val="89"/>
              </w:rPr>
              <w:t>2006</w:t>
            </w:r>
          </w:p>
        </w:tc>
        <w:tc>
          <w:tcPr>
            <w:tcW w:w="520" w:type="dxa"/>
            <w:vAlign w:val="bottom"/>
          </w:tcPr>
          <w:p>
            <w:pPr>
              <w:spacing w:after="0"/>
              <w:rPr>
                <w:sz w:val="12"/>
                <w:szCs w:val="12"/>
                <w:color w:val="auto"/>
              </w:rPr>
            </w:pPr>
          </w:p>
        </w:tc>
        <w:tc>
          <w:tcPr>
            <w:tcW w:w="136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377"/>
              <w:spacing w:after="0" w:line="142" w:lineRule="exact"/>
              <w:rPr>
                <w:sz w:val="20"/>
                <w:szCs w:val="20"/>
                <w:color w:val="auto"/>
              </w:rPr>
            </w:pPr>
            <w:r>
              <w:rPr>
                <w:rFonts w:ascii="Arial" w:cs="Arial" w:eastAsia="Arial" w:hAnsi="Arial"/>
                <w:sz w:val="14"/>
                <w:szCs w:val="14"/>
                <w:b w:val="1"/>
                <w:bCs w:val="1"/>
                <w:color w:val="auto"/>
                <w:w w:val="96"/>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-3143250</wp:posOffset>
            </wp:positionH>
            <wp:positionV relativeFrom="paragraph">
              <wp:posOffset>-548005</wp:posOffset>
            </wp:positionV>
            <wp:extent cx="6517640"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517640" cy="15430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820" w:space="720"/>
            <w:col w:w="5880"/>
          </w:cols>
          <w:pgMar w:left="240" w:top="459" w:right="239" w:bottom="1440" w:gutter="0" w:footer="0" w:header="0"/>
          <w:type w:val="continuous"/>
        </w:sectPr>
      </w:pPr>
    </w:p>
    <w:tbl>
      <w:tblPr>
        <w:tblLayout w:type="fixed"/>
        <w:tblInd w:w="580" w:type="dxa"/>
        <w:tblCellMar>
          <w:top w:w="0" w:type="dxa"/>
          <w:left w:w="0" w:type="dxa"/>
          <w:bottom w:w="0" w:type="dxa"/>
          <w:right w:w="0" w:type="dxa"/>
        </w:tblCellMar>
      </w:tblPr>
      <w:tr>
        <w:trPr>
          <w:trHeight w:val="210"/>
        </w:trPr>
        <w:tc>
          <w:tcPr>
            <w:tcW w:w="49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Revenues</w:t>
            </w:r>
          </w:p>
        </w:tc>
        <w:tc>
          <w:tcPr>
            <w:tcW w:w="840" w:type="dxa"/>
            <w:vAlign w:val="bottom"/>
            <w:tcBorders>
              <w:top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E5E5E5"/>
          </w:tcPr>
          <w:p>
            <w:pPr>
              <w:jc w:val="right"/>
              <w:ind w:right="252"/>
              <w:spacing w:after="0"/>
              <w:rPr>
                <w:sz w:val="20"/>
                <w:szCs w:val="20"/>
                <w:color w:val="auto"/>
              </w:rPr>
            </w:pPr>
            <w:r>
              <w:rPr>
                <w:rFonts w:ascii="Arial" w:cs="Arial" w:eastAsia="Arial" w:hAnsi="Arial"/>
                <w:sz w:val="18"/>
                <w:szCs w:val="18"/>
                <w:color w:val="auto"/>
              </w:rPr>
              <w:t>966</w:t>
            </w:r>
          </w:p>
        </w:tc>
        <w:tc>
          <w:tcPr>
            <w:tcW w:w="540" w:type="dxa"/>
            <w:vAlign w:val="bottom"/>
            <w:tcBorders>
              <w:top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E5E5E5"/>
          </w:tcPr>
          <w:p>
            <w:pPr>
              <w:jc w:val="right"/>
              <w:ind w:right="252"/>
              <w:spacing w:after="0"/>
              <w:rPr>
                <w:sz w:val="20"/>
                <w:szCs w:val="20"/>
                <w:color w:val="auto"/>
              </w:rPr>
            </w:pPr>
            <w:r>
              <w:rPr>
                <w:rFonts w:ascii="Arial" w:cs="Arial" w:eastAsia="Arial" w:hAnsi="Arial"/>
                <w:sz w:val="18"/>
                <w:szCs w:val="18"/>
                <w:color w:val="auto"/>
              </w:rPr>
              <w:t>771</w:t>
            </w:r>
          </w:p>
        </w:tc>
        <w:tc>
          <w:tcPr>
            <w:tcW w:w="540" w:type="dxa"/>
            <w:vAlign w:val="bottom"/>
            <w:tcBorders>
              <w:top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E5E5E5"/>
          </w:tcPr>
          <w:p>
            <w:pPr>
              <w:jc w:val="right"/>
              <w:ind w:right="432"/>
              <w:spacing w:after="0"/>
              <w:rPr>
                <w:sz w:val="20"/>
                <w:szCs w:val="20"/>
                <w:color w:val="auto"/>
              </w:rPr>
            </w:pPr>
            <w:r>
              <w:rPr>
                <w:rFonts w:ascii="Arial" w:cs="Arial" w:eastAsia="Arial" w:hAnsi="Arial"/>
                <w:sz w:val="18"/>
                <w:szCs w:val="18"/>
                <w:color w:val="auto"/>
              </w:rPr>
              <w:t>195</w:t>
            </w:r>
          </w:p>
        </w:tc>
        <w:tc>
          <w:tcPr>
            <w:tcW w:w="1020" w:type="dxa"/>
            <w:vAlign w:val="bottom"/>
            <w:tcBorders>
              <w:top w:val="single" w:sz="8" w:color="auto"/>
            </w:tcBorders>
            <w:shd w:val="clear" w:color="auto" w:fill="E5E5E5"/>
          </w:tcPr>
          <w:p>
            <w:pPr>
              <w:ind w:left="520"/>
              <w:spacing w:after="0"/>
              <w:rPr>
                <w:sz w:val="20"/>
                <w:szCs w:val="20"/>
                <w:color w:val="auto"/>
              </w:rPr>
            </w:pPr>
            <w:r>
              <w:rPr>
                <w:rFonts w:ascii="Arial" w:cs="Arial" w:eastAsia="Arial" w:hAnsi="Arial"/>
                <w:sz w:val="18"/>
                <w:szCs w:val="18"/>
                <w:color w:val="auto"/>
                <w:w w:val="93"/>
              </w:rPr>
              <w:t>25.3%</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Operating, selling, general and administrative expenses</w:t>
            </w:r>
          </w:p>
        </w:tc>
        <w:tc>
          <w:tcPr>
            <w:tcW w:w="8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729</w:t>
            </w:r>
          </w:p>
        </w:tc>
        <w:tc>
          <w:tcPr>
            <w:tcW w:w="5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575</w:t>
            </w: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rPr>
              <w:t>154</w:t>
            </w:r>
          </w:p>
        </w:tc>
        <w:tc>
          <w:tcPr>
            <w:tcW w:w="102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26.9</w:t>
            </w:r>
          </w:p>
        </w:tc>
      </w:tr>
      <w:tr>
        <w:trPr>
          <w:trHeight w:val="217"/>
        </w:trPr>
        <w:tc>
          <w:tcPr>
            <w:tcW w:w="496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84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E5E5E5"/>
          </w:tcPr>
          <w:p>
            <w:pPr>
              <w:jc w:val="right"/>
              <w:ind w:right="252"/>
              <w:spacing w:after="0"/>
              <w:rPr>
                <w:sz w:val="20"/>
                <w:szCs w:val="20"/>
                <w:color w:val="auto"/>
              </w:rPr>
            </w:pPr>
            <w:r>
              <w:rPr>
                <w:rFonts w:ascii="Arial" w:cs="Arial" w:eastAsia="Arial" w:hAnsi="Arial"/>
                <w:sz w:val="18"/>
                <w:szCs w:val="18"/>
                <w:b w:val="1"/>
                <w:bCs w:val="1"/>
                <w:color w:val="auto"/>
              </w:rPr>
              <w:t>237</w:t>
            </w:r>
          </w:p>
        </w:tc>
        <w:tc>
          <w:tcPr>
            <w:tcW w:w="54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252"/>
              <w:spacing w:after="0"/>
              <w:rPr>
                <w:sz w:val="20"/>
                <w:szCs w:val="20"/>
                <w:color w:val="auto"/>
              </w:rPr>
            </w:pPr>
            <w:r>
              <w:rPr>
                <w:rFonts w:ascii="Arial" w:cs="Arial" w:eastAsia="Arial" w:hAnsi="Arial"/>
                <w:sz w:val="18"/>
                <w:szCs w:val="18"/>
                <w:b w:val="1"/>
                <w:bCs w:val="1"/>
                <w:color w:val="auto"/>
              </w:rPr>
              <w:t>196</w:t>
            </w:r>
          </w:p>
        </w:tc>
        <w:tc>
          <w:tcPr>
            <w:tcW w:w="54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E5E5E5"/>
          </w:tcPr>
          <w:p>
            <w:pPr>
              <w:jc w:val="right"/>
              <w:ind w:right="432"/>
              <w:spacing w:after="0"/>
              <w:rPr>
                <w:sz w:val="20"/>
                <w:szCs w:val="20"/>
                <w:color w:val="auto"/>
              </w:rPr>
            </w:pPr>
            <w:r>
              <w:rPr>
                <w:rFonts w:ascii="Arial" w:cs="Arial" w:eastAsia="Arial" w:hAnsi="Arial"/>
                <w:sz w:val="18"/>
                <w:szCs w:val="18"/>
                <w:b w:val="1"/>
                <w:bCs w:val="1"/>
                <w:color w:val="auto"/>
              </w:rPr>
              <w:t>41</w:t>
            </w:r>
          </w:p>
        </w:tc>
        <w:tc>
          <w:tcPr>
            <w:tcW w:w="1020" w:type="dxa"/>
            <w:vAlign w:val="bottom"/>
            <w:tcBorders>
              <w:bottom w:val="single" w:sz="8" w:color="auto"/>
            </w:tcBorders>
            <w:shd w:val="clear" w:color="auto" w:fill="E5E5E5"/>
          </w:tcPr>
          <w:p>
            <w:pPr>
              <w:ind w:left="520"/>
              <w:spacing w:after="0"/>
              <w:rPr>
                <w:sz w:val="20"/>
                <w:szCs w:val="20"/>
                <w:color w:val="auto"/>
              </w:rPr>
            </w:pPr>
            <w:r>
              <w:rPr>
                <w:rFonts w:ascii="Arial" w:cs="Arial" w:eastAsia="Arial" w:hAnsi="Arial"/>
                <w:sz w:val="18"/>
                <w:szCs w:val="18"/>
                <w:b w:val="1"/>
                <w:bCs w:val="1"/>
                <w:color w:val="auto"/>
                <w:w w:val="93"/>
              </w:rPr>
              <w:t>20.4%</w:t>
            </w:r>
          </w:p>
        </w:tc>
      </w:tr>
    </w:tbl>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Programming Segment Revenues</w:t>
      </w:r>
    </w:p>
    <w:p>
      <w:pPr>
        <w:spacing w:after="0" w:line="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increases in revenues for the three and nine months ended September 30, 2007 compared to the same periods in 2006 are primarily a result of increases in advertising and license fee revenues. For the three and nine months ended September 30, 2007, approximately 11% and 13%, respectively, of our Programming segment revenues were generated from our Cable segment. For the three and nine months ended September 30, 2006, approximately 12% and 11%, respectively, of our Programming segment revenues were generated from our Cable segment. These amounts are eliminated in our consolidated financial statements but are included in the amounts presented above.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Programming Segment Operating, Selling, General and Administrative Expenses</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increases in expenses for the three and nine months ended September 30, 2007 compared to the same periods in 2006 are primarily a result of an increase in the production of and programming rights costs for new and live-event programming for our programming networks, including the PGA TOUR on The Golf Channel.</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Other Income (Expense) Items</w:t>
      </w:r>
    </w:p>
    <w:p>
      <w:pPr>
        <w:spacing w:after="0" w:line="5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60" w:type="dxa"/>
            <w:vAlign w:val="bottom"/>
            <w:gridSpan w:val="3"/>
          </w:tcPr>
          <w:p>
            <w:pPr>
              <w:jc w:val="right"/>
              <w:ind w:right="496"/>
              <w:spacing w:after="0"/>
              <w:rPr>
                <w:sz w:val="20"/>
                <w:szCs w:val="20"/>
                <w:color w:val="auto"/>
              </w:rPr>
            </w:pPr>
            <w:r>
              <w:rPr>
                <w:rFonts w:ascii="Arial" w:cs="Arial" w:eastAsia="Arial" w:hAnsi="Arial"/>
                <w:sz w:val="14"/>
                <w:szCs w:val="14"/>
                <w:b w:val="1"/>
                <w:bCs w:val="1"/>
                <w:color w:val="auto"/>
                <w:w w:val="98"/>
              </w:rPr>
              <w:t>Three Months Ended</w:t>
            </w:r>
          </w:p>
        </w:tc>
        <w:tc>
          <w:tcPr>
            <w:tcW w:w="380" w:type="dxa"/>
            <w:vAlign w:val="bottom"/>
          </w:tcPr>
          <w:p>
            <w:pPr>
              <w:spacing w:after="0"/>
              <w:rPr>
                <w:sz w:val="14"/>
                <w:szCs w:val="14"/>
                <w:color w:val="auto"/>
              </w:rPr>
            </w:pPr>
          </w:p>
        </w:tc>
        <w:tc>
          <w:tcPr>
            <w:tcW w:w="1720" w:type="dxa"/>
            <w:vAlign w:val="bottom"/>
            <w:gridSpan w:val="3"/>
          </w:tcPr>
          <w:p>
            <w:pPr>
              <w:jc w:val="right"/>
              <w:ind w:right="276"/>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546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7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6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jc w:val="right"/>
              <w:ind w:right="400"/>
              <w:spacing w:after="0" w:line="142" w:lineRule="exact"/>
              <w:rPr>
                <w:sz w:val="20"/>
                <w:szCs w:val="20"/>
                <w:color w:val="auto"/>
              </w:rPr>
            </w:pPr>
            <w:r>
              <w:rPr>
                <w:rFonts w:ascii="Arial" w:cs="Arial" w:eastAsia="Arial" w:hAnsi="Arial"/>
                <w:sz w:val="14"/>
                <w:szCs w:val="14"/>
                <w:b w:val="1"/>
                <w:bCs w:val="1"/>
                <w:color w:val="auto"/>
                <w:w w:val="89"/>
              </w:rPr>
              <w:t>2007</w:t>
            </w:r>
          </w:p>
        </w:tc>
        <w:tc>
          <w:tcPr>
            <w:tcW w:w="400" w:type="dxa"/>
            <w:vAlign w:val="bottom"/>
          </w:tcPr>
          <w:p>
            <w:pPr>
              <w:spacing w:after="0"/>
              <w:rPr>
                <w:sz w:val="12"/>
                <w:szCs w:val="12"/>
                <w:color w:val="auto"/>
              </w:rPr>
            </w:pPr>
          </w:p>
        </w:tc>
        <w:tc>
          <w:tcPr>
            <w:tcW w:w="780" w:type="dxa"/>
            <w:vAlign w:val="bottom"/>
          </w:tcPr>
          <w:p>
            <w:pPr>
              <w:jc w:val="right"/>
              <w:ind w:right="396"/>
              <w:spacing w:after="0" w:line="142" w:lineRule="exact"/>
              <w:rPr>
                <w:sz w:val="20"/>
                <w:szCs w:val="20"/>
                <w:color w:val="auto"/>
              </w:rPr>
            </w:pPr>
            <w:r>
              <w:rPr>
                <w:rFonts w:ascii="Arial" w:cs="Arial" w:eastAsia="Arial" w:hAnsi="Arial"/>
                <w:sz w:val="14"/>
                <w:szCs w:val="14"/>
                <w:b w:val="1"/>
                <w:bCs w:val="1"/>
                <w:color w:val="auto"/>
                <w:w w:val="89"/>
              </w:rPr>
              <w:t>2006</w:t>
            </w:r>
          </w:p>
        </w:tc>
        <w:tc>
          <w:tcPr>
            <w:tcW w:w="380" w:type="dxa"/>
            <w:vAlign w:val="bottom"/>
          </w:tcPr>
          <w:p>
            <w:pPr>
              <w:spacing w:after="0"/>
              <w:rPr>
                <w:sz w:val="12"/>
                <w:szCs w:val="12"/>
                <w:color w:val="auto"/>
              </w:rPr>
            </w:pPr>
          </w:p>
        </w:tc>
        <w:tc>
          <w:tcPr>
            <w:tcW w:w="800" w:type="dxa"/>
            <w:vAlign w:val="bottom"/>
          </w:tcPr>
          <w:p>
            <w:pPr>
              <w:jc w:val="right"/>
              <w:ind w:right="400"/>
              <w:spacing w:after="0" w:line="142" w:lineRule="exact"/>
              <w:rPr>
                <w:sz w:val="20"/>
                <w:szCs w:val="20"/>
                <w:color w:val="auto"/>
              </w:rPr>
            </w:pPr>
            <w:r>
              <w:rPr>
                <w:rFonts w:ascii="Arial" w:cs="Arial" w:eastAsia="Arial" w:hAnsi="Arial"/>
                <w:sz w:val="14"/>
                <w:szCs w:val="14"/>
                <w:b w:val="1"/>
                <w:bCs w:val="1"/>
                <w:color w:val="auto"/>
                <w:w w:val="96"/>
              </w:rPr>
              <w:t>2007</w:t>
            </w:r>
          </w:p>
        </w:tc>
        <w:tc>
          <w:tcPr>
            <w:tcW w:w="380" w:type="dxa"/>
            <w:vAlign w:val="bottom"/>
          </w:tcPr>
          <w:p>
            <w:pPr>
              <w:spacing w:after="0"/>
              <w:rPr>
                <w:sz w:val="12"/>
                <w:szCs w:val="12"/>
                <w:color w:val="auto"/>
              </w:rPr>
            </w:pPr>
          </w:p>
        </w:tc>
        <w:tc>
          <w:tcPr>
            <w:tcW w:w="540" w:type="dxa"/>
            <w:vAlign w:val="bottom"/>
          </w:tcPr>
          <w:p>
            <w:pPr>
              <w:jc w:val="right"/>
              <w:ind w:right="136"/>
              <w:spacing w:after="0" w:line="142" w:lineRule="exact"/>
              <w:rPr>
                <w:sz w:val="20"/>
                <w:szCs w:val="20"/>
                <w:color w:val="auto"/>
              </w:rPr>
            </w:pPr>
            <w:r>
              <w:rPr>
                <w:rFonts w:ascii="Arial" w:cs="Arial" w:eastAsia="Arial" w:hAnsi="Arial"/>
                <w:sz w:val="14"/>
                <w:szCs w:val="14"/>
                <w:b w:val="1"/>
                <w:bCs w:val="1"/>
                <w:color w:val="auto"/>
                <w:w w:val="96"/>
              </w:rPr>
              <w:t>2006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Interest expense</w:t>
            </w:r>
          </w:p>
        </w:tc>
        <w:tc>
          <w:tcPr>
            <w:tcW w:w="7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E5E5E5"/>
          </w:tcPr>
          <w:p>
            <w:pPr>
              <w:jc w:val="right"/>
              <w:ind w:right="200"/>
              <w:spacing w:after="0"/>
              <w:rPr>
                <w:sz w:val="20"/>
                <w:szCs w:val="20"/>
                <w:color w:val="auto"/>
              </w:rPr>
            </w:pPr>
            <w:r>
              <w:rPr>
                <w:rFonts w:ascii="Arial" w:cs="Arial" w:eastAsia="Arial" w:hAnsi="Arial"/>
                <w:sz w:val="18"/>
                <w:szCs w:val="18"/>
                <w:color w:val="auto"/>
              </w:rPr>
              <w:t>(571)</w:t>
            </w:r>
          </w:p>
        </w:tc>
        <w:tc>
          <w:tcPr>
            <w:tcW w:w="4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E5E5E5"/>
          </w:tcPr>
          <w:p>
            <w:pPr>
              <w:jc w:val="right"/>
              <w:ind w:right="196"/>
              <w:spacing w:after="0"/>
              <w:rPr>
                <w:sz w:val="20"/>
                <w:szCs w:val="20"/>
                <w:color w:val="auto"/>
              </w:rPr>
            </w:pPr>
            <w:r>
              <w:rPr>
                <w:rFonts w:ascii="Arial" w:cs="Arial" w:eastAsia="Arial" w:hAnsi="Arial"/>
                <w:sz w:val="18"/>
                <w:szCs w:val="18"/>
                <w:color w:val="auto"/>
              </w:rPr>
              <w:t>(530)</w:t>
            </w:r>
          </w:p>
        </w:tc>
        <w:tc>
          <w:tcPr>
            <w:tcW w:w="3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E5E5E5"/>
          </w:tcPr>
          <w:p>
            <w:pPr>
              <w:jc w:val="right"/>
              <w:ind w:right="200"/>
              <w:spacing w:after="0"/>
              <w:rPr>
                <w:sz w:val="20"/>
                <w:szCs w:val="20"/>
                <w:color w:val="auto"/>
              </w:rPr>
            </w:pPr>
            <w:r>
              <w:rPr>
                <w:rFonts w:ascii="Arial" w:cs="Arial" w:eastAsia="Arial" w:hAnsi="Arial"/>
                <w:sz w:val="18"/>
                <w:szCs w:val="18"/>
                <w:color w:val="auto"/>
                <w:w w:val="87"/>
              </w:rPr>
              <w:t>(1,689)</w:t>
            </w:r>
          </w:p>
        </w:tc>
        <w:tc>
          <w:tcPr>
            <w:tcW w:w="3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87"/>
              </w:rPr>
              <w:t>(1,502)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Investment income (loss), net</w:t>
            </w:r>
          </w:p>
        </w:tc>
        <w:tc>
          <w:tcPr>
            <w:tcW w:w="760" w:type="dxa"/>
            <w:vAlign w:val="bottom"/>
          </w:tcPr>
          <w:p>
            <w:pPr>
              <w:spacing w:after="0"/>
              <w:rPr>
                <w:sz w:val="18"/>
                <w:szCs w:val="18"/>
                <w:color w:val="auto"/>
              </w:rPr>
            </w:pPr>
          </w:p>
        </w:tc>
        <w:tc>
          <w:tcPr>
            <w:tcW w:w="780" w:type="dxa"/>
            <w:vAlign w:val="bottom"/>
          </w:tcPr>
          <w:p>
            <w:pPr>
              <w:jc w:val="right"/>
              <w:ind w:right="260"/>
              <w:spacing w:after="0"/>
              <w:rPr>
                <w:sz w:val="20"/>
                <w:szCs w:val="20"/>
                <w:color w:val="auto"/>
              </w:rPr>
            </w:pPr>
            <w:r>
              <w:rPr>
                <w:rFonts w:ascii="Arial" w:cs="Arial" w:eastAsia="Arial" w:hAnsi="Arial"/>
                <w:sz w:val="18"/>
                <w:szCs w:val="18"/>
                <w:color w:val="auto"/>
              </w:rPr>
              <w:t>158</w:t>
            </w:r>
          </w:p>
        </w:tc>
        <w:tc>
          <w:tcPr>
            <w:tcW w:w="400" w:type="dxa"/>
            <w:vAlign w:val="bottom"/>
          </w:tcPr>
          <w:p>
            <w:pPr>
              <w:spacing w:after="0"/>
              <w:rPr>
                <w:sz w:val="18"/>
                <w:szCs w:val="18"/>
                <w:color w:val="auto"/>
              </w:rPr>
            </w:pPr>
          </w:p>
        </w:tc>
        <w:tc>
          <w:tcPr>
            <w:tcW w:w="780" w:type="dxa"/>
            <w:vAlign w:val="bottom"/>
          </w:tcPr>
          <w:p>
            <w:pPr>
              <w:jc w:val="right"/>
              <w:ind w:right="256"/>
              <w:spacing w:after="0"/>
              <w:rPr>
                <w:sz w:val="20"/>
                <w:szCs w:val="20"/>
                <w:color w:val="auto"/>
              </w:rPr>
            </w:pPr>
            <w:r>
              <w:rPr>
                <w:rFonts w:ascii="Arial" w:cs="Arial" w:eastAsia="Arial" w:hAnsi="Arial"/>
                <w:sz w:val="18"/>
                <w:szCs w:val="18"/>
                <w:color w:val="auto"/>
              </w:rPr>
              <w:t>857</w:t>
            </w:r>
          </w:p>
        </w:tc>
        <w:tc>
          <w:tcPr>
            <w:tcW w:w="380" w:type="dxa"/>
            <w:vAlign w:val="bottom"/>
          </w:tcPr>
          <w:p>
            <w:pPr>
              <w:spacing w:after="0"/>
              <w:rPr>
                <w:sz w:val="18"/>
                <w:szCs w:val="18"/>
                <w:color w:val="auto"/>
              </w:rPr>
            </w:pPr>
          </w:p>
        </w:tc>
        <w:tc>
          <w:tcPr>
            <w:tcW w:w="800" w:type="dxa"/>
            <w:vAlign w:val="bottom"/>
          </w:tcPr>
          <w:p>
            <w:pPr>
              <w:jc w:val="right"/>
              <w:ind w:right="260"/>
              <w:spacing w:after="0"/>
              <w:rPr>
                <w:sz w:val="20"/>
                <w:szCs w:val="20"/>
                <w:color w:val="auto"/>
              </w:rPr>
            </w:pPr>
            <w:r>
              <w:rPr>
                <w:rFonts w:ascii="Arial" w:cs="Arial" w:eastAsia="Arial" w:hAnsi="Arial"/>
                <w:sz w:val="18"/>
                <w:szCs w:val="18"/>
                <w:color w:val="auto"/>
              </w:rPr>
              <w:t>458</w:t>
            </w:r>
          </w:p>
        </w:tc>
        <w:tc>
          <w:tcPr>
            <w:tcW w:w="3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E5E5E5"/>
          </w:tcPr>
          <w:p>
            <w:pPr>
              <w:spacing w:after="0"/>
              <w:rPr>
                <w:sz w:val="20"/>
                <w:szCs w:val="20"/>
                <w:color w:val="auto"/>
              </w:rPr>
            </w:pPr>
            <w:r>
              <w:rPr>
                <w:rFonts w:ascii="Arial" w:cs="Arial" w:eastAsia="Arial" w:hAnsi="Arial"/>
                <w:sz w:val="18"/>
                <w:szCs w:val="18"/>
                <w:color w:val="auto"/>
              </w:rPr>
              <w:t>Equity in net (losses) income of affiliates, net</w:t>
            </w:r>
          </w:p>
        </w:tc>
        <w:tc>
          <w:tcPr>
            <w:tcW w:w="76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200"/>
              <w:spacing w:after="0"/>
              <w:rPr>
                <w:sz w:val="20"/>
                <w:szCs w:val="20"/>
                <w:color w:val="auto"/>
              </w:rPr>
            </w:pPr>
            <w:r>
              <w:rPr>
                <w:rFonts w:ascii="Arial" w:cs="Arial" w:eastAsia="Arial" w:hAnsi="Arial"/>
                <w:sz w:val="18"/>
                <w:szCs w:val="18"/>
                <w:color w:val="auto"/>
              </w:rPr>
              <w:t>(12)</w:t>
            </w:r>
          </w:p>
        </w:tc>
        <w:tc>
          <w:tcPr>
            <w:tcW w:w="4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96"/>
              <w:spacing w:after="0"/>
              <w:rPr>
                <w:sz w:val="20"/>
                <w:szCs w:val="20"/>
                <w:color w:val="auto"/>
              </w:rPr>
            </w:pPr>
            <w:r>
              <w:rPr>
                <w:rFonts w:ascii="Arial" w:cs="Arial" w:eastAsia="Arial" w:hAnsi="Arial"/>
                <w:sz w:val="18"/>
                <w:szCs w:val="18"/>
                <w:color w:val="auto"/>
              </w:rPr>
              <w:t>(65)</w:t>
            </w:r>
          </w:p>
        </w:tc>
        <w:tc>
          <w:tcPr>
            <w:tcW w:w="3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00"/>
              <w:spacing w:after="0"/>
              <w:rPr>
                <w:sz w:val="20"/>
                <w:szCs w:val="20"/>
                <w:color w:val="auto"/>
              </w:rPr>
            </w:pPr>
            <w:r>
              <w:rPr>
                <w:rFonts w:ascii="Arial" w:cs="Arial" w:eastAsia="Arial" w:hAnsi="Arial"/>
                <w:sz w:val="18"/>
                <w:szCs w:val="18"/>
                <w:color w:val="auto"/>
              </w:rPr>
              <w:t>(49)</w:t>
            </w:r>
          </w:p>
        </w:tc>
        <w:tc>
          <w:tcPr>
            <w:tcW w:w="380" w:type="dxa"/>
            <w:vAlign w:val="bottom"/>
            <w:shd w:val="clear" w:color="auto" w:fill="E5E5E5"/>
          </w:tcPr>
          <w:p>
            <w:pPr>
              <w:spacing w:after="0"/>
              <w:rPr>
                <w:sz w:val="18"/>
                <w:szCs w:val="18"/>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Other income (expense)</w:t>
            </w:r>
          </w:p>
        </w:tc>
        <w:tc>
          <w:tcPr>
            <w:tcW w:w="7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00"/>
              <w:spacing w:after="0"/>
              <w:rPr>
                <w:sz w:val="20"/>
                <w:szCs w:val="20"/>
                <w:color w:val="auto"/>
              </w:rPr>
            </w:pPr>
            <w:r>
              <w:rPr>
                <w:rFonts w:ascii="Arial" w:cs="Arial" w:eastAsia="Arial" w:hAnsi="Arial"/>
                <w:sz w:val="18"/>
                <w:szCs w:val="18"/>
                <w:color w:val="auto"/>
              </w:rPr>
              <w:t>(1)</w:t>
            </w: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rPr>
              <w:t>96</w:t>
            </w: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60"/>
              <w:spacing w:after="0"/>
              <w:rPr>
                <w:sz w:val="20"/>
                <w:szCs w:val="20"/>
                <w:color w:val="auto"/>
              </w:rPr>
            </w:pPr>
            <w:r>
              <w:rPr>
                <w:rFonts w:ascii="Arial" w:cs="Arial" w:eastAsia="Arial" w:hAnsi="Arial"/>
                <w:sz w:val="18"/>
                <w:szCs w:val="18"/>
                <w:color w:val="auto"/>
              </w:rPr>
              <w:t>513</w:t>
            </w:r>
          </w:p>
        </w:tc>
        <w:tc>
          <w:tcPr>
            <w:tcW w:w="3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4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Total</w:t>
            </w:r>
          </w:p>
        </w:tc>
        <w:tc>
          <w:tcPr>
            <w:tcW w:w="7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E5E5E5"/>
          </w:tcPr>
          <w:p>
            <w:pPr>
              <w:jc w:val="right"/>
              <w:ind w:right="200"/>
              <w:spacing w:after="0"/>
              <w:rPr>
                <w:sz w:val="20"/>
                <w:szCs w:val="20"/>
                <w:color w:val="auto"/>
              </w:rPr>
            </w:pPr>
            <w:r>
              <w:rPr>
                <w:rFonts w:ascii="Arial" w:cs="Arial" w:eastAsia="Arial" w:hAnsi="Arial"/>
                <w:sz w:val="18"/>
                <w:szCs w:val="18"/>
                <w:b w:val="1"/>
                <w:bCs w:val="1"/>
                <w:color w:val="auto"/>
              </w:rPr>
              <w:t>(426)</w:t>
            </w:r>
          </w:p>
        </w:tc>
        <w:tc>
          <w:tcPr>
            <w:tcW w:w="4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E5E5E5"/>
          </w:tcPr>
          <w:p>
            <w:pPr>
              <w:jc w:val="right"/>
              <w:ind w:right="256"/>
              <w:spacing w:after="0"/>
              <w:rPr>
                <w:sz w:val="20"/>
                <w:szCs w:val="20"/>
                <w:color w:val="auto"/>
              </w:rPr>
            </w:pPr>
            <w:r>
              <w:rPr>
                <w:rFonts w:ascii="Arial" w:cs="Arial" w:eastAsia="Arial" w:hAnsi="Arial"/>
                <w:sz w:val="18"/>
                <w:szCs w:val="18"/>
                <w:b w:val="1"/>
                <w:bCs w:val="1"/>
                <w:color w:val="auto"/>
              </w:rPr>
              <w:t>358</w:t>
            </w:r>
          </w:p>
        </w:tc>
        <w:tc>
          <w:tcPr>
            <w:tcW w:w="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E5E5E5"/>
          </w:tcPr>
          <w:p>
            <w:pPr>
              <w:jc w:val="right"/>
              <w:ind w:right="200"/>
              <w:spacing w:after="0"/>
              <w:rPr>
                <w:sz w:val="20"/>
                <w:szCs w:val="20"/>
                <w:color w:val="auto"/>
              </w:rPr>
            </w:pPr>
            <w:r>
              <w:rPr>
                <w:rFonts w:ascii="Arial" w:cs="Arial" w:eastAsia="Arial" w:hAnsi="Arial"/>
                <w:sz w:val="18"/>
                <w:szCs w:val="18"/>
                <w:b w:val="1"/>
                <w:bCs w:val="1"/>
                <w:color w:val="auto"/>
              </w:rPr>
              <w:t>(767)</w:t>
            </w:r>
          </w:p>
        </w:tc>
        <w:tc>
          <w:tcPr>
            <w:tcW w:w="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(459)</w:t>
            </w:r>
          </w:p>
        </w:tc>
        <w:tc>
          <w:tcPr>
            <w:tcW w:w="0" w:type="dxa"/>
            <w:vAlign w:val="bottom"/>
          </w:tcPr>
          <w:p>
            <w:pPr>
              <w:spacing w:after="0"/>
              <w:rPr>
                <w:sz w:val="1"/>
                <w:szCs w:val="1"/>
                <w:color w:val="auto"/>
              </w:rPr>
            </w:pPr>
          </w:p>
        </w:tc>
      </w:tr>
    </w:tbl>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7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increases in interest expense for the three and nine months ended September 30, 2007 compared to the same periods in 2006 are primarily the result of an increase in our average debt outstanding.</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SEPTEMBER 30, 2007</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 (Loss), Net</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components of investment income (loss), net for the three and nine months ended September 30, 2007 and 2006 are presented in a table in Note 5 to our consolidated financial statements.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7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Other income for the nine months ended September 30, 2007 consists primarily of a gain of approximately $500 million on the sale of our 50% interest in the Kansas City Asset Pool in connection with the TKCCP transaction. Other income for the nine months ended September 30, 2006, consists primarily of $154 million of gains on the sales of investment assets and a $35 million gain on the sale of one of our equity method investments.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7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Income tax expense for the three and nine months ended September 30, 2007 reflects an income tax rate higher than the federal statutory rate primarily as a result of state income taxes and interest on uncertain tax positions. New tax legislation was enacted in the state of Michigan in July 2007 that required us to record additional deferred state income tax expense and liabilities related to differences between our recorded book and tax bases, primarily related to our acquired indefinite-lived intangible assets. This legislation was amended in September 2007, which allowed us to record an equivalent deferred tax asset. As a result, the Michigan legislation did not impact our tax expense during the period. We expect our 2007 annual effective tax rate to be in the range of 40% to 45%. Income tax expense for the three and nine months ended September 30, 2006 reflects an income tax rate higher than the federal statutory rate primarily due to state income taxes and adjustments to prior year accruals, including related interest.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operating results of our previously owned cable systems located in Los Angeles, Dallas and Cleveland, reported as discontinued operations for the three and nine months ended September 30, 2006, include one month and seven months of operations, respectively, as the closing date of the transaction was July 31, 2006. As a result of the transaction, we recognized a gain on the sale of these systems of $234 million, net of tax of $563 million.</w:t>
      </w:r>
    </w:p>
    <w:p>
      <w:pPr>
        <w:spacing w:after="0" w:line="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8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Our businesses generate significant cash flow from operating activities. The proceeds from monetizing our nonstrategic investments have also provided us with a significant source of cash flow. We believe that we will be able to meet our current and long-term liquidity and capital requirements, including fixed charges, through our cash flows from operating activities, existing cash, cash equivalents and investments; through available borrowings under our existing credit facilities; and through our ability to obtain future external financing. We anticipate continuing to use a substantial portion of our cash flow to fund our capital expenditures, invest in business opportunities and repurchase our stock.</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Net cash provided by operating activities was $6.1 billion for the nine months ended September 30, 2007, reflecting an increase of approximately $900 million compared to the same period in 2006. The $6.1 billion is the result of operating income before depreciation and amortization of $8.7 billion and proceeds from the sale of trading securities of $603 million, reduced by interest and income tax payments of $3.1 billion. The remaining amount relates primarily to noncash changes in operating accounts based on accrual accounting and noncash expenses, such as share-based compensation.</w:t>
      </w:r>
    </w:p>
    <w:p>
      <w:pPr>
        <w:spacing w:after="0" w:line="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Proceeds from the sale of trading securities are presented within cash provided by operating activities in accordance with generally accepted accounting principles. These amounts are not related to operations but result from the sales of investments. During the nine months ended September 30, 2007, we made cash payments for interest totaling $1.7 billion and cash payments for income taxes totaling $1.4 billion. Our tax payments include $376 million related to the settlement of federal tax audits.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SEPTEMBER 30, 2007</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cash provided by financing activities was $684 million for the nine months ended September 30, 2007 and consisted primarily of cash proceeds received from borrowings of $3.6 billion and the issuance of shares, primarily under our share-based compensation plans, of $404 million. These cash inflows were partially offset by our debt repayments of $1.5 billion and repurchases of approximately 70 million shares of our Class A Special common stock for $1.85 billion (recognized on a settlement date or cash basis).</w:t>
      </w:r>
    </w:p>
    <w:p>
      <w:pPr>
        <w:spacing w:after="0" w:line="4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in the past made and may from time to time in the future make optional repayments on our debt obligations depending on various factors, such as market conditions. These repayments may include repurchases of our outstanding public notes and debentures.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Borrowings Under Credit Facilities</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traditionally maintain significant availability under our lines of credit and commercial paper program to meet our short-term liquidity requirements. As of September 30, 2007, amounts available under these facilities totaled approximately $4.7 billion.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September 30, 2007, the maximum dollar value of shares that may be repurchased under our Board-authorized share repurchase program is approximately $1.2 billion. We expect such repurchases to continue from time to time in the open market or in private transactions, subject to market conditions. In October 2007, the Board of Directors authorized a $7 billion addition to the existing share repurchase program, increasing the maximum dollar value of shares available to approximately $8.2 billion.</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See Note 7 to our consolidated financial statements for further discussion of our financing activities.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investing activities was $5.1 billion for the nine months ended September 30, 2007 and consisted primarily of capital expenditures of $4.6 billion, cash paid for intangible assets of $313 million and acquisitions of $1.3 billion. These cash outflows were partially offset by proceeds received from the sale of investments of $1.1 billion.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most significant recurring investing activity has been capital expenditures and we expect that this will continue in the future.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available cash and cash equivalents have increased to $2.9 billion as of September 30, 2007 from $1.2 billion as of December 31, 2006. We anticipate using a portion of this amount to retire the debt allocated to us in the Insight transaction (see Note 5).</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Judgments and Estimates</w:t>
      </w:r>
    </w:p>
    <w:p>
      <w:pPr>
        <w:spacing w:after="0" w:line="8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preparation of our consolidated financial statements requires us to make estimates that affect the reported amounts of assets, liabilities, revenues and expenses, and related disclosure of contingent assets and contingent liabilities. We base our judgments on historical experience and on various other assumptions that we believe are reasonable under the circumstances, the results of which form the basis for making estimates about the carrying values of assets and liabilities that are not readily apparent from other sources. Actual results may differ from these estimates under different assumptions or conditions.</w:t>
      </w:r>
    </w:p>
    <w:p>
      <w:pPr>
        <w:spacing w:after="0" w:line="1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believe our judgments and related estimates associated with the valuation and impairment testing of our cable franchise rights and the accounting for income taxes and legal contingencies are critical in the preparation of our financial statements.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SEPTEMBER 30, 2007</w:t>
      </w:r>
    </w:p>
    <w:p>
      <w:pPr>
        <w:spacing w:after="0" w:line="133"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evaluate the unit of account used to test for impairment of our cable franchise rights periodically to ensure testing is performed at an appropriate level. Prior to 2007, we used our cable regions as the unit of account. Frequent reorganizations of our regions and further management centralization of our cable operations led us to conclude that our cable divisions are more reflective of how we manage and operate the assets and, therefore, are the appropriate unit of account. Consequently, effective April 1, 2007 (our annual impairment testing date), we changed the unit of account to cable divisions from cable regions. We tested for impairment at the region level prior to combining our 29 regions into 5 divisions to confirm that no impairment existed prior to the change.</w:t>
      </w:r>
    </w:p>
    <w:p>
      <w:pPr>
        <w:spacing w:after="0" w:line="2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a full discussion of our accounting judgments and estimates that we have identified as critical in the preparation of our consolidated financial statements, please refer to our 2006 Form 10-K.</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significant changes to the information required under this item from what was disclosed in our 2006 Form 10-K.</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Conclusions regarding disclosure controls and procedures</w:t>
      </w:r>
    </w:p>
    <w:p>
      <w:pPr>
        <w:spacing w:after="0" w:line="7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chief executive officer and our co-chief financial officers, after evaluating the effectiveness of our disclosure controls and procedures (as defined in the Securities Exchange Act of 1934 Rules 13a-15(e) or 15d-15(e)) as of the end of the period covered by this report, have concluded, based on the evaluation of these controls and procedures required by paragraph (b) of Exchange Act Rules 13a-15 or 15d-15, that our disclosure controls and procedures were effective.</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paragraph (d) of Exchange Act Rules 13a-15 or 15d-15 that occurred during our last fiscal quarter that have materially affected, or are reasonably likely to materially affect, our internal control over financial reporting.</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SEPTEMBER 30, 2007</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 OTHER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8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Refer to Note 11 to our consolidated financial statements of this Quarterly Report on Form 10-Q for a discussion of recent developments related to our legal proceedings.</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significant changes from the risk factors previously disclosed in Item 1A of our 2006 Form 10-K.</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summary of our repurchases during the three months ended September 30, 2007, under our Board-authorized share repurchase program, on a trade-date basis, is presented in the table below. In October 2007, the Board of Directors authorized a $7 billion addition to the existing share repurchase program, increasing the maximum dollar value of shares available for repurchase under the program to approximately $8.2 billion.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Purchases of Equity Securities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89"/>
              </w:rPr>
              <w:t>Total Number of</w:t>
            </w:r>
          </w:p>
        </w:tc>
        <w:tc>
          <w:tcPr>
            <w:tcW w:w="1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640" w:type="dxa"/>
            <w:vAlign w:val="bottom"/>
          </w:tcPr>
          <w:p>
            <w:pPr>
              <w:jc w:val="center"/>
              <w:ind w:left="182"/>
              <w:spacing w:after="0" w:line="149" w:lineRule="exact"/>
              <w:rPr>
                <w:sz w:val="20"/>
                <w:szCs w:val="20"/>
                <w:color w:val="auto"/>
              </w:rPr>
            </w:pPr>
            <w:r>
              <w:rPr>
                <w:rFonts w:ascii="Arial" w:cs="Arial" w:eastAsia="Arial" w:hAnsi="Arial"/>
                <w:sz w:val="14"/>
                <w:szCs w:val="14"/>
                <w:b w:val="1"/>
                <w:bCs w:val="1"/>
                <w:color w:val="auto"/>
                <w:w w:val="89"/>
              </w:rPr>
              <w:t>Total</w:t>
            </w: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Purchased as</w:t>
            </w: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 Dollars</w:t>
            </w:r>
          </w:p>
        </w:tc>
        <w:tc>
          <w:tcPr>
            <w:tcW w:w="1660" w:type="dxa"/>
            <w:vAlign w:val="bottom"/>
            <w:gridSpan w:val="3"/>
          </w:tcPr>
          <w:p>
            <w:pPr>
              <w:ind w:left="280"/>
              <w:spacing w:after="0" w:line="149" w:lineRule="exact"/>
              <w:rPr>
                <w:sz w:val="20"/>
                <w:szCs w:val="20"/>
                <w:color w:val="auto"/>
              </w:rPr>
            </w:pPr>
            <w:r>
              <w:rPr>
                <w:rFonts w:ascii="Arial" w:cs="Arial" w:eastAsia="Arial" w:hAnsi="Arial"/>
                <w:sz w:val="14"/>
                <w:szCs w:val="14"/>
                <w:b w:val="1"/>
                <w:bCs w:val="1"/>
                <w:color w:val="auto"/>
                <w:w w:val="91"/>
              </w:rPr>
              <w:t>Maximum Dollar Value</w:t>
            </w: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640" w:type="dxa"/>
            <w:vAlign w:val="bottom"/>
          </w:tcPr>
          <w:p>
            <w:pPr>
              <w:jc w:val="center"/>
              <w:ind w:left="202"/>
              <w:spacing w:after="0" w:line="149" w:lineRule="exact"/>
              <w:rPr>
                <w:sz w:val="20"/>
                <w:szCs w:val="20"/>
                <w:color w:val="auto"/>
              </w:rPr>
            </w:pPr>
            <w:r>
              <w:rPr>
                <w:rFonts w:ascii="Arial" w:cs="Arial" w:eastAsia="Arial" w:hAnsi="Arial"/>
                <w:sz w:val="14"/>
                <w:szCs w:val="14"/>
                <w:b w:val="1"/>
                <w:bCs w:val="1"/>
                <w:color w:val="auto"/>
                <w:w w:val="90"/>
              </w:rPr>
              <w:t>Number</w:t>
            </w: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Part of Publicly</w:t>
            </w: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Purchased</w:t>
            </w:r>
          </w:p>
        </w:tc>
        <w:tc>
          <w:tcPr>
            <w:tcW w:w="1660" w:type="dxa"/>
            <w:vAlign w:val="bottom"/>
            <w:gridSpan w:val="3"/>
          </w:tcPr>
          <w:p>
            <w:pPr>
              <w:ind w:left="300"/>
              <w:spacing w:after="0" w:line="149" w:lineRule="exact"/>
              <w:rPr>
                <w:sz w:val="20"/>
                <w:szCs w:val="20"/>
                <w:color w:val="auto"/>
              </w:rPr>
            </w:pPr>
            <w:r>
              <w:rPr>
                <w:rFonts w:ascii="Arial" w:cs="Arial" w:eastAsia="Arial" w:hAnsi="Arial"/>
                <w:sz w:val="14"/>
                <w:szCs w:val="14"/>
                <w:b w:val="1"/>
                <w:bCs w:val="1"/>
                <w:color w:val="auto"/>
                <w:w w:val="89"/>
              </w:rPr>
              <w:t>of Shares that May Yet</w:t>
            </w: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640" w:type="dxa"/>
            <w:vAlign w:val="bottom"/>
          </w:tcPr>
          <w:p>
            <w:pPr>
              <w:jc w:val="center"/>
              <w:ind w:left="202"/>
              <w:spacing w:after="0" w:line="149" w:lineRule="exact"/>
              <w:rPr>
                <w:sz w:val="20"/>
                <w:szCs w:val="20"/>
                <w:color w:val="auto"/>
              </w:rPr>
            </w:pPr>
            <w:r>
              <w:rPr>
                <w:rFonts w:ascii="Arial" w:cs="Arial" w:eastAsia="Arial" w:hAnsi="Arial"/>
                <w:sz w:val="14"/>
                <w:szCs w:val="14"/>
                <w:b w:val="1"/>
                <w:bCs w:val="1"/>
                <w:color w:val="auto"/>
                <w:w w:val="81"/>
              </w:rPr>
              <w:t>of Shares</w:t>
            </w:r>
          </w:p>
        </w:tc>
        <w:tc>
          <w:tcPr>
            <w:tcW w:w="1380" w:type="dxa"/>
            <w:vAlign w:val="bottom"/>
            <w:gridSpan w:val="2"/>
          </w:tcPr>
          <w:p>
            <w:pPr>
              <w:ind w:left="280"/>
              <w:spacing w:after="0" w:line="149" w:lineRule="exact"/>
              <w:rPr>
                <w:sz w:val="20"/>
                <w:szCs w:val="20"/>
                <w:color w:val="auto"/>
              </w:rPr>
            </w:pPr>
            <w:r>
              <w:rPr>
                <w:rFonts w:ascii="Arial" w:cs="Arial" w:eastAsia="Arial" w:hAnsi="Arial"/>
                <w:sz w:val="14"/>
                <w:szCs w:val="14"/>
                <w:b w:val="1"/>
                <w:bCs w:val="1"/>
                <w:color w:val="auto"/>
              </w:rPr>
              <w:t>Average Price</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Announced</w:t>
            </w: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Under</w:t>
            </w:r>
          </w:p>
        </w:tc>
        <w:tc>
          <w:tcPr>
            <w:tcW w:w="360" w:type="dxa"/>
            <w:vAlign w:val="bottom"/>
          </w:tcPr>
          <w:p>
            <w:pPr>
              <w:spacing w:after="0"/>
              <w:rPr>
                <w:sz w:val="12"/>
                <w:szCs w:val="12"/>
                <w:color w:val="auto"/>
              </w:rPr>
            </w:pPr>
          </w:p>
        </w:tc>
        <w:tc>
          <w:tcPr>
            <w:tcW w:w="13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Be Purchased Under</w:t>
            </w:r>
          </w:p>
        </w:tc>
      </w:tr>
      <w:tr>
        <w:trPr>
          <w:trHeight w:val="161"/>
        </w:trPr>
        <w:tc>
          <w:tcPr>
            <w:tcW w:w="346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1640" w:type="dxa"/>
            <w:vAlign w:val="bottom"/>
          </w:tcPr>
          <w:p>
            <w:pPr>
              <w:jc w:val="center"/>
              <w:ind w:left="202"/>
              <w:spacing w:after="0"/>
              <w:rPr>
                <w:sz w:val="20"/>
                <w:szCs w:val="20"/>
                <w:color w:val="auto"/>
              </w:rPr>
            </w:pPr>
            <w:r>
              <w:rPr>
                <w:rFonts w:ascii="Arial" w:cs="Arial" w:eastAsia="Arial" w:hAnsi="Arial"/>
                <w:sz w:val="14"/>
                <w:szCs w:val="14"/>
                <w:b w:val="1"/>
                <w:bCs w:val="1"/>
                <w:color w:val="auto"/>
                <w:w w:val="83"/>
              </w:rPr>
              <w:t>Purchased</w:t>
            </w:r>
          </w:p>
        </w:tc>
        <w:tc>
          <w:tcPr>
            <w:tcW w:w="380" w:type="dxa"/>
            <w:vAlign w:val="bottom"/>
          </w:tcPr>
          <w:p>
            <w:pPr>
              <w:spacing w:after="0"/>
              <w:rPr>
                <w:sz w:val="14"/>
                <w:szCs w:val="14"/>
                <w:color w:val="auto"/>
              </w:rPr>
            </w:pPr>
          </w:p>
        </w:tc>
        <w:tc>
          <w:tcPr>
            <w:tcW w:w="1000" w:type="dxa"/>
            <w:vAlign w:val="bottom"/>
          </w:tcPr>
          <w:p>
            <w:pPr>
              <w:jc w:val="right"/>
              <w:ind w:right="316"/>
              <w:spacing w:after="0"/>
              <w:rPr>
                <w:sz w:val="20"/>
                <w:szCs w:val="20"/>
                <w:color w:val="auto"/>
              </w:rPr>
            </w:pPr>
            <w:r>
              <w:rPr>
                <w:rFonts w:ascii="Arial" w:cs="Arial" w:eastAsia="Arial" w:hAnsi="Arial"/>
                <w:sz w:val="14"/>
                <w:szCs w:val="14"/>
                <w:b w:val="1"/>
                <w:bCs w:val="1"/>
                <w:color w:val="auto"/>
                <w:w w:val="89"/>
              </w:rPr>
              <w:t>per Share</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0"/>
              </w:rPr>
              <w:t>Program</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7"/>
              </w:rPr>
              <w:t>the Program</w:t>
            </w:r>
          </w:p>
        </w:tc>
        <w:tc>
          <w:tcPr>
            <w:tcW w:w="360" w:type="dxa"/>
            <w:vAlign w:val="bottom"/>
          </w:tcPr>
          <w:p>
            <w:pPr>
              <w:spacing w:after="0"/>
              <w:rPr>
                <w:sz w:val="14"/>
                <w:szCs w:val="14"/>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the Program(a)</w:t>
            </w:r>
          </w:p>
        </w:tc>
      </w:tr>
      <w:tr>
        <w:trPr>
          <w:trHeight w:val="210"/>
        </w:trPr>
        <w:tc>
          <w:tcPr>
            <w:tcW w:w="20" w:type="dxa"/>
            <w:vAlign w:val="bottom"/>
          </w:tcPr>
          <w:p>
            <w:pPr>
              <w:spacing w:after="0"/>
              <w:rPr>
                <w:sz w:val="18"/>
                <w:szCs w:val="18"/>
                <w:color w:val="auto"/>
              </w:rPr>
            </w:pPr>
          </w:p>
        </w:tc>
        <w:tc>
          <w:tcPr>
            <w:tcW w:w="3440" w:type="dxa"/>
            <w:vAlign w:val="bottom"/>
            <w:tcBorders>
              <w:top w:val="single" w:sz="8" w:color="auto"/>
            </w:tcBorders>
            <w:gridSpan w:val="2"/>
            <w:shd w:val="clear" w:color="auto" w:fill="E5E5E5"/>
          </w:tcPr>
          <w:p>
            <w:pPr>
              <w:spacing w:after="0"/>
              <w:rPr>
                <w:sz w:val="20"/>
                <w:szCs w:val="20"/>
                <w:color w:val="auto"/>
              </w:rPr>
            </w:pPr>
            <w:r>
              <w:rPr>
                <w:rFonts w:ascii="Arial" w:cs="Arial" w:eastAsia="Arial" w:hAnsi="Arial"/>
                <w:sz w:val="18"/>
                <w:szCs w:val="18"/>
                <w:color w:val="auto"/>
              </w:rPr>
              <w:t>July 1-31, 2007</w:t>
            </w:r>
          </w:p>
        </w:tc>
        <w:tc>
          <w:tcPr>
            <w:tcW w:w="1640" w:type="dxa"/>
            <w:vAlign w:val="bottom"/>
            <w:tcBorders>
              <w:top w:val="single" w:sz="8" w:color="auto"/>
            </w:tcBorders>
            <w:shd w:val="clear" w:color="auto" w:fill="E5E5E5"/>
          </w:tcPr>
          <w:p>
            <w:pPr>
              <w:jc w:val="right"/>
              <w:ind w:right="202"/>
              <w:spacing w:after="0"/>
              <w:rPr>
                <w:sz w:val="20"/>
                <w:szCs w:val="20"/>
                <w:color w:val="auto"/>
              </w:rPr>
            </w:pPr>
            <w:r>
              <w:rPr>
                <w:rFonts w:ascii="Arial" w:cs="Arial" w:eastAsia="Arial" w:hAnsi="Arial"/>
                <w:sz w:val="18"/>
                <w:szCs w:val="18"/>
                <w:color w:val="auto"/>
              </w:rPr>
              <w:t>9,667,599</w:t>
            </w:r>
          </w:p>
        </w:tc>
        <w:tc>
          <w:tcPr>
            <w:tcW w:w="380" w:type="dxa"/>
            <w:vAlign w:val="bottom"/>
            <w:tcBorders>
              <w:top w:val="single" w:sz="8" w:color="auto"/>
            </w:tcBorders>
            <w:shd w:val="clear" w:color="auto" w:fill="E5E5E5"/>
          </w:tcPr>
          <w:p>
            <w:pPr>
              <w:ind w:left="28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E5E5E5"/>
          </w:tcPr>
          <w:p>
            <w:pPr>
              <w:jc w:val="right"/>
              <w:ind w:right="196"/>
              <w:spacing w:after="0"/>
              <w:rPr>
                <w:sz w:val="20"/>
                <w:szCs w:val="20"/>
                <w:color w:val="auto"/>
              </w:rPr>
            </w:pPr>
            <w:r>
              <w:rPr>
                <w:rFonts w:ascii="Arial" w:cs="Arial" w:eastAsia="Arial" w:hAnsi="Arial"/>
                <w:sz w:val="18"/>
                <w:szCs w:val="18"/>
                <w:color w:val="auto"/>
              </w:rPr>
              <w:t>27.61</w:t>
            </w:r>
          </w:p>
        </w:tc>
        <w:tc>
          <w:tcPr>
            <w:tcW w:w="1760" w:type="dxa"/>
            <w:vAlign w:val="bottom"/>
            <w:tcBorders>
              <w:top w:val="single" w:sz="8" w:color="auto"/>
            </w:tcBorders>
            <w:shd w:val="clear" w:color="auto" w:fill="E5E5E5"/>
          </w:tcPr>
          <w:p>
            <w:pPr>
              <w:jc w:val="right"/>
              <w:ind w:right="223"/>
              <w:spacing w:after="0"/>
              <w:rPr>
                <w:sz w:val="20"/>
                <w:szCs w:val="20"/>
                <w:color w:val="auto"/>
              </w:rPr>
            </w:pPr>
            <w:r>
              <w:rPr>
                <w:rFonts w:ascii="Arial" w:cs="Arial" w:eastAsia="Arial" w:hAnsi="Arial"/>
                <w:sz w:val="18"/>
                <w:szCs w:val="18"/>
                <w:color w:val="auto"/>
              </w:rPr>
              <w:t>9,667,599</w:t>
            </w:r>
          </w:p>
        </w:tc>
        <w:tc>
          <w:tcPr>
            <w:tcW w:w="1540" w:type="dxa"/>
            <w:vAlign w:val="bottom"/>
            <w:tcBorders>
              <w:top w:val="single" w:sz="8" w:color="auto"/>
            </w:tcBorders>
            <w:shd w:val="clear" w:color="auto" w:fill="E5E5E5"/>
          </w:tcPr>
          <w:p>
            <w:pPr>
              <w:jc w:val="right"/>
              <w:ind w:right="222"/>
              <w:spacing w:after="0"/>
              <w:rPr>
                <w:sz w:val="20"/>
                <w:szCs w:val="20"/>
                <w:color w:val="auto"/>
              </w:rPr>
            </w:pPr>
            <w:r>
              <w:rPr>
                <w:rFonts w:ascii="Arial" w:cs="Arial" w:eastAsia="Arial" w:hAnsi="Arial"/>
                <w:sz w:val="18"/>
                <w:szCs w:val="18"/>
                <w:color w:val="auto"/>
              </w:rPr>
              <w:t>$266,899,837</w:t>
            </w:r>
          </w:p>
        </w:tc>
        <w:tc>
          <w:tcPr>
            <w:tcW w:w="360" w:type="dxa"/>
            <w:vAlign w:val="bottom"/>
            <w:tcBorders>
              <w:top w:val="single" w:sz="8" w:color="auto"/>
            </w:tcBorders>
            <w:shd w:val="clear" w:color="auto" w:fill="E5E5E5"/>
          </w:tcPr>
          <w:p>
            <w:pPr>
              <w:ind w:left="280"/>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1,489,233,171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August 1-31, 2007</w:t>
            </w:r>
          </w:p>
        </w:tc>
        <w:tc>
          <w:tcPr>
            <w:tcW w:w="1640" w:type="dxa"/>
            <w:vAlign w:val="bottom"/>
          </w:tcPr>
          <w:p>
            <w:pPr>
              <w:jc w:val="right"/>
              <w:ind w:right="202"/>
              <w:spacing w:after="0"/>
              <w:rPr>
                <w:sz w:val="20"/>
                <w:szCs w:val="20"/>
                <w:color w:val="auto"/>
              </w:rPr>
            </w:pPr>
            <w:r>
              <w:rPr>
                <w:rFonts w:ascii="Arial" w:cs="Arial" w:eastAsia="Arial" w:hAnsi="Arial"/>
                <w:sz w:val="18"/>
                <w:szCs w:val="18"/>
                <w:color w:val="auto"/>
              </w:rPr>
              <w:t>9,224,032</w:t>
            </w:r>
          </w:p>
        </w:tc>
        <w:tc>
          <w:tcPr>
            <w:tcW w:w="380" w:type="dxa"/>
            <w:vAlign w:val="bottom"/>
          </w:tcPr>
          <w:p>
            <w:pPr>
              <w:ind w:left="28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96"/>
              <w:spacing w:after="0"/>
              <w:rPr>
                <w:sz w:val="20"/>
                <w:szCs w:val="20"/>
                <w:color w:val="auto"/>
              </w:rPr>
            </w:pPr>
            <w:r>
              <w:rPr>
                <w:rFonts w:ascii="Arial" w:cs="Arial" w:eastAsia="Arial" w:hAnsi="Arial"/>
                <w:sz w:val="18"/>
                <w:szCs w:val="18"/>
                <w:color w:val="auto"/>
              </w:rPr>
              <w:t>25.22</w:t>
            </w:r>
          </w:p>
        </w:tc>
        <w:tc>
          <w:tcPr>
            <w:tcW w:w="1760" w:type="dxa"/>
            <w:vAlign w:val="bottom"/>
          </w:tcPr>
          <w:p>
            <w:pPr>
              <w:jc w:val="right"/>
              <w:ind w:right="223"/>
              <w:spacing w:after="0"/>
              <w:rPr>
                <w:sz w:val="20"/>
                <w:szCs w:val="20"/>
                <w:color w:val="auto"/>
              </w:rPr>
            </w:pPr>
            <w:r>
              <w:rPr>
                <w:rFonts w:ascii="Arial" w:cs="Arial" w:eastAsia="Arial" w:hAnsi="Arial"/>
                <w:sz w:val="18"/>
                <w:szCs w:val="18"/>
                <w:color w:val="auto"/>
              </w:rPr>
              <w:t>9,224,032</w:t>
            </w:r>
          </w:p>
        </w:tc>
        <w:tc>
          <w:tcPr>
            <w:tcW w:w="1540" w:type="dxa"/>
            <w:vAlign w:val="bottom"/>
          </w:tcPr>
          <w:p>
            <w:pPr>
              <w:jc w:val="right"/>
              <w:ind w:right="222"/>
              <w:spacing w:after="0"/>
              <w:rPr>
                <w:sz w:val="20"/>
                <w:szCs w:val="20"/>
                <w:color w:val="auto"/>
              </w:rPr>
            </w:pPr>
            <w:r>
              <w:rPr>
                <w:rFonts w:ascii="Arial" w:cs="Arial" w:eastAsia="Arial" w:hAnsi="Arial"/>
                <w:sz w:val="18"/>
                <w:szCs w:val="18"/>
                <w:color w:val="auto"/>
              </w:rPr>
              <w:t>232,600,860</w:t>
            </w:r>
          </w:p>
        </w:tc>
        <w:tc>
          <w:tcPr>
            <w:tcW w:w="360" w:type="dxa"/>
            <w:vAlign w:val="bottom"/>
          </w:tcPr>
          <w:p>
            <w:pPr>
              <w:ind w:left="280"/>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1,256,632,311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40" w:type="dxa"/>
            <w:vAlign w:val="bottom"/>
            <w:tcBorders>
              <w:bottom w:val="single" w:sz="8" w:color="E5E5E5"/>
            </w:tcBorders>
            <w:gridSpan w:val="2"/>
            <w:shd w:val="clear" w:color="auto" w:fill="E5E5E5"/>
          </w:tcPr>
          <w:p>
            <w:pPr>
              <w:spacing w:after="0"/>
              <w:rPr>
                <w:sz w:val="20"/>
                <w:szCs w:val="20"/>
                <w:color w:val="auto"/>
              </w:rPr>
            </w:pPr>
            <w:r>
              <w:rPr>
                <w:rFonts w:ascii="Arial" w:cs="Arial" w:eastAsia="Arial" w:hAnsi="Arial"/>
                <w:sz w:val="18"/>
                <w:szCs w:val="18"/>
                <w:color w:val="auto"/>
              </w:rPr>
              <w:t>September 1-30, 2007</w:t>
            </w:r>
          </w:p>
        </w:tc>
        <w:tc>
          <w:tcPr>
            <w:tcW w:w="1640" w:type="dxa"/>
            <w:vAlign w:val="bottom"/>
            <w:tcBorders>
              <w:bottom w:val="single" w:sz="8" w:color="auto"/>
            </w:tcBorders>
            <w:shd w:val="clear" w:color="auto" w:fill="E5E5E5"/>
          </w:tcPr>
          <w:p>
            <w:pPr>
              <w:jc w:val="right"/>
              <w:ind w:right="202"/>
              <w:spacing w:after="0"/>
              <w:rPr>
                <w:sz w:val="20"/>
                <w:szCs w:val="20"/>
                <w:color w:val="auto"/>
              </w:rPr>
            </w:pPr>
            <w:r>
              <w:rPr>
                <w:rFonts w:ascii="Arial" w:cs="Arial" w:eastAsia="Arial" w:hAnsi="Arial"/>
                <w:sz w:val="18"/>
                <w:szCs w:val="18"/>
                <w:color w:val="auto"/>
              </w:rPr>
              <w:t>4,044,032</w:t>
            </w:r>
          </w:p>
        </w:tc>
        <w:tc>
          <w:tcPr>
            <w:tcW w:w="380" w:type="dxa"/>
            <w:vAlign w:val="bottom"/>
            <w:tcBorders>
              <w:bottom w:val="single" w:sz="8" w:color="auto"/>
            </w:tcBorders>
            <w:shd w:val="clear" w:color="auto" w:fill="E5E5E5"/>
          </w:tcPr>
          <w:p>
            <w:pPr>
              <w:ind w:left="28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E5E5E5"/>
          </w:tcPr>
          <w:p>
            <w:pPr>
              <w:jc w:val="right"/>
              <w:ind w:right="196"/>
              <w:spacing w:after="0"/>
              <w:rPr>
                <w:sz w:val="20"/>
                <w:szCs w:val="20"/>
                <w:color w:val="auto"/>
              </w:rPr>
            </w:pPr>
            <w:r>
              <w:rPr>
                <w:rFonts w:ascii="Arial" w:cs="Arial" w:eastAsia="Arial" w:hAnsi="Arial"/>
                <w:sz w:val="18"/>
                <w:szCs w:val="18"/>
                <w:color w:val="auto"/>
              </w:rPr>
              <w:t>24.85</w:t>
            </w:r>
          </w:p>
        </w:tc>
        <w:tc>
          <w:tcPr>
            <w:tcW w:w="1760" w:type="dxa"/>
            <w:vAlign w:val="bottom"/>
            <w:tcBorders>
              <w:bottom w:val="single" w:sz="8" w:color="auto"/>
            </w:tcBorders>
            <w:shd w:val="clear" w:color="auto" w:fill="E5E5E5"/>
          </w:tcPr>
          <w:p>
            <w:pPr>
              <w:jc w:val="right"/>
              <w:ind w:right="223"/>
              <w:spacing w:after="0"/>
              <w:rPr>
                <w:sz w:val="20"/>
                <w:szCs w:val="20"/>
                <w:color w:val="auto"/>
              </w:rPr>
            </w:pPr>
            <w:r>
              <w:rPr>
                <w:rFonts w:ascii="Arial" w:cs="Arial" w:eastAsia="Arial" w:hAnsi="Arial"/>
                <w:sz w:val="18"/>
                <w:szCs w:val="18"/>
                <w:color w:val="auto"/>
              </w:rPr>
              <w:t>4,044,032</w:t>
            </w:r>
          </w:p>
        </w:tc>
        <w:tc>
          <w:tcPr>
            <w:tcW w:w="1540" w:type="dxa"/>
            <w:vAlign w:val="bottom"/>
            <w:tcBorders>
              <w:bottom w:val="single" w:sz="8" w:color="auto"/>
            </w:tcBorders>
            <w:shd w:val="clear" w:color="auto" w:fill="E5E5E5"/>
          </w:tcPr>
          <w:p>
            <w:pPr>
              <w:jc w:val="right"/>
              <w:ind w:right="222"/>
              <w:spacing w:after="0"/>
              <w:rPr>
                <w:sz w:val="20"/>
                <w:szCs w:val="20"/>
                <w:color w:val="auto"/>
              </w:rPr>
            </w:pPr>
            <w:r>
              <w:rPr>
                <w:rFonts w:ascii="Arial" w:cs="Arial" w:eastAsia="Arial" w:hAnsi="Arial"/>
                <w:sz w:val="18"/>
                <w:szCs w:val="18"/>
                <w:color w:val="auto"/>
              </w:rPr>
              <w:t>100,499,296</w:t>
            </w:r>
          </w:p>
        </w:tc>
        <w:tc>
          <w:tcPr>
            <w:tcW w:w="360" w:type="dxa"/>
            <w:vAlign w:val="bottom"/>
            <w:tcBorders>
              <w:bottom w:val="single" w:sz="8" w:color="auto"/>
            </w:tcBorders>
            <w:shd w:val="clear" w:color="auto" w:fill="E5E5E5"/>
          </w:tcPr>
          <w:p>
            <w:pPr>
              <w:ind w:left="280"/>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1,156,133,015</w:t>
            </w: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640" w:type="dxa"/>
            <w:vAlign w:val="bottom"/>
            <w:tcBorders>
              <w:bottom w:val="single" w:sz="8" w:color="auto"/>
            </w:tcBorders>
          </w:tcPr>
          <w:p>
            <w:pPr>
              <w:jc w:val="right"/>
              <w:ind w:right="202"/>
              <w:spacing w:after="0"/>
              <w:rPr>
                <w:sz w:val="20"/>
                <w:szCs w:val="20"/>
                <w:color w:val="auto"/>
              </w:rPr>
            </w:pPr>
            <w:r>
              <w:rPr>
                <w:rFonts w:ascii="Arial" w:cs="Arial" w:eastAsia="Arial" w:hAnsi="Arial"/>
                <w:sz w:val="18"/>
                <w:szCs w:val="18"/>
                <w:b w:val="1"/>
                <w:bCs w:val="1"/>
                <w:color w:val="auto"/>
              </w:rPr>
              <w:t>22,935,663</w:t>
            </w:r>
          </w:p>
        </w:tc>
        <w:tc>
          <w:tcPr>
            <w:tcW w:w="3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b w:val="1"/>
                <w:bCs w:val="1"/>
                <w:color w:val="auto"/>
              </w:rPr>
              <w:t>26.16</w:t>
            </w:r>
          </w:p>
        </w:tc>
        <w:tc>
          <w:tcPr>
            <w:tcW w:w="1760" w:type="dxa"/>
            <w:vAlign w:val="bottom"/>
            <w:tcBorders>
              <w:bottom w:val="single" w:sz="8" w:color="auto"/>
            </w:tcBorders>
          </w:tcPr>
          <w:p>
            <w:pPr>
              <w:jc w:val="right"/>
              <w:ind w:right="223"/>
              <w:spacing w:after="0"/>
              <w:rPr>
                <w:sz w:val="20"/>
                <w:szCs w:val="20"/>
                <w:color w:val="auto"/>
              </w:rPr>
            </w:pPr>
            <w:r>
              <w:rPr>
                <w:rFonts w:ascii="Arial" w:cs="Arial" w:eastAsia="Arial" w:hAnsi="Arial"/>
                <w:sz w:val="18"/>
                <w:szCs w:val="18"/>
                <w:b w:val="1"/>
                <w:bCs w:val="1"/>
                <w:color w:val="auto"/>
              </w:rPr>
              <w:t>22,935,663</w:t>
            </w:r>
          </w:p>
        </w:tc>
        <w:tc>
          <w:tcPr>
            <w:tcW w:w="1540" w:type="dxa"/>
            <w:vAlign w:val="bottom"/>
            <w:tcBorders>
              <w:bottom w:val="single" w:sz="8" w:color="auto"/>
            </w:tcBorders>
          </w:tcPr>
          <w:p>
            <w:pPr>
              <w:jc w:val="right"/>
              <w:ind w:right="222"/>
              <w:spacing w:after="0"/>
              <w:rPr>
                <w:sz w:val="20"/>
                <w:szCs w:val="20"/>
                <w:color w:val="auto"/>
              </w:rPr>
            </w:pPr>
            <w:r>
              <w:rPr>
                <w:rFonts w:ascii="Arial" w:cs="Arial" w:eastAsia="Arial" w:hAnsi="Arial"/>
                <w:sz w:val="18"/>
                <w:szCs w:val="18"/>
                <w:b w:val="1"/>
                <w:bCs w:val="1"/>
                <w:color w:val="auto"/>
              </w:rPr>
              <w:t>$599,999,993</w:t>
            </w:r>
          </w:p>
        </w:tc>
        <w:tc>
          <w:tcPr>
            <w:tcW w:w="360" w:type="dxa"/>
            <w:vAlign w:val="bottom"/>
            <w:tcBorders>
              <w:bottom w:val="single" w:sz="8" w:color="auto"/>
            </w:tcBorders>
          </w:tcPr>
          <w:p>
            <w:pPr>
              <w:ind w:left="280"/>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1,156,133,015</w:t>
            </w:r>
          </w:p>
        </w:tc>
        <w:tc>
          <w:tcPr>
            <w:tcW w:w="20" w:type="dxa"/>
            <w:vAlign w:val="bottom"/>
            <w:tcBorders>
              <w:bottom w:val="single" w:sz="8" w:color="auto"/>
            </w:tcBorders>
          </w:tcPr>
          <w:p>
            <w:pPr>
              <w:spacing w:after="0"/>
              <w:rPr>
                <w:sz w:val="18"/>
                <w:szCs w:val="18"/>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2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 w:type="dxa"/>
            <w:vAlign w:val="bottom"/>
          </w:tcPr>
          <w:p>
            <w:pPr>
              <w:spacing w:after="0"/>
              <w:rPr>
                <w:sz w:val="9"/>
                <w:szCs w:val="9"/>
                <w:color w:val="auto"/>
              </w:rPr>
            </w:pPr>
          </w:p>
        </w:tc>
      </w:tr>
    </w:tbl>
    <w:p>
      <w:pPr>
        <w:spacing w:after="0" w:line="100" w:lineRule="exact"/>
        <w:rPr>
          <w:sz w:val="20"/>
          <w:szCs w:val="20"/>
          <w:color w:val="auto"/>
        </w:rPr>
      </w:pPr>
    </w:p>
    <w:p>
      <w:pPr>
        <w:jc w:val="both"/>
        <w:ind w:left="460" w:hanging="452"/>
        <w:spacing w:after="0" w:line="256"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2006, the Board of Directors authorized a $5 billion addition to the existing share repurchase program. Under the authorization, we may repurchase shares in the open market or in private transactions, subject to market conditions. As of September 30, 2007, the maximum dollar value of shares that is available under our Board-authorized share repurchase program was approximately $1.2 billion. The share repurchase program does not have an expiration date.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(a) Exhibits required to be filed by Item 601 of Regulation S-K:</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40" w:type="dxa"/>
            <w:vAlign w:val="bottom"/>
          </w:tcPr>
          <w:p>
            <w:pPr>
              <w:jc w:val="right"/>
              <w:ind w:right="572"/>
              <w:spacing w:after="0"/>
              <w:rPr>
                <w:sz w:val="20"/>
                <w:szCs w:val="20"/>
                <w:color w:val="auto"/>
              </w:rPr>
            </w:pPr>
            <w:r>
              <w:rPr>
                <w:rFonts w:ascii="Arial" w:cs="Arial" w:eastAsia="Arial" w:hAnsi="Arial"/>
                <w:sz w:val="18"/>
                <w:szCs w:val="18"/>
                <w:color w:val="auto"/>
                <w:w w:val="79"/>
              </w:rPr>
              <w:t>31</w:t>
            </w:r>
          </w:p>
        </w:tc>
        <w:tc>
          <w:tcPr>
            <w:tcW w:w="10080" w:type="dxa"/>
            <w:vAlign w:val="bottom"/>
          </w:tcPr>
          <w:p>
            <w:pPr>
              <w:ind w:left="660"/>
              <w:spacing w:after="0"/>
              <w:rPr>
                <w:sz w:val="20"/>
                <w:szCs w:val="20"/>
                <w:color w:val="auto"/>
              </w:rPr>
            </w:pPr>
            <w:r>
              <w:rPr>
                <w:rFonts w:ascii="Arial" w:cs="Arial" w:eastAsia="Arial" w:hAnsi="Arial"/>
                <w:sz w:val="18"/>
                <w:szCs w:val="18"/>
                <w:color w:val="auto"/>
                <w:w w:val="89"/>
              </w:rPr>
              <w:t>Certifications of Chief Executive Officer and Co-Chief Financial Officers pursuant to Section 302 of the Sarbanes-Oxley Act of 2002.</w:t>
            </w:r>
          </w:p>
        </w:tc>
      </w:tr>
      <w:tr>
        <w:trPr>
          <w:trHeight w:val="324"/>
        </w:trPr>
        <w:tc>
          <w:tcPr>
            <w:tcW w:w="840" w:type="dxa"/>
            <w:vAlign w:val="bottom"/>
          </w:tcPr>
          <w:p>
            <w:pPr>
              <w:jc w:val="right"/>
              <w:ind w:right="572"/>
              <w:spacing w:after="0"/>
              <w:rPr>
                <w:sz w:val="20"/>
                <w:szCs w:val="20"/>
                <w:color w:val="auto"/>
              </w:rPr>
            </w:pPr>
            <w:r>
              <w:rPr>
                <w:rFonts w:ascii="Arial" w:cs="Arial" w:eastAsia="Arial" w:hAnsi="Arial"/>
                <w:sz w:val="18"/>
                <w:szCs w:val="18"/>
                <w:color w:val="auto"/>
                <w:w w:val="79"/>
              </w:rPr>
              <w:t>32</w:t>
            </w:r>
          </w:p>
        </w:tc>
        <w:tc>
          <w:tcPr>
            <w:tcW w:w="10080" w:type="dxa"/>
            <w:vAlign w:val="bottom"/>
          </w:tcPr>
          <w:p>
            <w:pPr>
              <w:ind w:left="660"/>
              <w:spacing w:after="0"/>
              <w:rPr>
                <w:sz w:val="20"/>
                <w:szCs w:val="20"/>
                <w:color w:val="auto"/>
              </w:rPr>
            </w:pPr>
            <w:r>
              <w:rPr>
                <w:rFonts w:ascii="Arial" w:cs="Arial" w:eastAsia="Arial" w:hAnsi="Arial"/>
                <w:sz w:val="18"/>
                <w:szCs w:val="18"/>
                <w:color w:val="auto"/>
                <w:w w:val="89"/>
              </w:rPr>
              <w:t>Certifications of Chief Executive Officer and Co-Chief Financial Officers pursuant to Section 906 of the Sarbanes-Oxley Act of 2002.</w:t>
            </w:r>
          </w:p>
        </w:tc>
      </w:tr>
      <w:tr>
        <w:trPr>
          <w:trHeight w:val="365"/>
        </w:trPr>
        <w:tc>
          <w:tcPr>
            <w:tcW w:w="840" w:type="dxa"/>
            <w:vAlign w:val="bottom"/>
          </w:tcPr>
          <w:p>
            <w:pPr>
              <w:spacing w:after="0"/>
              <w:rPr>
                <w:sz w:val="24"/>
                <w:szCs w:val="24"/>
                <w:color w:val="auto"/>
              </w:rPr>
            </w:pPr>
          </w:p>
        </w:tc>
        <w:tc>
          <w:tcPr>
            <w:tcW w:w="10080" w:type="dxa"/>
            <w:vAlign w:val="bottom"/>
          </w:tcPr>
          <w:p>
            <w:pPr>
              <w:jc w:val="right"/>
              <w:ind w:right="5012"/>
              <w:spacing w:after="0"/>
              <w:rPr>
                <w:sz w:val="20"/>
                <w:szCs w:val="20"/>
                <w:color w:val="auto"/>
              </w:rPr>
            </w:pPr>
            <w:r>
              <w:rPr>
                <w:rFonts w:ascii="Arial" w:cs="Arial" w:eastAsia="Arial" w:hAnsi="Arial"/>
                <w:sz w:val="18"/>
                <w:szCs w:val="18"/>
                <w:color w:val="auto"/>
              </w:rPr>
              <w:t>33</w:t>
            </w:r>
          </w:p>
        </w:tc>
      </w:tr>
    </w:tbl>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COMCAST CORPORATION AND SUBSIDIARIES — FORM 10-Q</w:t>
      </w:r>
    </w:p>
    <w:p>
      <w:pPr>
        <w:jc w:val="center"/>
        <w:ind w:right="-19"/>
        <w:spacing w:after="0"/>
        <w:rPr>
          <w:sz w:val="20"/>
          <w:szCs w:val="20"/>
          <w:color w:val="auto"/>
        </w:rPr>
      </w:pPr>
      <w:r>
        <w:rPr>
          <w:rFonts w:ascii="Arial" w:cs="Arial" w:eastAsia="Arial" w:hAnsi="Arial"/>
          <w:sz w:val="18"/>
          <w:szCs w:val="18"/>
          <w:color w:val="auto"/>
        </w:rPr>
        <w:t>QUARTER ENDED SEPTEMBER 30, 2007</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13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Lawrence J. Salva</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 Chief Accounting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and Controller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Accounting Officer)</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October 26, 2007</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I, Brian L. Roberts, certify that:</w:t>
      </w:r>
    </w:p>
    <w:p>
      <w:pPr>
        <w:spacing w:after="0" w:line="144"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Corporation;</w:t>
      </w:r>
    </w:p>
    <w:p>
      <w:pPr>
        <w:spacing w:after="0" w:line="76"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hanging="446"/>
        <w:spacing w:after="0" w:line="325" w:lineRule="auto"/>
        <w:tabs>
          <w:tab w:leader="none" w:pos="90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Date: October 26, 2007</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 Michael J. Angelakis, certify that:</w:t>
      </w:r>
    </w:p>
    <w:p>
      <w:pPr>
        <w:spacing w:after="0" w:line="77"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Corporation;</w:t>
      </w:r>
    </w:p>
    <w:p>
      <w:pPr>
        <w:spacing w:after="0" w:line="76"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hanging="446"/>
        <w:spacing w:after="0" w:line="325" w:lineRule="auto"/>
        <w:tabs>
          <w:tab w:leader="none" w:pos="9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Date: October 26, 2007</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/s/ MICHAEL J. ANGELAKIS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Michael J. Angelakis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Co-Chief Financial Officer</w:t>
      </w:r>
    </w:p>
    <w:p>
      <w:pPr>
        <w:sectPr>
          <w:pgSz w:w="11900" w:h="16838" w:orient="portrait"/>
          <w:cols w:equalWidth="0" w:num="1">
            <w:col w:w="11420"/>
          </w:cols>
          <w:pgMar w:left="240" w:top="280"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 John R. Alchin, certify that:</w:t>
      </w:r>
    </w:p>
    <w:p>
      <w:pPr>
        <w:spacing w:after="0" w:line="77"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Corporation;</w:t>
      </w:r>
    </w:p>
    <w:p>
      <w:pPr>
        <w:spacing w:after="0" w:line="76"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hanging="446"/>
        <w:spacing w:after="0" w:line="325" w:lineRule="auto"/>
        <w:tabs>
          <w:tab w:leader="none" w:pos="9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Date: October 26, 2007</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/s/ JOHN R. ALCHIN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John R. Alchin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Co-Chief Financial Officer</w:t>
      </w:r>
    </w:p>
    <w:p>
      <w:pPr>
        <w:sectPr>
          <w:pgSz w:w="11900" w:h="16838" w:orient="portrait"/>
          <w:cols w:equalWidth="0" w:num="1">
            <w:col w:w="11420"/>
          </w:cols>
          <w:pgMar w:left="240" w:top="280"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906 OF THE SARBANES-OXLEY ACT</w:t>
      </w:r>
    </w:p>
    <w:p>
      <w:pPr>
        <w:spacing w:after="0" w:line="1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October 26, 2007</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450 Fifth Street, N.W.</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Washington, D.C. 20549</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certification set forth below is being submitted in connection with the quarterly report on Form 10-Q of Comcast Corporation (the “Report”) for the purpose of complying with Rule 13a-14(b) or Rule 15d-14(b) of the Securities Exchange Act of 1934 (the “Exchange Act”) and Section 1350 of Chapter 63 of Title 18 of the United States Code.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Brian L. Roberts, the Chief Executive Officer, Michael J. Angelakis, the Co-Chief Financial Officer and John R. Alchin, the Co-Chief Financial Officer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 each certifies that, to the best of his knowledge:</w:t>
      </w:r>
    </w:p>
    <w:p>
      <w:pPr>
        <w:spacing w:after="0" w:line="70"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Comcast Corporation.</w:t>
      </w:r>
    </w:p>
    <w:p>
      <w:pPr>
        <w:spacing w:after="0" w:line="38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MICHAEL J. ANGELAKIS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Michael J. Angelakis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Co-Chief Financial Officer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JOHN R. ALCHIN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John R. Alchin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Co-Chief Financial Officer</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48"/>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lowerLetter"/>
      <w:start w:val="1"/>
    </w:lvl>
  </w:abstractNum>
  <w:abstractNum w:abstractNumId="5">
    <w:nsid w:val="5BD062C2"/>
    <w:multiLevelType w:val="hybridMultilevel"/>
    <w:lvl w:ilvl="0">
      <w:lvlJc w:val="left"/>
      <w:lvlText w:val="(%1)"/>
      <w:numFmt w:val="lowerLetter"/>
      <w:start w:val="2"/>
    </w:lvl>
    <w:lvl w:ilvl="1">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2019-12-12T03:12:23Z</dcterms:created>
  <dcterms:modified xsi:type="dcterms:W3CDTF">2019-12-12T03:12:23Z</dcterms:modified>
</cp:coreProperties>
</file>