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The Securities Exchange Act of 1934</w:t>
      </w: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24, 2018</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001-32871</w:t>
            </w:r>
          </w:p>
        </w:tc>
        <w:tc>
          <w:tcPr>
            <w:tcW w:w="6580" w:type="dxa"/>
            <w:vAlign w:val="bottom"/>
          </w:tcPr>
          <w:p>
            <w:pPr>
              <w:jc w:val="center"/>
              <w:ind w:left="4502"/>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6580" w:type="dxa"/>
            <w:vAlign w:val="bottom"/>
          </w:tcPr>
          <w:p>
            <w:pPr>
              <w:jc w:val="center"/>
              <w:ind w:left="4522"/>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6580" w:type="dxa"/>
            <w:vAlign w:val="bottom"/>
          </w:tcPr>
          <w:p>
            <w:pPr>
              <w:spacing w:after="0"/>
              <w:rPr>
                <w:sz w:val="24"/>
                <w:szCs w:val="24"/>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6580" w:type="dxa"/>
            <w:vAlign w:val="bottom"/>
          </w:tcPr>
          <w:p>
            <w:pPr>
              <w:jc w:val="center"/>
              <w:ind w:left="4502"/>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6580" w:type="dxa"/>
            <w:vAlign w:val="bottom"/>
          </w:tcPr>
          <w:p>
            <w:pPr>
              <w:jc w:val="center"/>
              <w:ind w:left="4502"/>
              <w:spacing w:after="0"/>
              <w:rPr>
                <w:sz w:val="20"/>
                <w:szCs w:val="20"/>
                <w:color w:val="auto"/>
              </w:rPr>
            </w:pPr>
            <w:r>
              <w:rPr>
                <w:rFonts w:ascii="Arial" w:cs="Arial" w:eastAsia="Arial" w:hAnsi="Arial"/>
                <w:sz w:val="14"/>
                <w:szCs w:val="14"/>
                <w:color w:val="auto"/>
                <w:w w:val="96"/>
              </w:rPr>
              <w:t>(Zip Code)</w:t>
            </w:r>
          </w:p>
        </w:tc>
      </w:tr>
      <w:tr>
        <w:trPr>
          <w:trHeight w:val="417"/>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596"/>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187"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70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On January 24, 2018, Comcast Corporation (“Comcast”) issued a press release reporting the results of its operations for the three and twelve months ended December 31, 2017.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ectPr>
          <w:pgSz w:w="11900" w:h="16856" w:orient="portrait"/>
          <w:cols w:equalWidth="0" w:num="1">
            <w:col w:w="11360"/>
          </w:cols>
          <w:pgMar w:left="240" w:top="553" w:right="299" w:bottom="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380"/>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Comcast Corporation press release dated January 24, 2018.</w:t>
        </w:r>
      </w:hyperlink>
    </w:p>
    <w:p>
      <w:pPr>
        <w:spacing w:after="0" w:line="23" w:lineRule="exact"/>
        <w:rPr>
          <w:sz w:val="20"/>
          <w:szCs w:val="20"/>
          <w:color w:val="auto"/>
        </w:rPr>
      </w:pPr>
    </w:p>
    <w:p>
      <w:pPr>
        <w:ind w:left="3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178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January 24, 2018</w:t>
            </w:r>
          </w:p>
        </w:tc>
        <w:tc>
          <w:tcPr>
            <w:tcW w:w="7860" w:type="dxa"/>
            <w:vAlign w:val="bottom"/>
            <w:gridSpan w:val="2"/>
          </w:tcPr>
          <w:p>
            <w:pPr>
              <w:ind w:left="178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56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138430</wp:posOffset>
            </wp:positionV>
            <wp:extent cx="136334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345" cy="48006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COMCAST REPORTS 4th QUARTER AND YEAR END 2017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2017 Highlights:</w:t>
      </w:r>
    </w:p>
    <w:p>
      <w:pPr>
        <w:spacing w:after="0" w:line="20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8"/>
          <w:szCs w:val="18"/>
          <w:color w:val="auto"/>
        </w:rPr>
        <w:t>Consolidated Revenue Increased 5.1%; Net Income Attributable to Comcast Increased 161%; Adjusted EBITDA Increased 6.2%</w:t>
      </w:r>
    </w:p>
    <w:p>
      <w:pPr>
        <w:spacing w:after="0" w:line="130" w:lineRule="exact"/>
        <w:rPr>
          <w:rFonts w:ascii="Arial" w:cs="Arial" w:eastAsia="Arial" w:hAnsi="Arial"/>
          <w:sz w:val="14"/>
          <w:szCs w:val="14"/>
          <w:color w:val="auto"/>
        </w:rPr>
      </w:pPr>
    </w:p>
    <w:p>
      <w:pPr>
        <w:ind w:left="620" w:hanging="288"/>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8"/>
          <w:szCs w:val="18"/>
          <w:color w:val="auto"/>
        </w:rPr>
        <w:t>Net Cash Provided by Operating Activities was $21.4 Billion; Free Cash Flow was $9.6 Billion</w:t>
      </w:r>
    </w:p>
    <w:p>
      <w:pPr>
        <w:spacing w:after="0" w:line="130" w:lineRule="exact"/>
        <w:rPr>
          <w:rFonts w:ascii="Arial" w:cs="Arial" w:eastAsia="Arial" w:hAnsi="Arial"/>
          <w:sz w:val="14"/>
          <w:szCs w:val="14"/>
          <w:color w:val="auto"/>
        </w:rPr>
      </w:pPr>
    </w:p>
    <w:p>
      <w:pPr>
        <w:ind w:left="620" w:hanging="288"/>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8"/>
          <w:szCs w:val="18"/>
          <w:color w:val="auto"/>
        </w:rPr>
        <w:t>Earnings per Share Increased 167% to $4.75; On an Adjusted Basis, Earnings per Share Increased 18.4% to $2.06</w:t>
      </w:r>
    </w:p>
    <w:p>
      <w:pPr>
        <w:spacing w:after="0" w:line="130" w:lineRule="exact"/>
        <w:rPr>
          <w:rFonts w:ascii="Arial" w:cs="Arial" w:eastAsia="Arial" w:hAnsi="Arial"/>
          <w:sz w:val="14"/>
          <w:szCs w:val="14"/>
          <w:color w:val="auto"/>
        </w:rPr>
      </w:pPr>
    </w:p>
    <w:p>
      <w:pPr>
        <w:ind w:left="620" w:hanging="288"/>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8"/>
          <w:szCs w:val="18"/>
          <w:color w:val="auto"/>
        </w:rPr>
        <w:t>Cable Communications Revenue Increased 4.9%; Adjusted EBITDA Increased 5.3%</w:t>
      </w:r>
    </w:p>
    <w:p>
      <w:pPr>
        <w:spacing w:after="0" w:line="117" w:lineRule="exact"/>
        <w:rPr>
          <w:rFonts w:ascii="Arial" w:cs="Arial" w:eastAsia="Arial" w:hAnsi="Arial"/>
          <w:sz w:val="14"/>
          <w:szCs w:val="14"/>
          <w:color w:val="auto"/>
        </w:rPr>
      </w:pPr>
    </w:p>
    <w:p>
      <w:pPr>
        <w:ind w:left="660" w:hanging="328"/>
        <w:spacing w:after="0" w:line="261" w:lineRule="auto"/>
        <w:tabs>
          <w:tab w:leader="none" w:pos="818" w:val="left"/>
        </w:tabs>
        <w:numPr>
          <w:ilvl w:val="0"/>
          <w:numId w:val="2"/>
        </w:numPr>
        <w:rPr>
          <w:rFonts w:ascii="Arial" w:cs="Arial" w:eastAsia="Arial" w:hAnsi="Arial"/>
          <w:sz w:val="14"/>
          <w:szCs w:val="14"/>
          <w:color w:val="auto"/>
        </w:rPr>
      </w:pPr>
      <w:r>
        <w:rPr>
          <w:rFonts w:ascii="Arial" w:cs="Arial" w:eastAsia="Arial" w:hAnsi="Arial"/>
          <w:sz w:val="18"/>
          <w:szCs w:val="18"/>
          <w:color w:val="auto"/>
        </w:rPr>
        <w:t>Customer Relationships Increased by 770,000; Over 1 Million High-Speed Internet Customer Net Additions for the 12</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Consecutive Year</w:t>
      </w:r>
    </w:p>
    <w:p>
      <w:pPr>
        <w:spacing w:after="0" w:line="103" w:lineRule="exact"/>
        <w:rPr>
          <w:rFonts w:ascii="Arial" w:cs="Arial" w:eastAsia="Arial" w:hAnsi="Arial"/>
          <w:sz w:val="14"/>
          <w:szCs w:val="14"/>
          <w:color w:val="auto"/>
        </w:rPr>
      </w:pPr>
    </w:p>
    <w:p>
      <w:pPr>
        <w:ind w:left="660" w:hanging="328"/>
        <w:spacing w:after="0" w:line="246" w:lineRule="auto"/>
        <w:tabs>
          <w:tab w:leader="none" w:pos="791" w:val="left"/>
        </w:tabs>
        <w:numPr>
          <w:ilvl w:val="0"/>
          <w:numId w:val="2"/>
        </w:numPr>
        <w:rPr>
          <w:rFonts w:ascii="Arial" w:cs="Arial" w:eastAsia="Arial" w:hAnsi="Arial"/>
          <w:sz w:val="14"/>
          <w:szCs w:val="14"/>
          <w:color w:val="auto"/>
        </w:rPr>
      </w:pPr>
      <w:r>
        <w:rPr>
          <w:rFonts w:ascii="Arial" w:cs="Arial" w:eastAsia="Arial" w:hAnsi="Arial"/>
          <w:sz w:val="18"/>
          <w:szCs w:val="18"/>
          <w:color w:val="auto"/>
        </w:rPr>
        <w:t>NBCUniversal Revenue Increased 4.4%; Adjusted EBITDA Increased 14.1%; Excluding the 2016 Rio Olympics, Revenue Increased 10.1%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color w:val="auto"/>
          <w:vertAlign w:val="superscript"/>
        </w:rPr>
        <w:t>th</w:t>
      </w:r>
      <w:r>
        <w:rPr>
          <w:rFonts w:ascii="Arial" w:cs="Arial" w:eastAsia="Arial" w:hAnsi="Arial"/>
          <w:sz w:val="18"/>
          <w:szCs w:val="18"/>
          <w:b w:val="1"/>
          <w:bCs w:val="1"/>
          <w:color w:val="auto"/>
        </w:rPr>
        <w:t xml:space="preserve"> Quarter 2017 Highlights:</w:t>
      </w:r>
    </w:p>
    <w:p>
      <w:pPr>
        <w:spacing w:after="0" w:line="208" w:lineRule="exact"/>
        <w:rPr>
          <w:sz w:val="20"/>
          <w:szCs w:val="20"/>
          <w:color w:val="auto"/>
        </w:rPr>
      </w:pPr>
    </w:p>
    <w:p>
      <w:pPr>
        <w:ind w:left="660" w:hanging="328"/>
        <w:spacing w:after="0" w:line="246" w:lineRule="auto"/>
        <w:tabs>
          <w:tab w:leader="none" w:pos="939" w:val="left"/>
        </w:tabs>
        <w:numPr>
          <w:ilvl w:val="0"/>
          <w:numId w:val="3"/>
        </w:numPr>
        <w:rPr>
          <w:rFonts w:ascii="Arial" w:cs="Arial" w:eastAsia="Arial" w:hAnsi="Arial"/>
          <w:sz w:val="14"/>
          <w:szCs w:val="14"/>
          <w:color w:val="auto"/>
        </w:rPr>
      </w:pPr>
      <w:r>
        <w:rPr>
          <w:rFonts w:ascii="Arial" w:cs="Arial" w:eastAsia="Arial" w:hAnsi="Arial"/>
          <w:sz w:val="18"/>
          <w:szCs w:val="18"/>
          <w:color w:val="auto"/>
        </w:rPr>
        <w:t>Consolidated Revenue Increased 4.2%; Net Income Attributable to Comcast Increased by $12.7 Billion to $15.0 Billion; Adjusted EBITDA of $6.8 Billion was Consistent with the Prior Year</w:t>
      </w:r>
    </w:p>
    <w:p>
      <w:pPr>
        <w:spacing w:after="0" w:line="115" w:lineRule="exact"/>
        <w:rPr>
          <w:rFonts w:ascii="Arial" w:cs="Arial" w:eastAsia="Arial" w:hAnsi="Arial"/>
          <w:sz w:val="14"/>
          <w:szCs w:val="14"/>
          <w:color w:val="auto"/>
        </w:rPr>
      </w:pPr>
    </w:p>
    <w:p>
      <w:pPr>
        <w:ind w:left="620" w:hanging="288"/>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8"/>
          <w:szCs w:val="18"/>
          <w:color w:val="auto"/>
        </w:rPr>
        <w:t>Net Cash Provided by Operating Activities was $5.4 Billion; Free Cash Flow was $2.0 Billion</w:t>
      </w:r>
    </w:p>
    <w:p>
      <w:pPr>
        <w:spacing w:after="0" w:line="130" w:lineRule="exact"/>
        <w:rPr>
          <w:rFonts w:ascii="Arial" w:cs="Arial" w:eastAsia="Arial" w:hAnsi="Arial"/>
          <w:sz w:val="14"/>
          <w:szCs w:val="14"/>
          <w:color w:val="auto"/>
        </w:rPr>
      </w:pPr>
    </w:p>
    <w:p>
      <w:pPr>
        <w:ind w:left="620" w:hanging="288"/>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8"/>
          <w:szCs w:val="18"/>
          <w:color w:val="auto"/>
        </w:rPr>
        <w:t>Earnings per Share Increased by $2.69 to $3.17; On an Adjusted Basis, Earnings per Share Increased 8.9% to $0.49</w:t>
      </w:r>
    </w:p>
    <w:p>
      <w:pPr>
        <w:spacing w:after="0" w:line="130" w:lineRule="exact"/>
        <w:rPr>
          <w:rFonts w:ascii="Arial" w:cs="Arial" w:eastAsia="Arial" w:hAnsi="Arial"/>
          <w:sz w:val="14"/>
          <w:szCs w:val="14"/>
          <w:color w:val="auto"/>
        </w:rPr>
      </w:pPr>
    </w:p>
    <w:p>
      <w:pPr>
        <w:ind w:left="620" w:hanging="288"/>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8"/>
          <w:szCs w:val="18"/>
          <w:color w:val="auto"/>
        </w:rPr>
        <w:t>Cable Communications Revenue Increased 3.4%; Adjusted EBITDA Increased 4.2%</w:t>
      </w:r>
    </w:p>
    <w:p>
      <w:pPr>
        <w:spacing w:after="0" w:line="130" w:lineRule="exact"/>
        <w:rPr>
          <w:rFonts w:ascii="Arial" w:cs="Arial" w:eastAsia="Arial" w:hAnsi="Arial"/>
          <w:sz w:val="14"/>
          <w:szCs w:val="14"/>
          <w:color w:val="auto"/>
        </w:rPr>
      </w:pPr>
    </w:p>
    <w:p>
      <w:pPr>
        <w:ind w:left="660" w:hanging="328"/>
        <w:spacing w:after="0" w:line="246" w:lineRule="auto"/>
        <w:tabs>
          <w:tab w:leader="none" w:pos="953" w:val="left"/>
        </w:tabs>
        <w:numPr>
          <w:ilvl w:val="0"/>
          <w:numId w:val="3"/>
        </w:numPr>
        <w:rPr>
          <w:rFonts w:ascii="Arial" w:cs="Arial" w:eastAsia="Arial" w:hAnsi="Arial"/>
          <w:sz w:val="14"/>
          <w:szCs w:val="14"/>
          <w:color w:val="auto"/>
        </w:rPr>
      </w:pPr>
      <w:r>
        <w:rPr>
          <w:rFonts w:ascii="Arial" w:cs="Arial" w:eastAsia="Arial" w:hAnsi="Arial"/>
          <w:sz w:val="18"/>
          <w:szCs w:val="18"/>
          <w:color w:val="auto"/>
        </w:rPr>
        <w:t>Customer Relationships Increased by 243,000; High-Speed Internet Customer Net Additions were 350,000; Video Customer Net Losses were 33,000</w:t>
      </w:r>
    </w:p>
    <w:p>
      <w:pPr>
        <w:spacing w:after="0" w:line="115" w:lineRule="exact"/>
        <w:rPr>
          <w:rFonts w:ascii="Arial" w:cs="Arial" w:eastAsia="Arial" w:hAnsi="Arial"/>
          <w:sz w:val="14"/>
          <w:szCs w:val="14"/>
          <w:color w:val="auto"/>
        </w:rPr>
      </w:pPr>
    </w:p>
    <w:p>
      <w:pPr>
        <w:ind w:left="620" w:hanging="288"/>
        <w:spacing w:after="0"/>
        <w:tabs>
          <w:tab w:leader="none" w:pos="620" w:val="left"/>
        </w:tabs>
        <w:numPr>
          <w:ilvl w:val="0"/>
          <w:numId w:val="3"/>
        </w:numPr>
        <w:rPr>
          <w:rFonts w:ascii="Arial" w:cs="Arial" w:eastAsia="Arial" w:hAnsi="Arial"/>
          <w:sz w:val="14"/>
          <w:szCs w:val="14"/>
          <w:color w:val="auto"/>
        </w:rPr>
      </w:pPr>
      <w:r>
        <w:rPr>
          <w:rFonts w:ascii="Arial" w:cs="Arial" w:eastAsia="Arial" w:hAnsi="Arial"/>
          <w:sz w:val="18"/>
          <w:szCs w:val="18"/>
          <w:color w:val="auto"/>
        </w:rPr>
        <w:t>NBCUniversal Revenue Increased 3.9%; Adjusted EBITDA Increased 6.4%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Repurchases:</w:t>
      </w:r>
    </w:p>
    <w:p>
      <w:pPr>
        <w:spacing w:after="0" w:line="207"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4"/>
          <w:szCs w:val="14"/>
          <w:color w:val="auto"/>
        </w:rPr>
      </w:pPr>
      <w:r>
        <w:rPr>
          <w:rFonts w:ascii="Arial" w:cs="Arial" w:eastAsia="Arial" w:hAnsi="Arial"/>
          <w:sz w:val="18"/>
          <w:szCs w:val="18"/>
          <w:color w:val="auto"/>
        </w:rPr>
        <w:t>Dividends and Share Repurchases Totaled $7.9 Billion in 2017</w:t>
      </w:r>
    </w:p>
    <w:p>
      <w:pPr>
        <w:spacing w:after="0" w:line="130" w:lineRule="exact"/>
        <w:rPr>
          <w:rFonts w:ascii="Arial" w:cs="Arial" w:eastAsia="Arial" w:hAnsi="Arial"/>
          <w:sz w:val="14"/>
          <w:szCs w:val="14"/>
          <w:color w:val="auto"/>
        </w:rPr>
      </w:pPr>
    </w:p>
    <w:p>
      <w:pPr>
        <w:ind w:left="660" w:hanging="328"/>
        <w:spacing w:after="0" w:line="246" w:lineRule="auto"/>
        <w:tabs>
          <w:tab w:leader="none" w:pos="709" w:val="left"/>
        </w:tabs>
        <w:numPr>
          <w:ilvl w:val="0"/>
          <w:numId w:val="4"/>
        </w:numPr>
        <w:rPr>
          <w:rFonts w:ascii="Arial" w:cs="Arial" w:eastAsia="Arial" w:hAnsi="Arial"/>
          <w:sz w:val="14"/>
          <w:szCs w:val="14"/>
          <w:color w:val="auto"/>
        </w:rPr>
      </w:pPr>
      <w:r>
        <w:rPr>
          <w:rFonts w:ascii="Arial" w:cs="Arial" w:eastAsia="Arial" w:hAnsi="Arial"/>
          <w:sz w:val="18"/>
          <w:szCs w:val="18"/>
          <w:color w:val="auto"/>
        </w:rPr>
        <w:t>Increased Dividend by 21% to $0.76 per Share on an Annualized Basis for 2018; As of December 31, 2017, Comcast had $7.0 Billion Available under its Share Repurchase Authorization, with at Least $5 Billion Expected to be Repurchased in 2018</w:t>
      </w:r>
    </w:p>
    <w:p>
      <w:pPr>
        <w:spacing w:after="0" w:line="17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PHILADELPHIA - January 24, 2018… Comcast Corporation (NASDAQ: CMCSA) today reported results for the quarter and year ended December 31, 2017.</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“I am exceptionally proud of our performance this past year, and we enter 2018 with significant momentum. In 2017, we achieved strong financial and operational results while also delivering new innovations, experiences and must-see content to people around the world. At Cable, our best-in-class products and continued focus on the customer experience drove healthy EBITDA growth balanced with strong customer relationship net additions. At NBCUniversal, our Film business achieved record profitability, our Theme Parks delivered record attendance, and our TV business produced strong results - demonstrating the power of our sports, news and entertainment content. We are excited to have the Super Bowl on NBC, followed by the 2018 Winter Olympic Games in PyeongChang. The Olympics highlight our strengths and capabilities across Comcast NBCUniversal, as we combine the storytelling of NBC with Comcast technology to create a truly spectacular viewing experience. Overall, we feel great about our company and our positioning as we head into the year. Our confidence in the business enables us to announce, with the support of our Board, a 21% increase in our dividend, which is our 10</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consecutive annual increase. We also expect to repurchase at least $5 billion of our stock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Borders>
              <w:top w:val="single" w:sz="8" w:color="0050B9"/>
            </w:tcBorders>
          </w:tcPr>
          <w:p>
            <w:pPr>
              <w:spacing w:after="0"/>
              <w:rPr>
                <w:sz w:val="17"/>
                <w:szCs w:val="17"/>
                <w:color w:val="auto"/>
              </w:rPr>
            </w:pPr>
          </w:p>
        </w:tc>
        <w:tc>
          <w:tcPr>
            <w:tcW w:w="2260" w:type="dxa"/>
            <w:vAlign w:val="bottom"/>
            <w:tcBorders>
              <w:top w:val="single" w:sz="8" w:color="0050B9"/>
            </w:tcBorders>
          </w:tcPr>
          <w:p>
            <w:pPr>
              <w:spacing w:after="0"/>
              <w:rPr>
                <w:sz w:val="17"/>
                <w:szCs w:val="17"/>
                <w:color w:val="auto"/>
              </w:rPr>
            </w:pPr>
          </w:p>
        </w:tc>
        <w:tc>
          <w:tcPr>
            <w:tcW w:w="1220" w:type="dxa"/>
            <w:vAlign w:val="bottom"/>
            <w:tcBorders>
              <w:top w:val="single" w:sz="8" w:color="0050B9"/>
            </w:tcBorders>
          </w:tcPr>
          <w:p>
            <w:pPr>
              <w:jc w:val="right"/>
              <w:ind w:right="189"/>
              <w:spacing w:after="0"/>
              <w:rPr>
                <w:sz w:val="20"/>
                <w:szCs w:val="20"/>
                <w:color w:val="auto"/>
              </w:rPr>
            </w:pPr>
            <w:r>
              <w:rPr>
                <w:rFonts w:ascii="Arial" w:cs="Arial" w:eastAsia="Arial" w:hAnsi="Arial"/>
                <w:sz w:val="14"/>
                <w:szCs w:val="14"/>
                <w:color w:val="auto"/>
              </w:rPr>
              <w:t>4th Quarter</w:t>
            </w:r>
          </w:p>
        </w:tc>
        <w:tc>
          <w:tcPr>
            <w:tcW w:w="1100" w:type="dxa"/>
            <w:vAlign w:val="bottom"/>
            <w:tcBorders>
              <w:top w:val="single" w:sz="8" w:color="0050B9"/>
            </w:tcBorders>
          </w:tcPr>
          <w:p>
            <w:pPr>
              <w:spacing w:after="0"/>
              <w:rPr>
                <w:sz w:val="17"/>
                <w:szCs w:val="17"/>
                <w:color w:val="auto"/>
              </w:rPr>
            </w:pPr>
          </w:p>
        </w:tc>
        <w:tc>
          <w:tcPr>
            <w:tcW w:w="1060" w:type="dxa"/>
            <w:vAlign w:val="bottom"/>
            <w:tcBorders>
              <w:top w:val="single" w:sz="8" w:color="0050B9"/>
            </w:tcBorders>
          </w:tcPr>
          <w:p>
            <w:pPr>
              <w:spacing w:after="0"/>
              <w:rPr>
                <w:sz w:val="17"/>
                <w:szCs w:val="17"/>
                <w:color w:val="auto"/>
              </w:rPr>
            </w:pPr>
          </w:p>
        </w:tc>
        <w:tc>
          <w:tcPr>
            <w:tcW w:w="1100" w:type="dxa"/>
            <w:vAlign w:val="bottom"/>
            <w:tcBorders>
              <w:top w:val="single" w:sz="8" w:color="0050B9"/>
            </w:tcBorders>
          </w:tcPr>
          <w:p>
            <w:pPr>
              <w:jc w:val="right"/>
              <w:ind w:right="269"/>
              <w:spacing w:after="0"/>
              <w:rPr>
                <w:sz w:val="20"/>
                <w:szCs w:val="20"/>
                <w:color w:val="auto"/>
              </w:rPr>
            </w:pPr>
            <w:r>
              <w:rPr>
                <w:rFonts w:ascii="Arial" w:cs="Arial" w:eastAsia="Arial" w:hAnsi="Arial"/>
                <w:sz w:val="14"/>
                <w:szCs w:val="14"/>
                <w:color w:val="auto"/>
              </w:rPr>
              <w:t>Full Year</w:t>
            </w:r>
          </w:p>
        </w:tc>
        <w:tc>
          <w:tcPr>
            <w:tcW w:w="820" w:type="dxa"/>
            <w:vAlign w:val="bottom"/>
            <w:tcBorders>
              <w:top w:val="single" w:sz="8" w:color="0050B9"/>
            </w:tcBorders>
          </w:tcPr>
          <w:p>
            <w:pPr>
              <w:spacing w:after="0"/>
              <w:rPr>
                <w:sz w:val="17"/>
                <w:szCs w:val="17"/>
                <w:color w:val="auto"/>
              </w:rPr>
            </w:pPr>
          </w:p>
        </w:tc>
      </w:tr>
      <w:tr>
        <w:trPr>
          <w:trHeight w:val="197"/>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2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12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2017</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Growth</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Revenue</w:t>
            </w:r>
          </w:p>
        </w:tc>
        <w:tc>
          <w:tcPr>
            <w:tcW w:w="2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$21,025</w:t>
            </w:r>
          </w:p>
        </w:tc>
        <w:tc>
          <w:tcPr>
            <w:tcW w:w="12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$21,915</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4.2%</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$80,403</w:t>
            </w: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$84,526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 Income Attributable to Comcast</w:t>
            </w:r>
          </w:p>
        </w:tc>
        <w:tc>
          <w:tcPr>
            <w:tcW w:w="2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$2,296</w:t>
            </w:r>
          </w:p>
        </w:tc>
        <w:tc>
          <w:tcPr>
            <w:tcW w:w="12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$14,985</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552.5%</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$8,695</w:t>
            </w: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$22,714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w:t>
            </w:r>
          </w:p>
        </w:tc>
      </w:tr>
      <w:tr>
        <w:trPr>
          <w:trHeight w:val="196"/>
        </w:trPr>
        <w:tc>
          <w:tcPr>
            <w:tcW w:w="3860" w:type="dxa"/>
            <w:vAlign w:val="bottom"/>
            <w:tcBorders>
              <w:bottom w:val="single" w:sz="8" w:color="auto"/>
            </w:tcBorders>
          </w:tcPr>
          <w:p>
            <w:pPr>
              <w:ind w:left="60"/>
              <w:spacing w:after="0" w:line="197" w:lineRule="exact"/>
              <w:rPr>
                <w:sz w:val="20"/>
                <w:szCs w:val="20"/>
                <w:color w:val="auto"/>
              </w:rPr>
            </w:pPr>
            <w:r>
              <w:rPr>
                <w:rFonts w:ascii="Arial" w:cs="Arial" w:eastAsia="Arial" w:hAnsi="Arial"/>
                <w:sz w:val="14"/>
                <w:szCs w:val="14"/>
                <w:color w:val="auto"/>
              </w:rPr>
              <w:t>Adjusted EBITDA</w:t>
            </w:r>
            <w:r>
              <w:rPr>
                <w:rFonts w:ascii="Arial" w:cs="Arial" w:eastAsia="Arial" w:hAnsi="Arial"/>
                <w:sz w:val="22"/>
                <w:szCs w:val="22"/>
                <w:color w:val="auto"/>
                <w:vertAlign w:val="superscript"/>
              </w:rPr>
              <w:t>1</w:t>
            </w:r>
          </w:p>
        </w:tc>
        <w:tc>
          <w:tcPr>
            <w:tcW w:w="2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$6,760</w:t>
            </w:r>
          </w:p>
        </w:tc>
        <w:tc>
          <w:tcPr>
            <w:tcW w:w="12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$6,751</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(0.1%)</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$26,417</w:t>
            </w: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$28,062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27"/>
        </w:trPr>
        <w:tc>
          <w:tcPr>
            <w:tcW w:w="3860" w:type="dxa"/>
            <w:vAlign w:val="bottom"/>
          </w:tcPr>
          <w:p>
            <w:pPr>
              <w:ind w:left="60"/>
              <w:spacing w:after="0" w:line="228" w:lineRule="exact"/>
              <w:rPr>
                <w:sz w:val="20"/>
                <w:szCs w:val="20"/>
                <w:color w:val="auto"/>
              </w:rPr>
            </w:pPr>
            <w:r>
              <w:rPr>
                <w:rFonts w:ascii="Arial" w:cs="Arial" w:eastAsia="Arial" w:hAnsi="Arial"/>
                <w:sz w:val="14"/>
                <w:szCs w:val="14"/>
                <w:color w:val="auto"/>
              </w:rPr>
              <w:t>Earnings per Share</w:t>
            </w:r>
            <w:r>
              <w:rPr>
                <w:rFonts w:ascii="Arial" w:cs="Arial" w:eastAsia="Arial" w:hAnsi="Arial"/>
                <w:sz w:val="23"/>
                <w:szCs w:val="23"/>
                <w:color w:val="auto"/>
                <w:vertAlign w:val="superscript"/>
              </w:rPr>
              <w:t>2</w:t>
            </w:r>
          </w:p>
        </w:tc>
        <w:tc>
          <w:tcPr>
            <w:tcW w:w="2260" w:type="dxa"/>
            <w:vAlign w:val="bottom"/>
          </w:tcPr>
          <w:p>
            <w:pPr>
              <w:jc w:val="right"/>
              <w:ind w:right="208"/>
              <w:spacing w:after="0"/>
              <w:rPr>
                <w:sz w:val="20"/>
                <w:szCs w:val="20"/>
                <w:color w:val="auto"/>
              </w:rPr>
            </w:pPr>
            <w:r>
              <w:rPr>
                <w:rFonts w:ascii="Arial" w:cs="Arial" w:eastAsia="Arial" w:hAnsi="Arial"/>
                <w:sz w:val="14"/>
                <w:szCs w:val="14"/>
                <w:color w:val="auto"/>
              </w:rPr>
              <w:t>$0.48</w:t>
            </w: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$3.17</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560.4%</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$1.78</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$4.75</w:t>
            </w:r>
          </w:p>
        </w:tc>
        <w:tc>
          <w:tcPr>
            <w:tcW w:w="820" w:type="dxa"/>
            <w:vAlign w:val="bottom"/>
          </w:tcPr>
          <w:p>
            <w:pPr>
              <w:jc w:val="right"/>
              <w:spacing w:after="0"/>
              <w:rPr>
                <w:sz w:val="20"/>
                <w:szCs w:val="20"/>
                <w:color w:val="auto"/>
              </w:rPr>
            </w:pPr>
            <w:r>
              <w:rPr>
                <w:rFonts w:ascii="Arial" w:cs="Arial" w:eastAsia="Arial" w:hAnsi="Arial"/>
                <w:sz w:val="14"/>
                <w:szCs w:val="14"/>
                <w:color w:val="auto"/>
              </w:rPr>
              <w:t>166.9%</w:t>
            </w:r>
          </w:p>
        </w:tc>
      </w:tr>
      <w:tr>
        <w:trPr>
          <w:trHeight w:val="186"/>
        </w:trPr>
        <w:tc>
          <w:tcPr>
            <w:tcW w:w="3860" w:type="dxa"/>
            <w:vAlign w:val="bottom"/>
          </w:tcPr>
          <w:p>
            <w:pPr>
              <w:ind w:left="60"/>
              <w:spacing w:after="0"/>
              <w:rPr>
                <w:sz w:val="20"/>
                <w:szCs w:val="20"/>
                <w:color w:val="auto"/>
              </w:rPr>
            </w:pPr>
            <w:r>
              <w:rPr>
                <w:rFonts w:ascii="Arial" w:cs="Arial" w:eastAsia="Arial" w:hAnsi="Arial"/>
                <w:sz w:val="14"/>
                <w:szCs w:val="14"/>
                <w:i w:val="1"/>
                <w:iCs w:val="1"/>
                <w:color w:val="auto"/>
              </w:rPr>
              <w:t>Excluding Adjustments (see Table 4)</w:t>
            </w:r>
          </w:p>
        </w:tc>
        <w:tc>
          <w:tcPr>
            <w:tcW w:w="2260" w:type="dxa"/>
            <w:vAlign w:val="bottom"/>
          </w:tcPr>
          <w:p>
            <w:pPr>
              <w:jc w:val="right"/>
              <w:ind w:right="208"/>
              <w:spacing w:after="0"/>
              <w:rPr>
                <w:sz w:val="20"/>
                <w:szCs w:val="20"/>
                <w:color w:val="auto"/>
              </w:rPr>
            </w:pPr>
            <w:r>
              <w:rPr>
                <w:rFonts w:ascii="Arial" w:cs="Arial" w:eastAsia="Arial" w:hAnsi="Arial"/>
                <w:sz w:val="14"/>
                <w:szCs w:val="14"/>
                <w:i w:val="1"/>
                <w:iCs w:val="1"/>
                <w:color w:val="auto"/>
              </w:rPr>
              <w:t>$0.45</w:t>
            </w:r>
          </w:p>
        </w:tc>
        <w:tc>
          <w:tcPr>
            <w:tcW w:w="1220" w:type="dxa"/>
            <w:vAlign w:val="bottom"/>
          </w:tcPr>
          <w:p>
            <w:pPr>
              <w:jc w:val="right"/>
              <w:ind w:right="269"/>
              <w:spacing w:after="0"/>
              <w:rPr>
                <w:sz w:val="20"/>
                <w:szCs w:val="20"/>
                <w:color w:val="auto"/>
              </w:rPr>
            </w:pPr>
            <w:r>
              <w:rPr>
                <w:rFonts w:ascii="Arial" w:cs="Arial" w:eastAsia="Arial" w:hAnsi="Arial"/>
                <w:sz w:val="14"/>
                <w:szCs w:val="14"/>
                <w:i w:val="1"/>
                <w:iCs w:val="1"/>
                <w:color w:val="auto"/>
              </w:rPr>
              <w:t>$0.49</w:t>
            </w:r>
          </w:p>
        </w:tc>
        <w:tc>
          <w:tcPr>
            <w:tcW w:w="1100" w:type="dxa"/>
            <w:vAlign w:val="bottom"/>
          </w:tcPr>
          <w:p>
            <w:pPr>
              <w:jc w:val="right"/>
              <w:ind w:right="288"/>
              <w:spacing w:after="0"/>
              <w:rPr>
                <w:sz w:val="20"/>
                <w:szCs w:val="20"/>
                <w:color w:val="auto"/>
              </w:rPr>
            </w:pPr>
            <w:r>
              <w:rPr>
                <w:rFonts w:ascii="Arial" w:cs="Arial" w:eastAsia="Arial" w:hAnsi="Arial"/>
                <w:sz w:val="14"/>
                <w:szCs w:val="14"/>
                <w:i w:val="1"/>
                <w:iCs w:val="1"/>
                <w:color w:val="auto"/>
              </w:rPr>
              <w:t>8.9%</w:t>
            </w:r>
          </w:p>
        </w:tc>
        <w:tc>
          <w:tcPr>
            <w:tcW w:w="1060" w:type="dxa"/>
            <w:vAlign w:val="bottom"/>
          </w:tcPr>
          <w:p>
            <w:pPr>
              <w:jc w:val="right"/>
              <w:ind w:right="148"/>
              <w:spacing w:after="0"/>
              <w:rPr>
                <w:sz w:val="20"/>
                <w:szCs w:val="20"/>
                <w:color w:val="auto"/>
              </w:rPr>
            </w:pPr>
            <w:r>
              <w:rPr>
                <w:rFonts w:ascii="Arial" w:cs="Arial" w:eastAsia="Arial" w:hAnsi="Arial"/>
                <w:sz w:val="14"/>
                <w:szCs w:val="14"/>
                <w:i w:val="1"/>
                <w:iCs w:val="1"/>
                <w:color w:val="auto"/>
              </w:rPr>
              <w:t>$1.74</w:t>
            </w:r>
          </w:p>
        </w:tc>
        <w:tc>
          <w:tcPr>
            <w:tcW w:w="1100" w:type="dxa"/>
            <w:vAlign w:val="bottom"/>
          </w:tcPr>
          <w:p>
            <w:pPr>
              <w:jc w:val="right"/>
              <w:ind w:right="249"/>
              <w:spacing w:after="0"/>
              <w:rPr>
                <w:sz w:val="20"/>
                <w:szCs w:val="20"/>
                <w:color w:val="auto"/>
              </w:rPr>
            </w:pPr>
            <w:r>
              <w:rPr>
                <w:rFonts w:ascii="Arial" w:cs="Arial" w:eastAsia="Arial" w:hAnsi="Arial"/>
                <w:sz w:val="14"/>
                <w:szCs w:val="14"/>
                <w:i w:val="1"/>
                <w:iCs w:val="1"/>
                <w:color w:val="auto"/>
              </w:rPr>
              <w:t>$2.06</w:t>
            </w: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18.4%</w:t>
            </w:r>
          </w:p>
        </w:tc>
      </w:tr>
    </w:tbl>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fourth quarter of 2017 increased 4.2% to $21.9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by $12.7 billion to $15.0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of $6.8 billion was consistent with the prior year.</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twelve months ended December 31, 2017, consolidated revenue increased 5.1% to $84.5 billion compared to 2016. Consolidated net income attributable to Comcast increased 161% to $22.7 billion. Consolidated Adjusted EBITDA increased 6.2% to $28.1 billion.</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2017 was $3.17, an increase of $2.69 compared to the fourth quarter of 2016.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$12.7 billion of net income tax benefits primarily associated with a reduction of our net deferred income tax liabilities as a result of the 2017 tax reform legislation in the fourth quarter of 2017, as well as other adjustments in the fourth quarter of 2016, EPS increased 8.9% to $0.49 (see Table 4).</w:t>
      </w:r>
    </w:p>
    <w:p>
      <w:pPr>
        <w:spacing w:after="0" w:line="18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twelve months ended December 31, 2017, EPS was $4.75, a 167% increase compared to the prior year. Excluding $12.7 billion of net income tax benefits primarily associated with a reduction of our net deferred income tax liabilities as a result of the 2017 tax reform legislation in the fourth quarter of 2017, as well as other adjustments in both 2016 and 2017, EPS increased 18.4% to $2.06 (see Table 4).</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5.4% to $2.7 billion in the fourth quarter of 2017. Cable Communications’ capital expenditures increased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$2.2 billion in the fourth quarter of 2017, reflecting a higher level of investment in scalable infrastructure to increase network capacity and increased investment in line extensions, partially offset by a decrease in spending on customer premise equipment and support capital. Cable capital expenditures represented 16.2% of Cable revenue in the fourth quarter of 2017 compared to 16.3% in last year’s fourth quarter. NBCUniversal’s capital expenditures of $525 million increased 13.6%, reflecting increased spending on infrastructure, as well as continued investment at Theme Parks.</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twelve months ended December 31, 2017, capital expenditures increased 4.5% to $9.6 billion compared to 2016. Cable Communications’ capital expenditures increased 4.7% to $8.0 billion, reflecting a higher level of investment in scalable infrastructure to increase network capacity and increased investment in line extensions, partially offset by a decrease in spending on customer premise equipment and support capital. For the year, Cable capital expenditures represented 15.1% of Cable revenue compared to 15.2% in 2016. NBCUniversal’s capital expenditures increased 3.4% to $1.5 billion in 2017, primarily reflecting increased spending at Theme Parks, as well as real estate and infrastructure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$5.4 billion in the fourth quarter of 2017.</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i w:val="1"/>
          <w:iCs w:val="1"/>
          <w:color w:val="auto"/>
          <w:vertAlign w:val="superscript"/>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$2.0 billion (see Table 5).</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twelve months ended December 31, 2017, net cash provided by operating activities was $21.4 billion. Free cash flow was $9.6 billion (see Table 5).</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2017, Comcast paid dividends totaling $736 million and repurchased 32.4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$1.2 billion. For the full year, Comcast made four cash dividend payments totaling $2.9 billion and repurchased 130.9 million of its common shares for $5.0 billion, resulting in a total return of capital to shareholders of $7.9 billion.</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2017, Comcast had $7.0 billion available under its share repurchase authorization. Comcast expects to repurchase at least $5 billion of its Class A common stock during 2018, subject to market conditions.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Comcast announced that it increased its dividend by 21% to $0.76 per share on an annualized basis for 2018. In accordance with the increase, the Board of Directors declared a quarterly cash dividend of $0.19 a share on the company’s stock, payable on April 25, 2018 to shareholders of record as of the close of business on April 4, 2018.</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Borders>
              <w:top w:val="single" w:sz="8" w:color="C9C9C9"/>
            </w:tcBorders>
          </w:tcPr>
          <w:p>
            <w:pPr>
              <w:spacing w:after="0"/>
              <w:rPr>
                <w:sz w:val="18"/>
                <w:szCs w:val="18"/>
                <w:color w:val="auto"/>
              </w:rPr>
            </w:pPr>
          </w:p>
        </w:tc>
        <w:tc>
          <w:tcPr>
            <w:tcW w:w="1460" w:type="dxa"/>
            <w:vAlign w:val="bottom"/>
            <w:tcBorders>
              <w:top w:val="single" w:sz="8" w:color="C9C9C9"/>
            </w:tcBorders>
          </w:tcPr>
          <w:p>
            <w:pPr>
              <w:spacing w:after="0"/>
              <w:rPr>
                <w:sz w:val="18"/>
                <w:szCs w:val="18"/>
                <w:color w:val="auto"/>
              </w:rPr>
            </w:pPr>
          </w:p>
        </w:tc>
        <w:tc>
          <w:tcPr>
            <w:tcW w:w="320" w:type="dxa"/>
            <w:vAlign w:val="bottom"/>
            <w:tcBorders>
              <w:top w:val="single" w:sz="8" w:color="C9C9C9"/>
            </w:tcBorders>
            <w:vMerge w:val="restart"/>
          </w:tcPr>
          <w:p>
            <w:pPr>
              <w:jc w:val="right"/>
              <w:ind w:right="182"/>
              <w:spacing w:after="0"/>
              <w:rPr>
                <w:sz w:val="20"/>
                <w:szCs w:val="20"/>
                <w:color w:val="auto"/>
              </w:rPr>
            </w:pPr>
            <w:r>
              <w:rPr>
                <w:rFonts w:ascii="Arial" w:cs="Arial" w:eastAsia="Arial" w:hAnsi="Arial"/>
                <w:sz w:val="12"/>
                <w:szCs w:val="12"/>
                <w:color w:val="auto"/>
                <w:w w:val="89"/>
              </w:rPr>
              <w:t>4</w:t>
            </w:r>
          </w:p>
        </w:tc>
        <w:tc>
          <w:tcPr>
            <w:tcW w:w="1200" w:type="dxa"/>
            <w:vAlign w:val="bottom"/>
            <w:tcBorders>
              <w:top w:val="single" w:sz="8" w:color="C9C9C9"/>
            </w:tcBorders>
          </w:tcPr>
          <w:p>
            <w:pPr>
              <w:jc w:val="right"/>
              <w:ind w:right="208"/>
              <w:spacing w:after="0"/>
              <w:rPr>
                <w:sz w:val="20"/>
                <w:szCs w:val="20"/>
                <w:color w:val="auto"/>
              </w:rPr>
            </w:pPr>
            <w:r>
              <w:rPr>
                <w:rFonts w:ascii="Arial" w:cs="Arial" w:eastAsia="Arial" w:hAnsi="Arial"/>
                <w:sz w:val="14"/>
                <w:szCs w:val="14"/>
                <w:color w:val="auto"/>
              </w:rPr>
              <w:t>4th Quarter</w:t>
            </w:r>
          </w:p>
        </w:tc>
        <w:tc>
          <w:tcPr>
            <w:tcW w:w="1180" w:type="dxa"/>
            <w:vAlign w:val="bottom"/>
            <w:tcBorders>
              <w:top w:val="single" w:sz="8" w:color="C9C9C9"/>
            </w:tcBorders>
          </w:tcPr>
          <w:p>
            <w:pPr>
              <w:spacing w:after="0"/>
              <w:rPr>
                <w:sz w:val="18"/>
                <w:szCs w:val="18"/>
                <w:color w:val="auto"/>
              </w:rPr>
            </w:pPr>
          </w:p>
        </w:tc>
        <w:tc>
          <w:tcPr>
            <w:tcW w:w="1240" w:type="dxa"/>
            <w:vAlign w:val="bottom"/>
            <w:tcBorders>
              <w:top w:val="single" w:sz="8" w:color="C9C9C9"/>
            </w:tcBorders>
            <w:vMerge w:val="restart"/>
          </w:tcPr>
          <w:p>
            <w:pPr>
              <w:jc w:val="right"/>
              <w:ind w:right="108"/>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23"/>
                <w:szCs w:val="23"/>
                <w:color w:val="auto"/>
                <w:vertAlign w:val="superscript"/>
              </w:rPr>
              <w:t>4</w:t>
            </w:r>
          </w:p>
        </w:tc>
        <w:tc>
          <w:tcPr>
            <w:tcW w:w="1160" w:type="dxa"/>
            <w:vAlign w:val="bottom"/>
            <w:tcBorders>
              <w:top w:val="single" w:sz="8" w:color="C9C9C9"/>
            </w:tcBorders>
          </w:tcPr>
          <w:p>
            <w:pPr>
              <w:jc w:val="right"/>
              <w:ind w:right="248"/>
              <w:spacing w:after="0"/>
              <w:rPr>
                <w:sz w:val="20"/>
                <w:szCs w:val="20"/>
                <w:color w:val="auto"/>
              </w:rPr>
            </w:pPr>
            <w:r>
              <w:rPr>
                <w:rFonts w:ascii="Arial" w:cs="Arial" w:eastAsia="Arial" w:hAnsi="Arial"/>
                <w:sz w:val="14"/>
                <w:szCs w:val="14"/>
                <w:color w:val="auto"/>
              </w:rPr>
              <w:t>Full Year</w:t>
            </w:r>
          </w:p>
        </w:tc>
        <w:tc>
          <w:tcPr>
            <w:tcW w:w="820" w:type="dxa"/>
            <w:vAlign w:val="bottom"/>
            <w:tcBorders>
              <w:top w:val="single" w:sz="8" w:color="C9C9C9"/>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Growth</w:t>
            </w:r>
          </w:p>
        </w:tc>
        <w:tc>
          <w:tcPr>
            <w:tcW w:w="12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6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Video</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$5,647</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$5,733</w:t>
            </w:r>
          </w:p>
        </w:tc>
        <w:tc>
          <w:tcPr>
            <w:tcW w:w="11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1.5%</w:t>
            </w: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$22,357</w:t>
            </w:r>
          </w:p>
        </w:tc>
        <w:tc>
          <w:tcPr>
            <w:tcW w:w="11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$23,129</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3,483</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3,775</w:t>
            </w:r>
          </w:p>
        </w:tc>
        <w:tc>
          <w:tcPr>
            <w:tcW w:w="11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8.4%</w:t>
            </w: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13,532</w:t>
            </w:r>
          </w:p>
        </w:tc>
        <w:tc>
          <w:tcPr>
            <w:tcW w:w="11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14,769</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873</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832</w:t>
            </w:r>
          </w:p>
        </w:tc>
        <w:tc>
          <w:tcPr>
            <w:tcW w:w="11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(4.6%)</w:t>
            </w: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3,540</w:t>
            </w:r>
          </w:p>
        </w:tc>
        <w:tc>
          <w:tcPr>
            <w:tcW w:w="11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3,391</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Business Services</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1,620</w:t>
            </w:r>
          </w:p>
        </w:tc>
        <w:tc>
          <w:tcPr>
            <w:tcW w:w="11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12.2%</w:t>
            </w: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5,514</w:t>
            </w:r>
          </w:p>
        </w:tc>
        <w:tc>
          <w:tcPr>
            <w:tcW w:w="11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6,216</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Advertising</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629</w:t>
            </w:r>
          </w:p>
        </w:tc>
        <w:tc>
          <w:tcPr>
            <w:tcW w:w="11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(12.4%)</w:t>
            </w: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2,476</w:t>
            </w:r>
          </w:p>
        </w:tc>
        <w:tc>
          <w:tcPr>
            <w:tcW w:w="11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2,257</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3"/>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Other</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693</w:t>
            </w:r>
          </w:p>
        </w:tc>
        <w:tc>
          <w:tcPr>
            <w:tcW w:w="11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2.3%</w:t>
            </w: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2,629</w:t>
            </w:r>
          </w:p>
        </w:tc>
        <w:tc>
          <w:tcPr>
            <w:tcW w:w="11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2,757</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0"/>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$12,843</w:t>
            </w:r>
          </w:p>
        </w:tc>
        <w:tc>
          <w:tcPr>
            <w:tcW w:w="320" w:type="dxa"/>
            <w:vAlign w:val="bottom"/>
          </w:tcPr>
          <w:p>
            <w:pPr>
              <w:spacing w:after="0"/>
              <w:rPr>
                <w:sz w:val="16"/>
                <w:szCs w:val="16"/>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$13,282</w:t>
            </w: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3.4%</w:t>
            </w: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$50,048</w:t>
            </w: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$52,519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81"/>
        </w:trPr>
        <w:tc>
          <w:tcPr>
            <w:tcW w:w="4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$5,186</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$5,406</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4.2%</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$20,109</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$21,170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80"/>
        </w:trPr>
        <w:tc>
          <w:tcPr>
            <w:tcW w:w="404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1780" w:type="dxa"/>
            <w:vAlign w:val="bottom"/>
            <w:gridSpan w:val="2"/>
          </w:tcPr>
          <w:p>
            <w:pPr>
              <w:jc w:val="right"/>
              <w:ind w:right="142"/>
              <w:spacing w:after="0"/>
              <w:rPr>
                <w:sz w:val="20"/>
                <w:szCs w:val="20"/>
                <w:color w:val="auto"/>
              </w:rPr>
            </w:pPr>
            <w:r>
              <w:rPr>
                <w:rFonts w:ascii="Arial" w:cs="Arial" w:eastAsia="Arial" w:hAnsi="Arial"/>
                <w:sz w:val="14"/>
                <w:szCs w:val="14"/>
                <w:i w:val="1"/>
                <w:iCs w:val="1"/>
                <w:color w:val="auto"/>
              </w:rPr>
              <w:t>40.4%</w:t>
            </w:r>
          </w:p>
        </w:tc>
        <w:tc>
          <w:tcPr>
            <w:tcW w:w="1200" w:type="dxa"/>
            <w:vAlign w:val="bottom"/>
          </w:tcPr>
          <w:p>
            <w:pPr>
              <w:jc w:val="right"/>
              <w:ind w:right="288"/>
              <w:spacing w:after="0"/>
              <w:rPr>
                <w:sz w:val="20"/>
                <w:szCs w:val="20"/>
                <w:color w:val="auto"/>
              </w:rPr>
            </w:pPr>
            <w:r>
              <w:rPr>
                <w:rFonts w:ascii="Arial" w:cs="Arial" w:eastAsia="Arial" w:hAnsi="Arial"/>
                <w:sz w:val="14"/>
                <w:szCs w:val="14"/>
                <w:i w:val="1"/>
                <w:iCs w:val="1"/>
                <w:color w:val="auto"/>
              </w:rPr>
              <w:t>40.7%</w:t>
            </w:r>
          </w:p>
        </w:tc>
        <w:tc>
          <w:tcPr>
            <w:tcW w:w="1180" w:type="dxa"/>
            <w:vAlign w:val="bottom"/>
          </w:tcPr>
          <w:p>
            <w:pPr>
              <w:spacing w:after="0"/>
              <w:rPr>
                <w:sz w:val="15"/>
                <w:szCs w:val="15"/>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i w:val="1"/>
                <w:iCs w:val="1"/>
                <w:color w:val="auto"/>
              </w:rPr>
              <w:t>40.2%</w:t>
            </w:r>
          </w:p>
        </w:tc>
        <w:tc>
          <w:tcPr>
            <w:tcW w:w="1160" w:type="dxa"/>
            <w:vAlign w:val="bottom"/>
          </w:tcPr>
          <w:p>
            <w:pPr>
              <w:jc w:val="right"/>
              <w:ind w:right="228"/>
              <w:spacing w:after="0"/>
              <w:rPr>
                <w:sz w:val="20"/>
                <w:szCs w:val="20"/>
                <w:color w:val="auto"/>
              </w:rPr>
            </w:pPr>
            <w:r>
              <w:rPr>
                <w:rFonts w:ascii="Arial" w:cs="Arial" w:eastAsia="Arial" w:hAnsi="Arial"/>
                <w:sz w:val="14"/>
                <w:szCs w:val="14"/>
                <w:i w:val="1"/>
                <w:iCs w:val="1"/>
                <w:color w:val="auto"/>
              </w:rPr>
              <w:t>40.3%</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$2,095</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$2,154</w:t>
            </w: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2.8%</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$7,596</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$7,952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1780" w:type="dxa"/>
            <w:vAlign w:val="bottom"/>
            <w:tcBorders>
              <w:bottom w:val="single" w:sz="8" w:color="auto"/>
            </w:tcBorders>
            <w:gridSpan w:val="2"/>
          </w:tcPr>
          <w:p>
            <w:pPr>
              <w:jc w:val="right"/>
              <w:ind w:right="142"/>
              <w:spacing w:after="0" w:line="155" w:lineRule="exact"/>
              <w:rPr>
                <w:sz w:val="20"/>
                <w:szCs w:val="20"/>
                <w:color w:val="auto"/>
              </w:rPr>
            </w:pPr>
            <w:r>
              <w:rPr>
                <w:rFonts w:ascii="Arial" w:cs="Arial" w:eastAsia="Arial" w:hAnsi="Arial"/>
                <w:sz w:val="14"/>
                <w:szCs w:val="14"/>
                <w:i w:val="1"/>
                <w:iCs w:val="1"/>
                <w:color w:val="auto"/>
              </w:rPr>
              <w:t>16.3%</w:t>
            </w:r>
          </w:p>
        </w:tc>
        <w:tc>
          <w:tcPr>
            <w:tcW w:w="12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i w:val="1"/>
                <w:iCs w:val="1"/>
                <w:color w:val="auto"/>
              </w:rPr>
              <w:t>16.2%</w:t>
            </w:r>
          </w:p>
        </w:tc>
        <w:tc>
          <w:tcPr>
            <w:tcW w:w="1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i w:val="1"/>
                <w:iCs w:val="1"/>
                <w:color w:val="auto"/>
              </w:rPr>
              <w:t>15.2%</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i w:val="1"/>
                <w:iCs w:val="1"/>
                <w:color w:val="auto"/>
              </w:rPr>
              <w:t>15.1%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3.4% to $13.3 billion in the fourth quarter of 2017,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video revenue. High-speed Internet revenue increased 8.4%, driven by an increase in the number of residential high-speed Internet customers and rate adjustments. Business services revenue increased 12.2%, primarily due to increases in the number of customers receiving our small and medium-sized business services offerings. Video revenue increased 1.5%, primarily reflecting rate adjustments, as well as an increase in the number of customers subscribing to additional services, partially offset by a decrease in the number of residential video customers. Other revenue increased 2.3%, driven by Xfinity Home and an increase in revenue from our X1 licensing agreements. Advertising revenue decreased 12.4%, primarily reflecting a decrease in political advertising revenue. Voice revenue decreased 4.6%, primarily due to the allocation of voice revenue for customers who receive bundled services, as well as a decrease in the number of residential voice customers.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twelve months ended December 31, 2017, Cable revenue increased 4.9% to $52.5 billion compared to 2016, driven by growth in high-speed Internet, video and business services revenue.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243,000 to 29.3 million in the fourth quarter of 2017.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211,000 and business customer relationships increased by 33,000. At the end of the fourth quarter, penetration of our double, triple and quad product residential customers was 69.8%. Total high-speed Internet customer net additions were 350,000, total video customer net losses were 33,000, total voice customer net losses were 13,000 and total security and automation customer net additions were 52,000.</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year ended December 31, 2017, customer relationships increased by 770,000. Residential customer relationships increased by 635,000 and business customer relationships increased by 135,000. Total high-speed Internet customer net additions were 1.2 million, total</w:t>
      </w:r>
    </w:p>
    <w:p>
      <w:pPr>
        <w:sectPr>
          <w:pgSz w:w="11900" w:h="16838" w:orient="portrait"/>
          <w:cols w:equalWidth="0" w:num="1">
            <w:col w:w="11420"/>
          </w:cols>
          <w:pgMar w:left="240" w:top="118" w:right="239" w:bottom="0" w:gutter="0" w:footer="0" w:header="0"/>
        </w:sectPr>
      </w:pPr>
    </w:p>
    <w:bookmarkStart w:id="4" w:name="page5"/>
    <w:bookmarkEnd w:id="4"/>
    <w:p>
      <w:pPr>
        <w:jc w:val="both"/>
        <w:ind w:right="40"/>
        <w:spacing w:after="0" w:line="245" w:lineRule="auto"/>
        <w:rPr>
          <w:sz w:val="20"/>
          <w:szCs w:val="20"/>
          <w:color w:val="auto"/>
        </w:rPr>
      </w:pPr>
      <w:r>
        <w:rPr>
          <w:rFonts w:ascii="Arial" w:cs="Arial" w:eastAsia="Arial" w:hAnsi="Arial"/>
          <w:sz w:val="18"/>
          <w:szCs w:val="18"/>
          <w:color w:val="auto"/>
        </w:rPr>
        <w:t>video customer net losses were 151,000, total voice customer net losses were 135,000 and total security and automation customer net additions were 239,000.</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Customers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ind w:left="460"/>
              <w:spacing w:after="0"/>
              <w:rPr>
                <w:sz w:val="20"/>
                <w:szCs w:val="20"/>
                <w:color w:val="auto"/>
              </w:rPr>
            </w:pPr>
            <w:r>
              <w:rPr>
                <w:rFonts w:ascii="Arial" w:cs="Arial" w:eastAsia="Arial" w:hAnsi="Arial"/>
                <w:sz w:val="14"/>
                <w:szCs w:val="14"/>
                <w:color w:val="auto"/>
              </w:rPr>
              <w:t>Net Additions</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5"/>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1"/>
                <w:szCs w:val="11"/>
                <w:i w:val="1"/>
                <w:iCs w:val="1"/>
                <w:color w:val="auto"/>
              </w:rPr>
              <w:t>(in thousands)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YE16</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YE17</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4Q16</w:t>
            </w: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4Q17</w:t>
            </w: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2016</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162"/>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Video Customers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21,488</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21,303</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68</w:t>
            </w:r>
          </w:p>
        </w:tc>
        <w:tc>
          <w:tcPr>
            <w:tcW w:w="8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(38)</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r>
      <w:tr>
        <w:trPr>
          <w:trHeight w:val="163"/>
        </w:trPr>
        <w:tc>
          <w:tcPr>
            <w:tcW w:w="46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Business Services Video Customers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1,019</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1,054</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12</w:t>
            </w:r>
          </w:p>
        </w:tc>
        <w:tc>
          <w:tcPr>
            <w:tcW w:w="88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5</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57</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w:t>
            </w:r>
          </w:p>
        </w:tc>
      </w:tr>
      <w:tr>
        <w:trPr>
          <w:trHeight w:val="162"/>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Video Customers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22,508</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22,357</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80</w:t>
            </w:r>
          </w:p>
        </w:tc>
        <w:tc>
          <w:tcPr>
            <w:tcW w:w="8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(33)</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161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w:t>
            </w:r>
          </w:p>
        </w:tc>
      </w:tr>
      <w:tr>
        <w:trPr>
          <w:trHeight w:val="156"/>
        </w:trPr>
        <w:tc>
          <w:tcPr>
            <w:tcW w:w="46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Residential High-Speed Internet Customers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22,827</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23,863</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350</w:t>
            </w:r>
          </w:p>
        </w:tc>
        <w:tc>
          <w:tcPr>
            <w:tcW w:w="88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318</w:t>
            </w: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1,218</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1,036</w:t>
            </w:r>
          </w:p>
        </w:tc>
      </w:tr>
      <w:tr>
        <w:trPr>
          <w:trHeight w:val="163"/>
        </w:trPr>
        <w:tc>
          <w:tcPr>
            <w:tcW w:w="46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Business Services High-Speed Internet Customers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1,874</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2,006</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36</w:t>
            </w:r>
          </w:p>
        </w:tc>
        <w:tc>
          <w:tcPr>
            <w:tcW w:w="88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32</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155</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132</w:t>
            </w:r>
          </w:p>
        </w:tc>
      </w:tr>
      <w:tr>
        <w:trPr>
          <w:trHeight w:val="162"/>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High-Speed Internet Customers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24,701</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25,869</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385</w:t>
            </w: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350</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1,373</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1,168</w:t>
            </w:r>
          </w:p>
        </w:tc>
      </w:tr>
      <w:tr>
        <w:trPr>
          <w:trHeight w:val="156"/>
        </w:trPr>
        <w:tc>
          <w:tcPr>
            <w:tcW w:w="46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Residential Voice Customers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10,546</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10,316</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20</w:t>
            </w:r>
          </w:p>
        </w:tc>
        <w:tc>
          <w:tcPr>
            <w:tcW w:w="880" w:type="dxa"/>
            <w:vAlign w:val="bottom"/>
            <w:tcBorders>
              <w:bottom w:val="single" w:sz="8" w:color="auto"/>
              <w:right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(35)</w:t>
            </w: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110</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w:t>
            </w:r>
          </w:p>
        </w:tc>
      </w:tr>
      <w:tr>
        <w:trPr>
          <w:trHeight w:val="163"/>
        </w:trPr>
        <w:tc>
          <w:tcPr>
            <w:tcW w:w="46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Business Services Voice Customers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1,140</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1,236</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24</w:t>
            </w:r>
          </w:p>
        </w:tc>
        <w:tc>
          <w:tcPr>
            <w:tcW w:w="88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22</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101</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96</w:t>
            </w:r>
          </w:p>
        </w:tc>
      </w:tr>
      <w:tr>
        <w:trPr>
          <w:trHeight w:val="169"/>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Voice Customers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11,687</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11,552</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44</w:t>
            </w:r>
          </w:p>
        </w:tc>
        <w:tc>
          <w:tcPr>
            <w:tcW w:w="88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(13)</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r>
      <w:tr>
        <w:trPr>
          <w:trHeight w:val="169"/>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Security and Automation Customers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891</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1,131</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76</w:t>
            </w: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52</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279</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239</w:t>
            </w:r>
          </w:p>
        </w:tc>
      </w:tr>
      <w:tr>
        <w:trPr>
          <w:trHeight w:val="223"/>
        </w:trPr>
        <w:tc>
          <w:tcPr>
            <w:tcW w:w="46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62"/>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Customer Relationships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26,533</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27,168</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221</w:t>
            </w: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211</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705</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w:t>
            </w:r>
          </w:p>
        </w:tc>
      </w:tr>
      <w:tr>
        <w:trPr>
          <w:trHeight w:val="163"/>
        </w:trPr>
        <w:tc>
          <w:tcPr>
            <w:tcW w:w="46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Business Services Customer Relationships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2,044</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2,179</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38</w:t>
            </w:r>
          </w:p>
        </w:tc>
        <w:tc>
          <w:tcPr>
            <w:tcW w:w="88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33</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157</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135</w:t>
            </w:r>
          </w:p>
        </w:tc>
      </w:tr>
      <w:tr>
        <w:trPr>
          <w:trHeight w:val="169"/>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 Customer Relationships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28,577</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29,347</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259</w:t>
            </w: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243</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862</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770</w:t>
            </w:r>
          </w:p>
        </w:tc>
      </w:tr>
      <w:tr>
        <w:trPr>
          <w:trHeight w:val="223"/>
        </w:trPr>
        <w:tc>
          <w:tcPr>
            <w:tcW w:w="46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62"/>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Single Product Residential Customers</w:t>
            </w:r>
          </w:p>
        </w:tc>
        <w:tc>
          <w:tcPr>
            <w:tcW w:w="2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7,756</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8,196</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w:t>
            </w: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140</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w:t>
            </w:r>
          </w:p>
        </w:tc>
      </w:tr>
      <w:tr>
        <w:trPr>
          <w:trHeight w:val="156"/>
        </w:trPr>
        <w:tc>
          <w:tcPr>
            <w:tcW w:w="462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Double Product Residential Customers</w:t>
            </w:r>
          </w:p>
        </w:tc>
        <w:tc>
          <w:tcPr>
            <w:tcW w:w="234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8,797</w:t>
            </w:r>
          </w:p>
        </w:tc>
        <w:tc>
          <w:tcPr>
            <w:tcW w:w="9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9,056</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115</w:t>
            </w:r>
          </w:p>
        </w:tc>
        <w:tc>
          <w:tcPr>
            <w:tcW w:w="880" w:type="dxa"/>
            <w:vAlign w:val="bottom"/>
            <w:tcBorders>
              <w:bottom w:val="single" w:sz="8" w:color="auto"/>
              <w:right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73</w:t>
            </w: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319</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259</w:t>
            </w:r>
          </w:p>
        </w:tc>
      </w:tr>
      <w:tr>
        <w:trPr>
          <w:trHeight w:val="156"/>
        </w:trPr>
        <w:tc>
          <w:tcPr>
            <w:tcW w:w="4620" w:type="dxa"/>
            <w:vAlign w:val="bottom"/>
          </w:tcPr>
          <w:p>
            <w:pPr>
              <w:ind w:left="80"/>
              <w:spacing w:after="0" w:line="155" w:lineRule="exact"/>
              <w:rPr>
                <w:sz w:val="20"/>
                <w:szCs w:val="20"/>
                <w:color w:val="auto"/>
              </w:rPr>
            </w:pPr>
            <w:r>
              <w:rPr>
                <w:rFonts w:ascii="Arial" w:cs="Arial" w:eastAsia="Arial" w:hAnsi="Arial"/>
                <w:sz w:val="14"/>
                <w:szCs w:val="14"/>
                <w:color w:val="auto"/>
              </w:rPr>
              <w:t>Triple and Quad Product Residential Customers</w:t>
            </w:r>
          </w:p>
        </w:tc>
        <w:tc>
          <w:tcPr>
            <w:tcW w:w="2340" w:type="dxa"/>
            <w:vAlign w:val="bottom"/>
          </w:tcPr>
          <w:p>
            <w:pPr>
              <w:jc w:val="right"/>
              <w:ind w:right="628"/>
              <w:spacing w:after="0" w:line="155" w:lineRule="exact"/>
              <w:rPr>
                <w:sz w:val="20"/>
                <w:szCs w:val="20"/>
                <w:color w:val="auto"/>
              </w:rPr>
            </w:pPr>
            <w:r>
              <w:rPr>
                <w:rFonts w:ascii="Arial" w:cs="Arial" w:eastAsia="Arial" w:hAnsi="Arial"/>
                <w:sz w:val="14"/>
                <w:szCs w:val="14"/>
                <w:color w:val="auto"/>
              </w:rPr>
              <w:t>9,980</w:t>
            </w:r>
          </w:p>
        </w:tc>
        <w:tc>
          <w:tcPr>
            <w:tcW w:w="9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9,916</w:t>
            </w:r>
          </w:p>
        </w:tc>
        <w:tc>
          <w:tcPr>
            <w:tcW w:w="9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71</w:t>
            </w:r>
          </w:p>
        </w:tc>
        <w:tc>
          <w:tcPr>
            <w:tcW w:w="880" w:type="dxa"/>
            <w:vAlign w:val="bottom"/>
            <w:tcBorders>
              <w:right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3"/>
                <w:szCs w:val="13"/>
                <w:color w:val="auto"/>
              </w:rPr>
            </w:pPr>
          </w:p>
        </w:tc>
        <w:tc>
          <w:tcPr>
            <w:tcW w:w="5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277</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(64)</w:t>
            </w:r>
          </w:p>
        </w:tc>
      </w:tr>
    </w:tbl>
    <w:p>
      <w:pPr>
        <w:spacing w:after="0" w:line="180"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4.2% to $5.4 billion in the fourth quarter of 2017,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2.9% increase in operating expenses. The higher expenses were primarily due to a 10.0% increase in video programming costs, reflecting the timing of contract renewals, higher retransmission consent fees and sports programming costs. Non-programming expenses decreased 1.5%, primarily reflecting decreases in other operating costs and customer service expenses, as well as relatively flat technical and product support expenses and advertising, marketing and promotion costs. This quarter’s Adjusted EBITDA margin was 40.7%, compared to 40.4% in the fourth quarter of 2016.</w:t>
      </w:r>
    </w:p>
    <w:p>
      <w:pPr>
        <w:spacing w:after="0" w:line="18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twelve months ended December 31, 2017, Cable Adjusted EBITDA increased 5.3% to $21.2 billion compared to 2016, driven by higher revenue, partially offset by a 4.7% increase in operating expenses. The higher expenses were primarily due to an 11.5% increase in video programming costs. Non-programming expenses were relatively flat compared to 2016. For the year, Adjusted EBITDA margin was 40.3% compared to 40.2% in 2016.</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Arial" w:cs="Arial" w:eastAsia="Arial" w:hAnsi="Arial"/>
                <w:sz w:val="14"/>
                <w:szCs w:val="14"/>
                <w:color w:val="auto"/>
              </w:rPr>
              <w:t>4th Quarter</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right"/>
              <w:ind w:right="688"/>
              <w:spacing w:after="0"/>
              <w:rPr>
                <w:sz w:val="20"/>
                <w:szCs w:val="20"/>
                <w:color w:val="auto"/>
              </w:rPr>
            </w:pPr>
            <w:r>
              <w:rPr>
                <w:rFonts w:ascii="Arial" w:cs="Arial" w:eastAsia="Arial" w:hAnsi="Arial"/>
                <w:sz w:val="14"/>
                <w:szCs w:val="14"/>
                <w:color w:val="auto"/>
              </w:rPr>
              <w:t>Full Year</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354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76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150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Growth</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Growth</w:t>
            </w:r>
          </w:p>
        </w:tc>
      </w:tr>
      <w:tr>
        <w:trPr>
          <w:trHeight w:val="162"/>
        </w:trPr>
        <w:tc>
          <w:tcPr>
            <w:tcW w:w="3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7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354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760" w:type="dxa"/>
            <w:vAlign w:val="bottom"/>
          </w:tcPr>
          <w:p>
            <w:pPr>
              <w:jc w:val="right"/>
              <w:ind w:right="108"/>
              <w:spacing w:after="0"/>
              <w:rPr>
                <w:sz w:val="20"/>
                <w:szCs w:val="20"/>
                <w:color w:val="auto"/>
              </w:rPr>
            </w:pPr>
            <w:r>
              <w:rPr>
                <w:rFonts w:ascii="Arial" w:cs="Arial" w:eastAsia="Arial" w:hAnsi="Arial"/>
                <w:sz w:val="14"/>
                <w:szCs w:val="14"/>
                <w:color w:val="auto"/>
              </w:rPr>
              <w:t>$2,503</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$2,691</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7.5%</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$10,464</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$10,631</w:t>
            </w: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4"/>
                <w:szCs w:val="14"/>
                <w:color w:val="auto"/>
              </w:rPr>
            </w:pP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7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10,032</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10,631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6.0%</w:t>
            </w:r>
          </w:p>
        </w:tc>
        <w:tc>
          <w:tcPr>
            <w:tcW w:w="40" w:type="dxa"/>
            <w:vAlign w:val="bottom"/>
          </w:tcPr>
          <w:p>
            <w:pPr>
              <w:spacing w:after="0"/>
              <w:rPr>
                <w:sz w:val="16"/>
                <w:szCs w:val="16"/>
                <w:color w:val="auto"/>
              </w:rPr>
            </w:pPr>
          </w:p>
        </w:tc>
      </w:tr>
      <w:tr>
        <w:trPr>
          <w:trHeight w:val="211"/>
        </w:trPr>
        <w:tc>
          <w:tcPr>
            <w:tcW w:w="354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760" w:type="dxa"/>
            <w:vAlign w:val="bottom"/>
          </w:tcPr>
          <w:p>
            <w:pPr>
              <w:jc w:val="right"/>
              <w:ind w:right="108"/>
              <w:spacing w:after="0"/>
              <w:rPr>
                <w:sz w:val="20"/>
                <w:szCs w:val="20"/>
                <w:color w:val="auto"/>
              </w:rPr>
            </w:pPr>
            <w:r>
              <w:rPr>
                <w:rFonts w:ascii="Arial" w:cs="Arial" w:eastAsia="Arial" w:hAnsi="Arial"/>
                <w:sz w:val="14"/>
                <w:szCs w:val="14"/>
                <w:color w:val="auto"/>
              </w:rPr>
              <w:t>2,848</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2,964</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4.1%</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10,147</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9,546</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7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8,959</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9,546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6.6%</w:t>
            </w:r>
          </w:p>
        </w:tc>
        <w:tc>
          <w:tcPr>
            <w:tcW w:w="40" w:type="dxa"/>
            <w:vAlign w:val="bottom"/>
          </w:tcPr>
          <w:p>
            <w:pPr>
              <w:spacing w:after="0"/>
              <w:rPr>
                <w:sz w:val="16"/>
                <w:szCs w:val="16"/>
                <w:color w:val="auto"/>
              </w:rPr>
            </w:pPr>
          </w:p>
        </w:tc>
      </w:tr>
      <w:tr>
        <w:trPr>
          <w:trHeight w:val="19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1,834</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1,738</w:t>
            </w: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(5.2%)</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6,360</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7,658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17"/>
                <w:szCs w:val="17"/>
                <w:color w:val="auto"/>
              </w:rPr>
            </w:pPr>
          </w:p>
        </w:tc>
      </w:tr>
      <w:tr>
        <w:trPr>
          <w:trHeight w:val="19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1,344</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1,461</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8.7%</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4,946</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5,443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7"/>
                <w:szCs w:val="17"/>
                <w:color w:val="auto"/>
              </w:rPr>
            </w:pPr>
          </w:p>
        </w:tc>
      </w:tr>
      <w:tr>
        <w:trPr>
          <w:trHeight w:val="203"/>
        </w:trPr>
        <w:tc>
          <w:tcPr>
            <w:tcW w:w="3540" w:type="dxa"/>
            <w:vAlign w:val="bottom"/>
          </w:tcPr>
          <w:p>
            <w:pPr>
              <w:ind w:left="40"/>
              <w:spacing w:after="0"/>
              <w:rPr>
                <w:sz w:val="20"/>
                <w:szCs w:val="20"/>
                <w:color w:val="auto"/>
              </w:rPr>
            </w:pPr>
            <w:r>
              <w:rPr>
                <w:rFonts w:ascii="Arial" w:cs="Arial" w:eastAsia="Arial" w:hAnsi="Arial"/>
                <w:sz w:val="14"/>
                <w:szCs w:val="14"/>
                <w:color w:val="auto"/>
              </w:rPr>
              <w:t>Headquarters, other and eliminations</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1500" w:type="dxa"/>
            <w:vAlign w:val="bottom"/>
          </w:tcPr>
          <w:p>
            <w:pPr>
              <w:jc w:val="right"/>
              <w:ind w:right="308"/>
              <w:spacing w:after="0"/>
              <w:rPr>
                <w:sz w:val="20"/>
                <w:szCs w:val="20"/>
                <w:color w:val="auto"/>
              </w:rPr>
            </w:pPr>
            <w:r>
              <w:rPr>
                <w:rFonts w:ascii="Arial" w:cs="Arial" w:eastAsia="Arial" w:hAnsi="Arial"/>
                <w:sz w:val="14"/>
                <w:szCs w:val="14"/>
                <w:color w:val="auto"/>
              </w:rPr>
              <w:t>(70)</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NM</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(324)</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(281)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r>
      <w:tr>
        <w:trPr>
          <w:trHeight w:val="218"/>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$8,451</w:t>
            </w:r>
          </w:p>
        </w:tc>
        <w:tc>
          <w:tcPr>
            <w:tcW w:w="15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$8,784</w:t>
            </w:r>
          </w:p>
        </w:tc>
        <w:tc>
          <w:tcPr>
            <w:tcW w:w="12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3.9%</w:t>
            </w:r>
          </w:p>
        </w:tc>
        <w:tc>
          <w:tcPr>
            <w:tcW w:w="10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$31,593</w:t>
            </w:r>
          </w:p>
        </w:tc>
        <w:tc>
          <w:tcPr>
            <w:tcW w:w="14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$32,997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40" w:type="dxa"/>
            <w:vAlign w:val="bottom"/>
          </w:tcPr>
          <w:p>
            <w:pPr>
              <w:spacing w:after="0"/>
              <w:rPr>
                <w:sz w:val="18"/>
                <w:szCs w:val="18"/>
                <w:color w:val="auto"/>
              </w:rPr>
            </w:pPr>
          </w:p>
        </w:tc>
      </w:tr>
      <w:tr>
        <w:trPr>
          <w:trHeight w:val="203"/>
        </w:trPr>
        <w:tc>
          <w:tcPr>
            <w:tcW w:w="3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Excluding Olympics (see Table 6)</w:t>
            </w:r>
          </w:p>
        </w:tc>
        <w:tc>
          <w:tcPr>
            <w:tcW w:w="1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$29,973</w:t>
            </w:r>
          </w:p>
        </w:tc>
        <w:tc>
          <w:tcPr>
            <w:tcW w:w="148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$32,997</w:t>
            </w:r>
          </w:p>
        </w:tc>
        <w:tc>
          <w:tcPr>
            <w:tcW w:w="8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10.1%</w:t>
            </w:r>
          </w:p>
        </w:tc>
        <w:tc>
          <w:tcPr>
            <w:tcW w:w="40" w:type="dxa"/>
            <w:vAlign w:val="bottom"/>
          </w:tcPr>
          <w:p>
            <w:pPr>
              <w:spacing w:after="0"/>
              <w:rPr>
                <w:sz w:val="17"/>
                <w:szCs w:val="17"/>
                <w:color w:val="auto"/>
              </w:rPr>
            </w:pPr>
          </w:p>
        </w:tc>
      </w:tr>
      <w:tr>
        <w:trPr>
          <w:trHeight w:val="208"/>
        </w:trPr>
        <w:tc>
          <w:tcPr>
            <w:tcW w:w="3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7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$916</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$1,000</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9.1%</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$3,709</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$4,076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17"/>
                <w:szCs w:val="17"/>
                <w:color w:val="auto"/>
              </w:rPr>
            </w:pPr>
          </w:p>
        </w:tc>
      </w:tr>
      <w:tr>
        <w:trPr>
          <w:trHeight w:val="196"/>
        </w:trPr>
        <w:tc>
          <w:tcPr>
            <w:tcW w:w="354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760" w:type="dxa"/>
            <w:vAlign w:val="bottom"/>
          </w:tcPr>
          <w:p>
            <w:pPr>
              <w:jc w:val="right"/>
              <w:ind w:right="108"/>
              <w:spacing w:after="0"/>
              <w:rPr>
                <w:sz w:val="20"/>
                <w:szCs w:val="20"/>
                <w:color w:val="auto"/>
              </w:rPr>
            </w:pPr>
            <w:r>
              <w:rPr>
                <w:rFonts w:ascii="Arial" w:cs="Arial" w:eastAsia="Arial" w:hAnsi="Arial"/>
                <w:sz w:val="14"/>
                <w:szCs w:val="14"/>
                <w:color w:val="auto"/>
              </w:rPr>
              <w:t>264</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194</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(26.3%)</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1,320</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1,253</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r>
      <w:tr>
        <w:trPr>
          <w:trHeight w:val="196"/>
        </w:trPr>
        <w:tc>
          <w:tcPr>
            <w:tcW w:w="3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121</w:t>
            </w:r>
          </w:p>
        </w:tc>
        <w:tc>
          <w:tcPr>
            <w:tcW w:w="1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230</w:t>
            </w:r>
          </w:p>
        </w:tc>
        <w:tc>
          <w:tcPr>
            <w:tcW w:w="12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89.7%</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697</w:t>
            </w:r>
          </w:p>
        </w:tc>
        <w:tc>
          <w:tcPr>
            <w:tcW w:w="14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1,277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40" w:type="dxa"/>
            <w:vAlign w:val="bottom"/>
          </w:tcPr>
          <w:p>
            <w:pPr>
              <w:spacing w:after="0"/>
              <w:rPr>
                <w:sz w:val="17"/>
                <w:szCs w:val="17"/>
                <w:color w:val="auto"/>
              </w:rPr>
            </w:pPr>
          </w:p>
        </w:tc>
      </w:tr>
      <w:tr>
        <w:trPr>
          <w:trHeight w:val="19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640</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661</w:t>
            </w: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3.2%</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2,190</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2,384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40" w:type="dxa"/>
            <w:vAlign w:val="bottom"/>
          </w:tcPr>
          <w:p>
            <w:pPr>
              <w:spacing w:after="0"/>
              <w:rPr>
                <w:sz w:val="17"/>
                <w:szCs w:val="17"/>
                <w:color w:val="auto"/>
              </w:rPr>
            </w:pPr>
          </w:p>
        </w:tc>
      </w:tr>
      <w:tr>
        <w:trPr>
          <w:trHeight w:val="203"/>
        </w:trPr>
        <w:tc>
          <w:tcPr>
            <w:tcW w:w="3540" w:type="dxa"/>
            <w:vAlign w:val="bottom"/>
          </w:tcPr>
          <w:p>
            <w:pPr>
              <w:ind w:left="40"/>
              <w:spacing w:after="0"/>
              <w:rPr>
                <w:sz w:val="20"/>
                <w:szCs w:val="20"/>
                <w:color w:val="auto"/>
              </w:rPr>
            </w:pPr>
            <w:r>
              <w:rPr>
                <w:rFonts w:ascii="Arial" w:cs="Arial" w:eastAsia="Arial" w:hAnsi="Arial"/>
                <w:sz w:val="14"/>
                <w:szCs w:val="14"/>
                <w:color w:val="auto"/>
              </w:rPr>
              <w:t>Headquarters, other and eliminations</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1500" w:type="dxa"/>
            <w:vAlign w:val="bottom"/>
          </w:tcPr>
          <w:p>
            <w:pPr>
              <w:jc w:val="right"/>
              <w:ind w:right="308"/>
              <w:spacing w:after="0"/>
              <w:rPr>
                <w:sz w:val="20"/>
                <w:szCs w:val="20"/>
                <w:color w:val="auto"/>
              </w:rPr>
            </w:pPr>
            <w:r>
              <w:rPr>
                <w:rFonts w:ascii="Arial" w:cs="Arial" w:eastAsia="Arial" w:hAnsi="Arial"/>
                <w:sz w:val="14"/>
                <w:szCs w:val="14"/>
                <w:color w:val="auto"/>
              </w:rPr>
              <w:t>(202)</w:t>
            </w: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NM</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(689)</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(745)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r>
      <w:tr>
        <w:trPr>
          <w:trHeight w:val="218"/>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$1,770</w:t>
            </w:r>
          </w:p>
        </w:tc>
        <w:tc>
          <w:tcPr>
            <w:tcW w:w="15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$1,883</w:t>
            </w:r>
          </w:p>
        </w:tc>
        <w:tc>
          <w:tcPr>
            <w:tcW w:w="12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6.4%</w:t>
            </w:r>
          </w:p>
        </w:tc>
        <w:tc>
          <w:tcPr>
            <w:tcW w:w="10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$7,227</w:t>
            </w:r>
          </w:p>
        </w:tc>
        <w:tc>
          <w:tcPr>
            <w:tcW w:w="14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$8,245</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40" w:type="dxa"/>
            <w:vAlign w:val="bottom"/>
          </w:tcPr>
          <w:p>
            <w:pPr>
              <w:spacing w:after="0"/>
              <w:rPr>
                <w:sz w:val="18"/>
                <w:szCs w:val="18"/>
                <w:color w:val="auto"/>
              </w:rPr>
            </w:pPr>
          </w:p>
        </w:tc>
      </w:tr>
      <w:tr>
        <w:trPr>
          <w:trHeight w:val="203"/>
        </w:trPr>
        <w:tc>
          <w:tcPr>
            <w:tcW w:w="354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65"/>
        </w:trPr>
        <w:tc>
          <w:tcPr>
            <w:tcW w:w="3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jc w:val="right"/>
              <w:ind w:right="968"/>
              <w:spacing w:after="0"/>
              <w:rPr>
                <w:sz w:val="20"/>
                <w:szCs w:val="20"/>
                <w:color w:val="auto"/>
              </w:rPr>
            </w:pPr>
            <w:r>
              <w:rPr>
                <w:rFonts w:ascii="Arial" w:cs="Arial" w:eastAsia="Arial" w:hAnsi="Arial"/>
                <w:sz w:val="14"/>
                <w:szCs w:val="14"/>
                <w:color w:val="auto"/>
              </w:rPr>
              <w:t>4</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35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3.9% to $8.8 billion in the fourth quarter of 2017.</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6.4% to $1.9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increases at Filmed Entertainment, Cable Networks and Theme Parks, partially offset by a decline at Broadcast Television.</w:t>
      </w:r>
    </w:p>
    <w:p>
      <w:pPr>
        <w:spacing w:after="0" w:line="162"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twelve months ended December 31, 2017, NBCUniversal revenue increased 4.4% to $33.0 billion compared to 2016. Excluding $1.6 billion of revenue generated by the broadcast of the Rio Olympics in the third quarter of 2016, revenue increased 10.1% (see Table 6). Adjusted EBITDA increased 14.1% to $8.2 billion, reflecting increases at Filmed Entertainment, Cable Networks and Theme Parks, partially offset by a decline at Broadcast Television.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Cable Networks revenue increased 7.5% to $2.7 billion in the fourth quarter of 2017, reflecting higher distribution, content licensing and other and advertising revenue. Distribution revenue increased 6.7%, due to contractual rate increases and contract renewals, partially offset by a decline in subscribers at our cable networks. Content licensing and other revenue increased 34.5%, due to the timing of content provided under</w:t>
      </w:r>
    </w:p>
    <w:p>
      <w:pPr>
        <w:sectPr>
          <w:pgSz w:w="11900" w:h="16838" w:orient="portrait"/>
          <w:cols w:equalWidth="0" w:num="1">
            <w:col w:w="11460"/>
          </w:cols>
          <w:pgMar w:left="240" w:top="140" w:right="199" w:bottom="0"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color w:val="auto"/>
        </w:rPr>
        <w:t>licensing agreements. Advertising revenue increased 2.3%, reflecting higher rates, partially offset by audience ratings declines. Adjusted EBITDA increased 9.1% to $1.0 billion in the fourth quarter of 2017, reflecting higher revenue, partially offset by an increase in operating costs.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twelve months ended December 31, 2017, revenue from the Cable Networks segment increased 1.6% to $10.6 billion compared to 2016, reflecting higher content licensing and other and distribution revenue, partially offset by a decline in advertising revenue. Excluding $432 million of revenue generated by the broadcast of the Rio Olympics in the third quarter of 2016, Cable Networks revenue increased 6.0% (see Table 6). Adjusted EBITDA increased 9.9% to $4.1 billion compared to 2016, reflecting a decrease in programming and production costs due to the broadcast of the Rio Olympics in the third quarter of 2016, as well as higher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Broadcast Television revenue increased 4.1% to $3.0 billion in the fourth quarter of 2017, reflecting increased distribution and other and content licensing revenue, partially offset by lower advertising revenue. Distribution and other revenue increased 44.7%, due to higher retransmission consent fees. Content licensing revenue increased 19.0%, reflecting the timing of content provided under licensing agreements. Advertising revenue decreased 6.5%, due to audience ratings declines, partially offset by higher rates. Adjusted EBITDA decreased 26.3% to $194 million in the fourth quarter of 2017, reflecting increased programming and production costs, driven by increased sports costs, partially offset by higher revenue.</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twelve months ended December 31, 2017, revenue from the Broadcast Television segment decreased 5.9% to $9.5 billion compared to 2016, reflecting a decline in advertising revenue, partially offset by higher distribution and other and content licensing revenue. Excluding $1.2 billion of revenue generated by the broadcast of the Rio Olympics in the third quarter of 2016, Broadcast Television revenue increased 6.6% (see Table 6). Adjusted EBITDA decreased 5.0% to $1.3 billion compared to 2016, reflecting a decrease in revenue, partially offset by a decrease in programming and production costs, due to the broadcast of the Rio Olympics in the third quarter of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decreased 5.2% to $ 1.7 billion in the fourth quarter of 2017, reflecting lower theatrical, home entertainment, and other revenue, partially offset by increased content licensing revenue. Theatrical revenue decreased 42.1%, primarily due to a higher number of releases in last year’s fourth quarter, including </w:t>
      </w:r>
      <w:r>
        <w:rPr>
          <w:rFonts w:ascii="Arial" w:cs="Arial" w:eastAsia="Arial" w:hAnsi="Arial"/>
          <w:sz w:val="18"/>
          <w:szCs w:val="18"/>
          <w:i w:val="1"/>
          <w:iCs w:val="1"/>
          <w:color w:val="auto"/>
        </w:rPr>
        <w:t>Sing</w:t>
      </w:r>
      <w:r>
        <w:rPr>
          <w:rFonts w:ascii="Arial" w:cs="Arial" w:eastAsia="Arial" w:hAnsi="Arial"/>
          <w:sz w:val="18"/>
          <w:szCs w:val="18"/>
          <w:color w:val="auto"/>
        </w:rPr>
        <w:t xml:space="preserve">, partially offset by the performance of this year’s fourth quarter releases, including </w:t>
      </w:r>
      <w:r>
        <w:rPr>
          <w:rFonts w:ascii="Arial" w:cs="Arial" w:eastAsia="Arial" w:hAnsi="Arial"/>
          <w:sz w:val="18"/>
          <w:szCs w:val="18"/>
          <w:i w:val="1"/>
          <w:iCs w:val="1"/>
          <w:color w:val="auto"/>
        </w:rPr>
        <w:t>Pitch</w:t>
      </w:r>
      <w:r>
        <w:rPr>
          <w:rFonts w:ascii="Arial" w:cs="Arial" w:eastAsia="Arial" w:hAnsi="Arial"/>
          <w:sz w:val="18"/>
          <w:szCs w:val="18"/>
          <w:color w:val="auto"/>
        </w:rPr>
        <w:t xml:space="preserve"> </w:t>
      </w:r>
      <w:r>
        <w:rPr>
          <w:rFonts w:ascii="Arial" w:cs="Arial" w:eastAsia="Arial" w:hAnsi="Arial"/>
          <w:sz w:val="18"/>
          <w:szCs w:val="18"/>
          <w:i w:val="1"/>
          <w:iCs w:val="1"/>
          <w:color w:val="auto"/>
        </w:rPr>
        <w:t>Perfect 3</w:t>
      </w:r>
      <w:r>
        <w:rPr>
          <w:rFonts w:ascii="Arial" w:cs="Arial" w:eastAsia="Arial" w:hAnsi="Arial"/>
          <w:sz w:val="18"/>
          <w:szCs w:val="18"/>
          <w:color w:val="auto"/>
        </w:rPr>
        <w:t>. Home Entertainment revenue decreased 19.9%, reflecting the success of several releases in the prior year period, including</w:t>
      </w:r>
      <w:r>
        <w:rPr>
          <w:rFonts w:ascii="Arial" w:cs="Arial" w:eastAsia="Arial" w:hAnsi="Arial"/>
          <w:sz w:val="18"/>
          <w:szCs w:val="18"/>
          <w:i w:val="1"/>
          <w:iCs w:val="1"/>
          <w:color w:val="auto"/>
        </w:rPr>
        <w:t xml:space="preserve"> The Secret Life of Pets </w:t>
      </w:r>
      <w:r>
        <w:rPr>
          <w:rFonts w:ascii="Arial" w:cs="Arial" w:eastAsia="Arial" w:hAnsi="Arial"/>
          <w:sz w:val="18"/>
          <w:szCs w:val="18"/>
          <w:color w:val="auto"/>
        </w:rPr>
        <w:t>and</w:t>
      </w:r>
      <w:r>
        <w:rPr>
          <w:rFonts w:ascii="Arial" w:cs="Arial" w:eastAsia="Arial" w:hAnsi="Arial"/>
          <w:sz w:val="18"/>
          <w:szCs w:val="18"/>
          <w:i w:val="1"/>
          <w:iCs w:val="1"/>
          <w:color w:val="auto"/>
        </w:rPr>
        <w:t xml:space="preserve"> Jason Bourne</w:t>
      </w:r>
      <w:r>
        <w:rPr>
          <w:rFonts w:ascii="Arial" w:cs="Arial" w:eastAsia="Arial" w:hAnsi="Arial"/>
          <w:sz w:val="18"/>
          <w:szCs w:val="18"/>
          <w:color w:val="auto"/>
        </w:rPr>
        <w:t>, partially offset by</w:t>
      </w:r>
      <w:r>
        <w:rPr>
          <w:rFonts w:ascii="Arial" w:cs="Arial" w:eastAsia="Arial" w:hAnsi="Arial"/>
          <w:sz w:val="18"/>
          <w:szCs w:val="18"/>
          <w:i w:val="1"/>
          <w:iCs w:val="1"/>
          <w:color w:val="auto"/>
        </w:rPr>
        <w:t xml:space="preserve"> Despicable Me 3 </w:t>
      </w:r>
      <w:r>
        <w:rPr>
          <w:rFonts w:ascii="Arial" w:cs="Arial" w:eastAsia="Arial" w:hAnsi="Arial"/>
          <w:sz w:val="18"/>
          <w:szCs w:val="18"/>
          <w:color w:val="auto"/>
        </w:rPr>
        <w:t>in this year’s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licensing revenue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21.2%, driven by the timing of when content was made available under licensing agreements. Adjusted EBITDA increased by 89.7% to $230 million in the fourth quarter of 2017, reflecting lower programming and production costs, partially offset by the decline in revenue.</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twelve months ended December 31, 2017, revenue from the Filmed Entertainment segment increased 20.4% to $7.7 billion compared to 2016, reflecting higher theatrical, content licensing, other and home entertainment revenue. Adjusted EBITDA increased 83.3% to $1.3 billion compared to 2016, reflecting higher revenue, partially offset by increased programming and production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Theme Parks revenue increased 8.7% to $1.5 billion in the fourth quarter of 2017 due to higher per capita spending, reflecting the continued success of the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attraction in Hollywood, which opened in April 2016, and the openings of </w:t>
      </w:r>
      <w:r>
        <w:rPr>
          <w:rFonts w:ascii="Arial" w:cs="Arial" w:eastAsia="Arial" w:hAnsi="Arial"/>
          <w:sz w:val="18"/>
          <w:szCs w:val="18"/>
          <w:i w:val="1"/>
          <w:iCs w:val="1"/>
          <w:color w:val="auto"/>
        </w:rPr>
        <w:t>Minion Park</w:t>
      </w:r>
      <w:r>
        <w:rPr>
          <w:rFonts w:ascii="Arial" w:cs="Arial" w:eastAsia="Arial" w:hAnsi="Arial"/>
          <w:sz w:val="18"/>
          <w:szCs w:val="18"/>
          <w:color w:val="auto"/>
        </w:rPr>
        <w:t xml:space="preserve">™ in Japan in April 2017 and </w:t>
      </w:r>
      <w:r>
        <w:rPr>
          <w:rFonts w:ascii="Arial" w:cs="Arial" w:eastAsia="Arial" w:hAnsi="Arial"/>
          <w:sz w:val="18"/>
          <w:szCs w:val="18"/>
          <w:i w:val="1"/>
          <w:iCs w:val="1"/>
          <w:color w:val="auto"/>
        </w:rPr>
        <w:t>Volcano Bay</w:t>
      </w:r>
      <w:r>
        <w:rPr>
          <w:rFonts w:ascii="Arial" w:cs="Arial" w:eastAsia="Arial" w:hAnsi="Arial"/>
          <w:sz w:val="18"/>
          <w:szCs w:val="18"/>
          <w:color w:val="auto"/>
        </w:rPr>
        <w:t>™ in Orlando in May 2017. Adjusted EBITDA increased 3.2% to $661 million in the fourth quarter of 2017, reflecting higher revenue, partially offset by an increase in operating expenses.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twelve months ended December 31, 2017, revenue from the Theme Parks segment increased 10.0% to $5.4 billion compared to 2016, reflecting higher per capita spending and higher attendance. Adjusted EBITDA increased 8.9% to $2.4 billion compared to 2016, reflecting higher revenue, partially offset by an increase in operating expenses, including costs to support new attractions.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2017, NBCUniversal Headquarters, Other and Eliminations Adjusted EBITDA loss was $202 million, compared to a loss of $171 million in the fourth quarter of 2016.</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twelve months ended December 31, 2017, NBCUniversal Headquarters, Other and Eliminations Adjusted EBITDA loss was $745 million compared to a loss of $689 million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Comcast Spectacor and our new wireless initiative, Xfinity Mobile, as well as eliminations among Comcast’s businesses. For the quarter ended December 31, 2017, the Corporate, Other and Eliminations Adjusted EBITDA loss was $538 million, reflecting $ 171 million of expense related to a special employee bonus, as well as increased costs associated with scaling Xfinity Mobile, compared to a loss of $196 million in the fourth quarter of 2016.</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twelve months ended December 31, 2017, the Corporate, Other and Eliminations Adjusted EBITDA loss was $1.4 billion, reflecting increased costs associated with scaling Xfinity Mobile, as well as $171 million of expense related to a special employee bonus in the fourth quarter of 2017, compared to a loss of $919 million in 2016, which included eliminations associated with the 2016 Rio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120650</wp:posOffset>
            </wp:positionV>
            <wp:extent cx="72034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Notes:</w:t>
      </w:r>
    </w:p>
    <w:p>
      <w:pPr>
        <w:spacing w:after="0" w:line="58" w:lineRule="exact"/>
        <w:rPr>
          <w:sz w:val="20"/>
          <w:szCs w:val="20"/>
          <w:color w:val="auto"/>
        </w:rPr>
      </w:pPr>
    </w:p>
    <w:p>
      <w:pPr>
        <w:jc w:val="both"/>
        <w:ind w:left="260" w:hanging="252"/>
        <w:spacing w:after="0" w:line="23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benefit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See Table 4 for reconciliation of non-GAAP financial measures.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 and reflect the two-for-one stock split on February 17,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  We define Free Cash Flow as Net Cash Provided by Operating Activities (as stated in our Consolidated Statement of Cash Flows) reduced</w:t>
      </w:r>
    </w:p>
    <w:p>
      <w:pPr>
        <w:sectPr>
          <w:pgSz w:w="11900" w:h="16838" w:orient="portrait"/>
          <w:cols w:equalWidth="0" w:num="1">
            <w:col w:w="11420"/>
          </w:cols>
          <w:pgMar w:left="240" w:top="140" w:right="239" w:bottom="0" w:gutter="0" w:footer="0" w:header="0"/>
        </w:sectPr>
      </w:pPr>
    </w:p>
    <w:bookmarkStart w:id="6" w:name="page7"/>
    <w:bookmarkEnd w:id="6"/>
    <w:p>
      <w:pPr>
        <w:jc w:val="both"/>
        <w:ind w:left="260"/>
        <w:spacing w:after="0" w:line="238" w:lineRule="auto"/>
        <w:rPr>
          <w:sz w:val="20"/>
          <w:szCs w:val="20"/>
          <w:color w:val="auto"/>
        </w:rPr>
      </w:pPr>
      <w:r>
        <w:rPr>
          <w:rFonts w:ascii="Arial" w:cs="Arial" w:eastAsia="Arial" w:hAnsi="Arial"/>
          <w:sz w:val="18"/>
          <w:szCs w:val="18"/>
          <w:color w:val="auto"/>
        </w:rPr>
        <w:t>by capital expenditures, cash paid for intangible assets, principal payments on capital leases and cash distributions to noncontrolling interests; and adjusted for any payments and receipts related to certain nonoperating items, net of estimated tax effects. The definition of Free Cash Flow excludes any impact from Economic Stimulus packages. These amounts have been excluded from Free Cash Flow to provide an appropriate comparison. See Table 5 for reconciliation of non-GAAP financial measures.</w:t>
      </w:r>
    </w:p>
    <w:p>
      <w:pPr>
        <w:spacing w:after="0" w:line="204" w:lineRule="exact"/>
        <w:rPr>
          <w:sz w:val="20"/>
          <w:szCs w:val="20"/>
          <w:color w:val="auto"/>
        </w:rPr>
      </w:pPr>
    </w:p>
    <w:p>
      <w:pPr>
        <w:ind w:left="260" w:right="20" w:hanging="252"/>
        <w:spacing w:after="0" w:line="246"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be consistent with our current management reporting presentation, certain 2016 operating results were reclassified within the Cable Communications segment.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24, 2018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4695509. A replay of the call will be available starting at 12:00 p.m. ET on January 24, 2018, on the Investor Relations website or by telephone. To access the telephone replay, which will be available until Wednesday, January 31, 2018 at midnight ET, please dial (855) 859-2056 and enter the conference ID number 4695509.</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0000FF"/>
        </w:rPr>
        <w:t>www.corporate.comcast.com/comcast-voices</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w:t>
      </w:r>
      <w:r>
        <w:rPr>
          <w:rFonts w:ascii="Arial" w:cs="Arial" w:eastAsia="Arial" w:hAnsi="Arial"/>
          <w:sz w:val="16"/>
          <w:szCs w:val="16"/>
          <w:color w:val="0000FF"/>
        </w:rPr>
        <w:t xml:space="preserve"> </w:t>
      </w:r>
      <w:r>
        <w:rPr>
          <w:rFonts w:ascii="Arial" w:cs="Arial" w:eastAsia="Arial" w:hAnsi="Arial"/>
          <w:sz w:val="16"/>
          <w:szCs w:val="16"/>
          <w:color w:val="000000"/>
        </w:rPr>
        <w:t>alerts.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520" w:type="dxa"/>
            <w:vAlign w:val="bottom"/>
          </w:tcPr>
          <w:p>
            <w:pPr>
              <w:jc w:val="right"/>
              <w:ind w:right="2099"/>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6"/>
                <w:szCs w:val="16"/>
                <w:color w:val="auto"/>
              </w:rPr>
            </w:pPr>
          </w:p>
        </w:tc>
      </w:tr>
      <w:tr>
        <w:trPr>
          <w:trHeight w:val="386"/>
        </w:trPr>
        <w:tc>
          <w:tcPr>
            <w:tcW w:w="186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52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1460" w:type="dxa"/>
            <w:vAlign w:val="bottom"/>
          </w:tcPr>
          <w:p>
            <w:pPr>
              <w:spacing w:after="0"/>
              <w:rPr>
                <w:sz w:val="24"/>
                <w:szCs w:val="24"/>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286-7972</w:t>
            </w:r>
          </w:p>
        </w:tc>
        <w:tc>
          <w:tcPr>
            <w:tcW w:w="352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146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86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286-4794</w:t>
            </w:r>
          </w:p>
        </w:tc>
        <w:tc>
          <w:tcPr>
            <w:tcW w:w="352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146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5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8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$21,025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$21,915</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$80,403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$84,526</w:t>
            </w:r>
          </w:p>
        </w:tc>
        <w:tc>
          <w:tcPr>
            <w:tcW w:w="0" w:type="dxa"/>
            <w:vAlign w:val="bottom"/>
          </w:tcPr>
          <w:p>
            <w:pPr>
              <w:spacing w:after="0"/>
              <w:rPr>
                <w:sz w:val="1"/>
                <w:szCs w:val="1"/>
                <w:color w:val="auto"/>
              </w:rPr>
            </w:pPr>
          </w:p>
        </w:tc>
      </w:tr>
      <w:tr>
        <w:trPr>
          <w:trHeight w:val="361"/>
        </w:trPr>
        <w:tc>
          <w:tcPr>
            <w:tcW w:w="5900" w:type="dxa"/>
            <w:vAlign w:val="bottom"/>
          </w:tcPr>
          <w:p>
            <w:pPr>
              <w:ind w:left="560"/>
              <w:spacing w:after="0"/>
              <w:rPr>
                <w:sz w:val="20"/>
                <w:szCs w:val="20"/>
                <w:color w:val="auto"/>
              </w:rPr>
            </w:pPr>
            <w:r>
              <w:rPr>
                <w:rFonts w:ascii="Arial" w:cs="Arial" w:eastAsia="Arial" w:hAnsi="Arial"/>
                <w:sz w:val="16"/>
                <w:szCs w:val="16"/>
                <w:color w:val="auto"/>
              </w:rPr>
              <w:t>Programming and production</w:t>
            </w:r>
          </w:p>
        </w:tc>
        <w:tc>
          <w:tcPr>
            <w:tcW w:w="1140" w:type="dxa"/>
            <w:vAlign w:val="bottom"/>
          </w:tcPr>
          <w:p>
            <w:pPr>
              <w:jc w:val="right"/>
              <w:spacing w:after="0"/>
              <w:rPr>
                <w:sz w:val="20"/>
                <w:szCs w:val="20"/>
                <w:color w:val="auto"/>
              </w:rPr>
            </w:pPr>
            <w:r>
              <w:rPr>
                <w:rFonts w:ascii="Arial" w:cs="Arial" w:eastAsia="Arial" w:hAnsi="Arial"/>
                <w:sz w:val="16"/>
                <w:szCs w:val="16"/>
                <w:color w:val="auto"/>
              </w:rPr>
              <w:t>6,537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6,892</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24,463</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25,384</w:t>
            </w:r>
          </w:p>
        </w:tc>
        <w:tc>
          <w:tcPr>
            <w:tcW w:w="0" w:type="dxa"/>
            <w:vAlign w:val="bottom"/>
          </w:tcPr>
          <w:p>
            <w:pPr>
              <w:spacing w:after="0"/>
              <w:rPr>
                <w:sz w:val="1"/>
                <w:szCs w:val="1"/>
                <w:color w:val="auto"/>
              </w:rPr>
            </w:pPr>
          </w:p>
        </w:tc>
      </w:tr>
      <w:tr>
        <w:trPr>
          <w:trHeight w:val="189"/>
        </w:trPr>
        <w:tc>
          <w:tcPr>
            <w:tcW w:w="5900" w:type="dxa"/>
            <w:vAlign w:val="bottom"/>
          </w:tcPr>
          <w:p>
            <w:pPr>
              <w:ind w:left="560"/>
              <w:spacing w:after="0"/>
              <w:rPr>
                <w:sz w:val="20"/>
                <w:szCs w:val="20"/>
                <w:color w:val="auto"/>
              </w:rPr>
            </w:pPr>
            <w:r>
              <w:rPr>
                <w:rFonts w:ascii="Arial" w:cs="Arial" w:eastAsia="Arial" w:hAnsi="Arial"/>
                <w:sz w:val="16"/>
                <w:szCs w:val="16"/>
                <w:color w:val="auto"/>
              </w:rPr>
              <w:t>Other operating and administrative</w:t>
            </w:r>
          </w:p>
        </w:tc>
        <w:tc>
          <w:tcPr>
            <w:tcW w:w="1140" w:type="dxa"/>
            <w:vAlign w:val="bottom"/>
          </w:tcPr>
          <w:p>
            <w:pPr>
              <w:jc w:val="right"/>
              <w:spacing w:after="0"/>
              <w:rPr>
                <w:sz w:val="20"/>
                <w:szCs w:val="20"/>
                <w:color w:val="auto"/>
              </w:rPr>
            </w:pPr>
            <w:r>
              <w:rPr>
                <w:rFonts w:ascii="Arial" w:cs="Arial" w:eastAsia="Arial" w:hAnsi="Arial"/>
                <w:sz w:val="16"/>
                <w:szCs w:val="16"/>
                <w:color w:val="auto"/>
              </w:rPr>
              <w:t>6,131</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6,703</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23,416</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25,013</w:t>
            </w:r>
          </w:p>
        </w:tc>
        <w:tc>
          <w:tcPr>
            <w:tcW w:w="0" w:type="dxa"/>
            <w:vAlign w:val="bottom"/>
          </w:tcPr>
          <w:p>
            <w:pPr>
              <w:spacing w:after="0"/>
              <w:rPr>
                <w:sz w:val="1"/>
                <w:szCs w:val="1"/>
                <w:color w:val="auto"/>
              </w:rPr>
            </w:pPr>
          </w:p>
        </w:tc>
      </w:tr>
      <w:tr>
        <w:trPr>
          <w:trHeight w:val="189"/>
        </w:trPr>
        <w:tc>
          <w:tcPr>
            <w:tcW w:w="5900" w:type="dxa"/>
            <w:vAlign w:val="bottom"/>
          </w:tcPr>
          <w:p>
            <w:pPr>
              <w:ind w:left="560"/>
              <w:spacing w:after="0"/>
              <w:rPr>
                <w:sz w:val="20"/>
                <w:szCs w:val="20"/>
                <w:color w:val="auto"/>
              </w:rPr>
            </w:pPr>
            <w:r>
              <w:rPr>
                <w:rFonts w:ascii="Arial" w:cs="Arial" w:eastAsia="Arial" w:hAnsi="Arial"/>
                <w:sz w:val="16"/>
                <w:szCs w:val="16"/>
                <w:color w:val="auto"/>
              </w:rPr>
              <w:t>Advertising, marketing and promotion</w:t>
            </w:r>
          </w:p>
        </w:tc>
        <w:tc>
          <w:tcPr>
            <w:tcW w:w="1140" w:type="dxa"/>
            <w:vAlign w:val="bottom"/>
          </w:tcPr>
          <w:p>
            <w:pPr>
              <w:jc w:val="right"/>
              <w:spacing w:after="0"/>
              <w:rPr>
                <w:sz w:val="20"/>
                <w:szCs w:val="20"/>
                <w:color w:val="auto"/>
              </w:rPr>
            </w:pPr>
            <w:r>
              <w:rPr>
                <w:rFonts w:ascii="Arial" w:cs="Arial" w:eastAsia="Arial" w:hAnsi="Arial"/>
                <w:sz w:val="16"/>
                <w:szCs w:val="16"/>
                <w:color w:val="auto"/>
              </w:rPr>
              <w:t>1,597</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1,569</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6,107</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6,317</w:t>
            </w:r>
          </w:p>
        </w:tc>
        <w:tc>
          <w:tcPr>
            <w:tcW w:w="0" w:type="dxa"/>
            <w:vAlign w:val="bottom"/>
          </w:tcPr>
          <w:p>
            <w:pPr>
              <w:spacing w:after="0"/>
              <w:rPr>
                <w:sz w:val="1"/>
                <w:szCs w:val="1"/>
                <w:color w:val="auto"/>
              </w:rPr>
            </w:pPr>
          </w:p>
        </w:tc>
      </w:tr>
      <w:tr>
        <w:trPr>
          <w:trHeight w:val="207"/>
        </w:trPr>
        <w:tc>
          <w:tcPr>
            <w:tcW w:w="5900" w:type="dxa"/>
            <w:vAlign w:val="bottom"/>
          </w:tcPr>
          <w:p>
            <w:pPr>
              <w:ind w:left="560"/>
              <w:spacing w:after="0" w:line="208" w:lineRule="exact"/>
              <w:rPr>
                <w:sz w:val="20"/>
                <w:szCs w:val="20"/>
                <w:color w:val="auto"/>
              </w:rPr>
            </w:pPr>
            <w:r>
              <w:rPr>
                <w:rFonts w:ascii="Arial" w:cs="Arial" w:eastAsia="Arial" w:hAnsi="Arial"/>
                <w:sz w:val="16"/>
                <w:szCs w:val="16"/>
                <w:color w:val="auto"/>
              </w:rPr>
              <w:t>Adjustments</w:t>
            </w:r>
            <w:r>
              <w:rPr>
                <w:rFonts w:ascii="Arial" w:cs="Arial" w:eastAsia="Arial" w:hAnsi="Arial"/>
                <w:sz w:val="23"/>
                <w:szCs w:val="23"/>
                <w:color w:val="auto"/>
                <w:vertAlign w:val="superscript"/>
              </w:rPr>
              <w:t>(1)</w:t>
            </w:r>
          </w:p>
        </w:tc>
        <w:tc>
          <w:tcPr>
            <w:tcW w:w="1800" w:type="dxa"/>
            <w:vAlign w:val="bottom"/>
            <w:gridSpan w:val="3"/>
          </w:tcPr>
          <w:p>
            <w:pPr>
              <w:jc w:val="right"/>
              <w:ind w:right="7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14,265</w:t>
            </w:r>
          </w:p>
        </w:tc>
        <w:tc>
          <w:tcPr>
            <w:tcW w:w="2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15,164</w:t>
            </w:r>
          </w:p>
        </w:tc>
        <w:tc>
          <w:tcPr>
            <w:tcW w:w="30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53,986</w:t>
            </w:r>
          </w:p>
        </w:tc>
        <w:tc>
          <w:tcPr>
            <w:tcW w:w="3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56,464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64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3"/>
                <w:szCs w:val="23"/>
                <w:b w:val="1"/>
                <w:bCs w:val="1"/>
                <w:color w:val="auto"/>
                <w:vertAlign w:val="superscript"/>
              </w:rPr>
              <w:t>(1)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6,760</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6,751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26,417</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28,062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40" w:type="dxa"/>
            <w:vAlign w:val="bottom"/>
          </w:tcPr>
          <w:p>
            <w:pPr>
              <w:ind w:left="560"/>
              <w:spacing w:after="0"/>
              <w:rPr>
                <w:sz w:val="20"/>
                <w:szCs w:val="20"/>
                <w:color w:val="auto"/>
              </w:rPr>
            </w:pPr>
            <w:r>
              <w:rPr>
                <w:rFonts w:ascii="Arial" w:cs="Arial" w:eastAsia="Arial" w:hAnsi="Arial"/>
                <w:sz w:val="16"/>
                <w:szCs w:val="16"/>
                <w:color w:val="auto"/>
              </w:rPr>
              <w:t>Adjustments</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6"/>
                <w:szCs w:val="16"/>
                <w:color w:val="auto"/>
              </w:rPr>
              <w:t>Depreciation expense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1,946</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2,038</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7,464</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7,914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6"/>
                <w:szCs w:val="16"/>
                <w:color w:val="auto"/>
              </w:rPr>
              <w:t>Amortization expense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606</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2,094</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2,353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560"/>
              <w:spacing w:after="0"/>
              <w:rPr>
                <w:sz w:val="20"/>
                <w:szCs w:val="20"/>
                <w:color w:val="auto"/>
              </w:rPr>
            </w:pPr>
            <w:r>
              <w:rPr>
                <w:rFonts w:ascii="Arial" w:cs="Arial" w:eastAsia="Arial" w:hAnsi="Arial"/>
                <w:sz w:val="16"/>
                <w:szCs w:val="16"/>
                <w:color w:val="auto"/>
              </w:rPr>
              <w:t>Other operating gains</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2,496</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2,644</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9,558</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10,075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40" w:type="dxa"/>
            <w:vAlign w:val="bottom"/>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4,264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4,107</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16,859</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56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(3,086)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40" w:type="dxa"/>
            <w:vAlign w:val="bottom"/>
          </w:tcPr>
          <w:p>
            <w:pPr>
              <w:ind w:left="540"/>
              <w:spacing w:after="0" w:line="169" w:lineRule="exact"/>
              <w:rPr>
                <w:sz w:val="20"/>
                <w:szCs w:val="20"/>
                <w:color w:val="auto"/>
              </w:rPr>
            </w:pPr>
            <w:r>
              <w:rPr>
                <w:rFonts w:ascii="Arial" w:cs="Arial" w:eastAsia="Arial" w:hAnsi="Arial"/>
                <w:sz w:val="16"/>
                <w:szCs w:val="16"/>
                <w:color w:val="auto"/>
              </w:rPr>
              <w:t>Interest expense</w:t>
            </w:r>
          </w:p>
        </w:tc>
        <w:tc>
          <w:tcPr>
            <w:tcW w:w="14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(756)</w:t>
            </w: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(2,942)</w:t>
            </w: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540"/>
              <w:spacing w:after="0"/>
              <w:rPr>
                <w:sz w:val="20"/>
                <w:szCs w:val="20"/>
                <w:color w:val="auto"/>
              </w:rPr>
            </w:pPr>
            <w:r>
              <w:rPr>
                <w:rFonts w:ascii="Arial" w:cs="Arial" w:eastAsia="Arial" w:hAnsi="Arial"/>
                <w:sz w:val="16"/>
                <w:szCs w:val="16"/>
                <w:color w:val="auto"/>
              </w:rPr>
              <w:t>Investment income (loss), net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540"/>
              <w:spacing w:after="0"/>
              <w:rPr>
                <w:sz w:val="20"/>
                <w:szCs w:val="20"/>
                <w:color w:val="auto"/>
              </w:rPr>
            </w:pPr>
            <w:r>
              <w:rPr>
                <w:rFonts w:ascii="Arial" w:cs="Arial" w:eastAsia="Arial" w:hAnsi="Arial"/>
                <w:sz w:val="16"/>
                <w:szCs w:val="16"/>
                <w:color w:val="auto"/>
              </w:rPr>
              <w:t>Equity in net income (losses) of investees, net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5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(528)</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(685)</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(2,506)</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(2,665)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56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3,736</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3,422</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14,353</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15,322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6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2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11,613</w:t>
            </w:r>
          </w:p>
        </w:tc>
        <w:tc>
          <w:tcPr>
            <w:tcW w:w="3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w:t>
            </w:r>
          </w:p>
        </w:tc>
        <w:tc>
          <w:tcPr>
            <w:tcW w:w="3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6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2,417</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15,035</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9,045</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22,900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and redeemable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40" w:type="dxa"/>
            <w:vAlign w:val="bottom"/>
          </w:tcPr>
          <w:p>
            <w:pPr>
              <w:ind w:left="180"/>
              <w:spacing w:after="0"/>
              <w:rPr>
                <w:sz w:val="20"/>
                <w:szCs w:val="20"/>
                <w:color w:val="auto"/>
              </w:rPr>
            </w:pPr>
            <w:r>
              <w:rPr>
                <w:rFonts w:ascii="Arial" w:cs="Arial" w:eastAsia="Arial" w:hAnsi="Arial"/>
                <w:sz w:val="16"/>
                <w:szCs w:val="16"/>
                <w:color w:val="auto"/>
              </w:rPr>
              <w:t>subsidiary preferred stock</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(121)</w:t>
            </w: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w:t>
            </w: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40" w:type="dxa"/>
            <w:vAlign w:val="bottom"/>
            <w:vMerge w:val="continue"/>
          </w:tcPr>
          <w:p>
            <w:pPr>
              <w:spacing w:after="0"/>
              <w:rPr>
                <w:sz w:val="15"/>
                <w:szCs w:val="15"/>
                <w:color w:val="auto"/>
              </w:rPr>
            </w:pPr>
          </w:p>
        </w:tc>
        <w:tc>
          <w:tcPr>
            <w:tcW w:w="14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$2,296</w:t>
            </w:r>
          </w:p>
        </w:tc>
        <w:tc>
          <w:tcPr>
            <w:tcW w:w="2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$14,985</w:t>
            </w:r>
          </w:p>
        </w:tc>
        <w:tc>
          <w:tcPr>
            <w:tcW w:w="3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$8,695</w:t>
            </w:r>
          </w:p>
        </w:tc>
        <w:tc>
          <w:tcPr>
            <w:tcW w:w="3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$22,714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5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40" w:type="dxa"/>
            <w:vAlign w:val="bottom"/>
          </w:tcPr>
          <w:p>
            <w:pPr>
              <w:ind w:left="180"/>
              <w:spacing w:after="0"/>
              <w:rPr>
                <w:sz w:val="20"/>
                <w:szCs w:val="20"/>
                <w:color w:val="auto"/>
              </w:rPr>
            </w:pPr>
            <w:r>
              <w:rPr>
                <w:rFonts w:ascii="Arial" w:cs="Arial" w:eastAsia="Arial" w:hAnsi="Arial"/>
                <w:sz w:val="16"/>
                <w:szCs w:val="16"/>
                <w:b w:val="1"/>
                <w:bCs w:val="1"/>
                <w:color w:val="auto"/>
              </w:rPr>
              <w:t>shareholders</w:t>
            </w: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28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3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40" w:type="dxa"/>
            <w:vAlign w:val="bottom"/>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$0.1375</w:t>
            </w:r>
          </w:p>
        </w:tc>
        <w:tc>
          <w:tcPr>
            <w:tcW w:w="2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$0.1575</w:t>
            </w:r>
          </w:p>
        </w:tc>
        <w:tc>
          <w:tcPr>
            <w:tcW w:w="3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3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4,820</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4,729</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4,875</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4,786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3"/>
                <w:szCs w:val="13"/>
                <w:color w:val="auto"/>
              </w:rPr>
              <w:t>(1) See Table 4 for a reconciliation of non-GAAP financial measures.</w:t>
            </w: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64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Arial" w:cs="Arial" w:eastAsia="Arial" w:hAnsi="Arial"/>
                <w:sz w:val="14"/>
                <w:szCs w:val="14"/>
                <w:color w:val="auto"/>
              </w:rPr>
              <w:t>8</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20" w:type="dxa"/>
            <w:vAlign w:val="bottom"/>
          </w:tcPr>
          <w:p>
            <w:pPr>
              <w:spacing w:after="0"/>
              <w:rPr>
                <w:sz w:val="20"/>
                <w:szCs w:val="20"/>
                <w:color w:val="auto"/>
              </w:rPr>
            </w:pPr>
            <w:r>
              <w:rPr>
                <w:rFonts w:ascii="Arial" w:cs="Arial" w:eastAsia="Arial" w:hAnsi="Arial"/>
                <w:sz w:val="18"/>
                <w:szCs w:val="18"/>
                <w:color w:val="auto"/>
              </w:rPr>
              <w:t>(in millions)</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December 31,</w:t>
            </w: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$3,428</w:t>
            </w:r>
          </w:p>
        </w:tc>
        <w:tc>
          <w:tcPr>
            <w:tcW w:w="0" w:type="dxa"/>
            <w:vAlign w:val="bottom"/>
          </w:tcPr>
          <w:p>
            <w:pPr>
              <w:spacing w:after="0"/>
              <w:rPr>
                <w:sz w:val="1"/>
                <w:szCs w:val="1"/>
                <w:color w:val="auto"/>
              </w:rPr>
            </w:pPr>
          </w:p>
        </w:tc>
      </w:tr>
      <w:tr>
        <w:trPr>
          <w:trHeight w:val="181"/>
        </w:trPr>
        <w:tc>
          <w:tcPr>
            <w:tcW w:w="7820" w:type="dxa"/>
            <w:vAlign w:val="bottom"/>
          </w:tcPr>
          <w:p>
            <w:pPr>
              <w:ind w:left="360"/>
              <w:spacing w:after="0" w:line="181" w:lineRule="exact"/>
              <w:rPr>
                <w:sz w:val="20"/>
                <w:szCs w:val="20"/>
                <w:color w:val="auto"/>
              </w:rPr>
            </w:pPr>
            <w:r>
              <w:rPr>
                <w:rFonts w:ascii="Arial" w:cs="Arial" w:eastAsia="Arial" w:hAnsi="Arial"/>
                <w:sz w:val="18"/>
                <w:szCs w:val="18"/>
                <w:color w:val="auto"/>
              </w:rPr>
              <w:t>Cash and cash equivalents</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$3,301</w:t>
            </w: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Receivables, net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7,955</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8,546</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Programming rights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1,613</w:t>
            </w: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Deposits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1,772</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5"/>
        </w:trPr>
        <w:tc>
          <w:tcPr>
            <w:tcW w:w="78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w:t>
            </w:r>
          </w:p>
        </w:tc>
        <w:tc>
          <w:tcPr>
            <w:tcW w:w="0" w:type="dxa"/>
            <w:vAlign w:val="bottom"/>
          </w:tcPr>
          <w:p>
            <w:pPr>
              <w:spacing w:after="0"/>
              <w:rPr>
                <w:sz w:val="1"/>
                <w:szCs w:val="1"/>
                <w:color w:val="auto"/>
              </w:rPr>
            </w:pPr>
          </w:p>
        </w:tc>
      </w:tr>
      <w:tr>
        <w:trPr>
          <w:trHeight w:val="197"/>
        </w:trPr>
        <w:tc>
          <w:tcPr>
            <w:tcW w:w="7820" w:type="dxa"/>
            <w:vAlign w:val="bottom"/>
          </w:tcPr>
          <w:p>
            <w:pPr>
              <w:ind w:left="500"/>
              <w:spacing w:after="0" w:line="197" w:lineRule="exact"/>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16,361</w:t>
            </w: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16,060</w:t>
            </w:r>
          </w:p>
        </w:tc>
        <w:tc>
          <w:tcPr>
            <w:tcW w:w="0" w:type="dxa"/>
            <w:vAlign w:val="bottom"/>
          </w:tcPr>
          <w:p>
            <w:pPr>
              <w:spacing w:after="0"/>
              <w:rPr>
                <w:sz w:val="1"/>
                <w:szCs w:val="1"/>
                <w:color w:val="auto"/>
              </w:rPr>
            </w:pPr>
          </w:p>
        </w:tc>
      </w:tr>
      <w:tr>
        <w:trPr>
          <w:trHeight w:val="426"/>
        </w:trPr>
        <w:tc>
          <w:tcPr>
            <w:tcW w:w="78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7,252</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7,076</w:t>
            </w: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5,247</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6,931</w:t>
            </w: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jc w:val="right"/>
              <w:spacing w:after="0"/>
              <w:rPr>
                <w:sz w:val="20"/>
                <w:szCs w:val="20"/>
                <w:color w:val="auto"/>
              </w:rPr>
            </w:pPr>
            <w:r>
              <w:rPr>
                <w:rFonts w:ascii="Arial" w:cs="Arial" w:eastAsia="Arial" w:hAnsi="Arial"/>
                <w:sz w:val="18"/>
                <w:szCs w:val="18"/>
                <w:color w:val="auto"/>
              </w:rPr>
              <w:t>36,253</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38,470</w:t>
            </w: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Franchise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59,364</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Goodwill</w:t>
            </w:r>
          </w:p>
        </w:tc>
        <w:tc>
          <w:tcPr>
            <w:tcW w:w="1580" w:type="dxa"/>
            <w:vAlign w:val="bottom"/>
          </w:tcPr>
          <w:p>
            <w:pPr>
              <w:jc w:val="right"/>
              <w:spacing w:after="0"/>
              <w:rPr>
                <w:sz w:val="20"/>
                <w:szCs w:val="20"/>
                <w:color w:val="auto"/>
              </w:rPr>
            </w:pPr>
            <w:r>
              <w:rPr>
                <w:rFonts w:ascii="Arial" w:cs="Arial" w:eastAsia="Arial" w:hAnsi="Arial"/>
                <w:sz w:val="18"/>
                <w:szCs w:val="18"/>
                <w:color w:val="auto"/>
              </w:rPr>
              <w:t>35,980</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36,780</w:t>
            </w: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580" w:type="dxa"/>
            <w:vAlign w:val="bottom"/>
          </w:tcPr>
          <w:p>
            <w:pPr>
              <w:jc w:val="right"/>
              <w:spacing w:after="0"/>
              <w:rPr>
                <w:sz w:val="20"/>
                <w:szCs w:val="20"/>
                <w:color w:val="auto"/>
              </w:rPr>
            </w:pPr>
            <w:r>
              <w:rPr>
                <w:rFonts w:ascii="Arial" w:cs="Arial" w:eastAsia="Arial" w:hAnsi="Arial"/>
                <w:sz w:val="18"/>
                <w:szCs w:val="18"/>
                <w:color w:val="auto"/>
              </w:rPr>
              <w:t>17,274</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18,779</w:t>
            </w:r>
          </w:p>
        </w:tc>
        <w:tc>
          <w:tcPr>
            <w:tcW w:w="0" w:type="dxa"/>
            <w:vAlign w:val="bottom"/>
          </w:tcPr>
          <w:p>
            <w:pPr>
              <w:spacing w:after="0"/>
              <w:rPr>
                <w:sz w:val="1"/>
                <w:szCs w:val="1"/>
                <w:color w:val="auto"/>
              </w:rPr>
            </w:pPr>
          </w:p>
        </w:tc>
      </w:tr>
      <w:tr>
        <w:trPr>
          <w:trHeight w:val="405"/>
        </w:trPr>
        <w:tc>
          <w:tcPr>
            <w:tcW w:w="782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3,489</w:t>
            </w:r>
          </w:p>
        </w:tc>
        <w:tc>
          <w:tcPr>
            <w:tcW w:w="0" w:type="dxa"/>
            <w:vAlign w:val="bottom"/>
          </w:tcPr>
          <w:p>
            <w:pPr>
              <w:spacing w:after="0"/>
              <w:rPr>
                <w:sz w:val="1"/>
                <w:szCs w:val="1"/>
                <w:color w:val="auto"/>
              </w:rPr>
            </w:pPr>
          </w:p>
        </w:tc>
      </w:tr>
      <w:tr>
        <w:trPr>
          <w:trHeight w:val="412"/>
        </w:trPr>
        <w:tc>
          <w:tcPr>
            <w:tcW w:w="78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$180,500</w:t>
            </w: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$186,949</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82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$6,926</w:t>
            </w:r>
          </w:p>
        </w:tc>
        <w:tc>
          <w:tcPr>
            <w:tcW w:w="0" w:type="dxa"/>
            <w:vAlign w:val="bottom"/>
          </w:tcPr>
          <w:p>
            <w:pPr>
              <w:spacing w:after="0"/>
              <w:rPr>
                <w:sz w:val="1"/>
                <w:szCs w:val="1"/>
                <w:color w:val="auto"/>
              </w:rPr>
            </w:pPr>
          </w:p>
        </w:tc>
      </w:tr>
      <w:tr>
        <w:trPr>
          <w:trHeight w:val="181"/>
        </w:trPr>
        <w:tc>
          <w:tcPr>
            <w:tcW w:w="7820" w:type="dxa"/>
            <w:vAlign w:val="bottom"/>
          </w:tcPr>
          <w:p>
            <w:pPr>
              <w:ind w:left="36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$6,915</w:t>
            </w: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360"/>
              <w:spacing w:after="0"/>
              <w:rPr>
                <w:sz w:val="20"/>
                <w:szCs w:val="20"/>
                <w:color w:val="auto"/>
              </w:rPr>
            </w:pPr>
            <w:r>
              <w:rPr>
                <w:rFonts w:ascii="Arial" w:cs="Arial" w:eastAsia="Arial" w:hAnsi="Arial"/>
                <w:sz w:val="18"/>
                <w:szCs w:val="18"/>
                <w:color w:val="auto"/>
              </w:rPr>
              <w:t>Accrued participations and residuals</w:t>
            </w:r>
          </w:p>
        </w:tc>
        <w:tc>
          <w:tcPr>
            <w:tcW w:w="1580" w:type="dxa"/>
            <w:vAlign w:val="bottom"/>
          </w:tcPr>
          <w:p>
            <w:pPr>
              <w:jc w:val="right"/>
              <w:spacing w:after="0"/>
              <w:rPr>
                <w:sz w:val="20"/>
                <w:szCs w:val="20"/>
                <w:color w:val="auto"/>
              </w:rPr>
            </w:pPr>
            <w:r>
              <w:rPr>
                <w:rFonts w:ascii="Arial" w:cs="Arial" w:eastAsia="Arial" w:hAnsi="Arial"/>
                <w:sz w:val="18"/>
                <w:szCs w:val="18"/>
                <w:color w:val="auto"/>
              </w:rPr>
              <w:t>1,726</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4"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580" w:type="dxa"/>
            <w:vAlign w:val="bottom"/>
          </w:tcPr>
          <w:p>
            <w:pPr>
              <w:jc w:val="right"/>
              <w:spacing w:after="0"/>
              <w:rPr>
                <w:sz w:val="20"/>
                <w:szCs w:val="20"/>
                <w:color w:val="auto"/>
              </w:rPr>
            </w:pPr>
            <w:r>
              <w:rPr>
                <w:rFonts w:ascii="Arial" w:cs="Arial" w:eastAsia="Arial" w:hAnsi="Arial"/>
                <w:sz w:val="18"/>
                <w:szCs w:val="18"/>
                <w:color w:val="auto"/>
              </w:rPr>
              <w:t>1,132</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1,552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6,282</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6,266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500"/>
              <w:spacing w:after="0" w:line="197" w:lineRule="exact"/>
              <w:rPr>
                <w:sz w:val="20"/>
                <w:szCs w:val="20"/>
                <w:color w:val="auto"/>
              </w:rPr>
            </w:pPr>
            <w:r>
              <w:rPr>
                <w:rFonts w:ascii="Arial" w:cs="Arial" w:eastAsia="Arial" w:hAnsi="Arial"/>
                <w:sz w:val="18"/>
                <w:szCs w:val="18"/>
                <w:color w:val="auto"/>
              </w:rPr>
              <w:t>Total current liabilities</w:t>
            </w:r>
          </w:p>
        </w:tc>
        <w:tc>
          <w:tcPr>
            <w:tcW w:w="1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21,535</w:t>
            </w: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21,561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8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580" w:type="dxa"/>
            <w:vAlign w:val="bottom"/>
          </w:tcPr>
          <w:p>
            <w:pPr>
              <w:jc w:val="right"/>
              <w:spacing w:after="0"/>
              <w:rPr>
                <w:sz w:val="20"/>
                <w:szCs w:val="20"/>
                <w:color w:val="auto"/>
              </w:rPr>
            </w:pPr>
            <w:r>
              <w:rPr>
                <w:rFonts w:ascii="Arial" w:cs="Arial" w:eastAsia="Arial" w:hAnsi="Arial"/>
                <w:sz w:val="18"/>
                <w:szCs w:val="18"/>
                <w:color w:val="auto"/>
              </w:rPr>
              <w:t>55,566</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59,422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34,854</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24,256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80" w:type="dxa"/>
            <w:vAlign w:val="bottom"/>
          </w:tcPr>
          <w:p>
            <w:pPr>
              <w:jc w:val="right"/>
              <w:spacing w:after="0"/>
              <w:rPr>
                <w:sz w:val="20"/>
                <w:szCs w:val="20"/>
                <w:color w:val="auto"/>
              </w:rPr>
            </w:pPr>
            <w:r>
              <w:rPr>
                <w:rFonts w:ascii="Arial" w:cs="Arial" w:eastAsia="Arial" w:hAnsi="Arial"/>
                <w:sz w:val="18"/>
                <w:szCs w:val="18"/>
                <w:color w:val="auto"/>
              </w:rPr>
              <w:t>10,925</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10,904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2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1,446</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1,357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820" w:type="dxa"/>
            <w:vAlign w:val="bottom"/>
          </w:tcPr>
          <w:p>
            <w:pPr>
              <w:spacing w:after="0"/>
              <w:rPr>
                <w:sz w:val="20"/>
                <w:szCs w:val="20"/>
                <w:color w:val="auto"/>
              </w:rPr>
            </w:pPr>
            <w:r>
              <w:rPr>
                <w:rFonts w:ascii="Arial" w:cs="Arial" w:eastAsia="Arial" w:hAnsi="Arial"/>
                <w:sz w:val="18"/>
                <w:szCs w:val="18"/>
                <w:color w:val="auto"/>
              </w:rPr>
              <w:t>Equity</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68,606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20" w:type="dxa"/>
            <w:vAlign w:val="bottom"/>
          </w:tcPr>
          <w:p>
            <w:pPr>
              <w:ind w:left="360"/>
              <w:spacing w:after="0" w:line="181" w:lineRule="exact"/>
              <w:rPr>
                <w:sz w:val="20"/>
                <w:szCs w:val="20"/>
                <w:color w:val="auto"/>
              </w:rPr>
            </w:pPr>
            <w:r>
              <w:rPr>
                <w:rFonts w:ascii="Arial" w:cs="Arial" w:eastAsia="Arial" w:hAnsi="Arial"/>
                <w:sz w:val="18"/>
                <w:szCs w:val="18"/>
                <w:color w:val="auto"/>
              </w:rPr>
              <w:t>Comcast Corporation shareholders’ equity</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53,943</w:t>
            </w: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500"/>
              <w:spacing w:after="0" w:line="197" w:lineRule="exact"/>
              <w:rPr>
                <w:sz w:val="20"/>
                <w:szCs w:val="20"/>
                <w:color w:val="auto"/>
              </w:rPr>
            </w:pPr>
            <w:r>
              <w:rPr>
                <w:rFonts w:ascii="Arial" w:cs="Arial" w:eastAsia="Arial" w:hAnsi="Arial"/>
                <w:sz w:val="18"/>
                <w:szCs w:val="18"/>
                <w:color w:val="auto"/>
              </w:rPr>
              <w:t>Total equity</w:t>
            </w:r>
          </w:p>
        </w:tc>
        <w:tc>
          <w:tcPr>
            <w:tcW w:w="1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56,174</w:t>
            </w: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69,449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$180,500</w:t>
            </w: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$186,949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8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8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828282"/>
        </w:rPr>
        <w:t>TABLE 3</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30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Arial" w:cs="Arial" w:eastAsia="Arial" w:hAnsi="Arial"/>
                <w:sz w:val="16"/>
                <w:szCs w:val="16"/>
                <w:color w:val="auto"/>
              </w:rPr>
              <w:t>(in millions)</w:t>
            </w:r>
          </w:p>
        </w:tc>
        <w:tc>
          <w:tcPr>
            <w:tcW w:w="210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87"/>
        </w:trPr>
        <w:tc>
          <w:tcPr>
            <w:tcW w:w="8300" w:type="dxa"/>
            <w:vAlign w:val="bottom"/>
          </w:tcPr>
          <w:p>
            <w:pPr>
              <w:spacing w:after="0"/>
              <w:rPr>
                <w:sz w:val="16"/>
                <w:szCs w:val="16"/>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83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$22,900</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$9,045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9,825</w:t>
            </w:r>
          </w:p>
        </w:tc>
        <w:tc>
          <w:tcPr>
            <w:tcW w:w="0" w:type="dxa"/>
            <w:vAlign w:val="bottom"/>
          </w:tcPr>
          <w:p>
            <w:pPr>
              <w:spacing w:after="0"/>
              <w:rPr>
                <w:sz w:val="1"/>
                <w:szCs w:val="1"/>
                <w:color w:val="auto"/>
              </w:rPr>
            </w:pPr>
          </w:p>
        </w:tc>
      </w:tr>
      <w:tr>
        <w:trPr>
          <w:trHeight w:val="169"/>
        </w:trPr>
        <w:tc>
          <w:tcPr>
            <w:tcW w:w="8300" w:type="dxa"/>
            <w:vAlign w:val="bottom"/>
          </w:tcPr>
          <w:p>
            <w:pPr>
              <w:ind w:left="360"/>
              <w:spacing w:after="0" w:line="169" w:lineRule="exact"/>
              <w:rPr>
                <w:sz w:val="20"/>
                <w:szCs w:val="20"/>
                <w:color w:val="auto"/>
              </w:rPr>
            </w:pPr>
            <w:r>
              <w:rPr>
                <w:rFonts w:ascii="Arial" w:cs="Arial" w:eastAsia="Arial" w:hAnsi="Arial"/>
                <w:sz w:val="16"/>
                <w:szCs w:val="16"/>
                <w:color w:val="auto"/>
              </w:rPr>
              <w:t>Depreciation, amortization and other operating gains</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9,558</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751</w:t>
            </w: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Noncash interest expense (income), net</w:t>
            </w:r>
          </w:p>
        </w:tc>
        <w:tc>
          <w:tcPr>
            <w:tcW w:w="1360" w:type="dxa"/>
            <w:vAlign w:val="bottom"/>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272</w:t>
            </w: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Equity in net (income) losses of investees, net</w:t>
            </w: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Cash received from investees</w:t>
            </w: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95</w:t>
            </w: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Net (gain) loss on investment activity and 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(169)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(182)</w:t>
            </w:r>
          </w:p>
        </w:tc>
        <w:tc>
          <w:tcPr>
            <w:tcW w:w="0" w:type="dxa"/>
            <w:vAlign w:val="bottom"/>
          </w:tcPr>
          <w:p>
            <w:pPr>
              <w:spacing w:after="0"/>
              <w:rPr>
                <w:sz w:val="1"/>
                <w:szCs w:val="1"/>
                <w:color w:val="auto"/>
              </w:rPr>
            </w:pPr>
          </w:p>
        </w:tc>
      </w:tr>
      <w:tr>
        <w:trPr>
          <w:trHeight w:val="209"/>
        </w:trPr>
        <w:tc>
          <w:tcPr>
            <w:tcW w:w="83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360" w:type="dxa"/>
            <w:vAlign w:val="bottom"/>
          </w:tcPr>
          <w:p>
            <w:pPr>
              <w:jc w:val="right"/>
              <w:spacing w:after="0"/>
              <w:rPr>
                <w:sz w:val="20"/>
                <w:szCs w:val="20"/>
                <w:color w:val="auto"/>
              </w:rPr>
            </w:pPr>
            <w:r>
              <w:rPr>
                <w:rFonts w:ascii="Arial" w:cs="Arial" w:eastAsia="Arial" w:hAnsi="Arial"/>
                <w:sz w:val="16"/>
                <w:szCs w:val="16"/>
                <w:color w:val="auto"/>
              </w:rPr>
              <w:t>1,444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(10,655)</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(888)</w:t>
            </w:r>
          </w:p>
        </w:tc>
        <w:tc>
          <w:tcPr>
            <w:tcW w:w="0" w:type="dxa"/>
            <w:vAlign w:val="bottom"/>
          </w:tcPr>
          <w:p>
            <w:pPr>
              <w:spacing w:after="0"/>
              <w:rPr>
                <w:sz w:val="1"/>
                <w:szCs w:val="1"/>
                <w:color w:val="auto"/>
              </w:rPr>
            </w:pPr>
          </w:p>
        </w:tc>
      </w:tr>
      <w:tr>
        <w:trPr>
          <w:trHeight w:val="169"/>
        </w:trPr>
        <w:tc>
          <w:tcPr>
            <w:tcW w:w="8300" w:type="dxa"/>
            <w:vAlign w:val="bottom"/>
          </w:tcPr>
          <w:p>
            <w:pPr>
              <w:ind w:left="360"/>
              <w:spacing w:after="0" w:line="169" w:lineRule="exact"/>
              <w:rPr>
                <w:sz w:val="20"/>
                <w:szCs w:val="20"/>
                <w:color w:val="auto"/>
              </w:rPr>
            </w:pPr>
            <w:r>
              <w:rPr>
                <w:rFonts w:ascii="Arial" w:cs="Arial" w:eastAsia="Arial" w:hAnsi="Arial"/>
                <w:sz w:val="16"/>
                <w:szCs w:val="16"/>
                <w:color w:val="auto"/>
              </w:rPr>
              <w:t>Current and noncurrent receivables, net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(782)</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Film and television costs, net</w:t>
            </w:r>
          </w:p>
        </w:tc>
        <w:tc>
          <w:tcPr>
            <w:tcW w:w="1360" w:type="dxa"/>
            <w:vAlign w:val="bottom"/>
          </w:tcPr>
          <w:p>
            <w:pPr>
              <w:jc w:val="right"/>
              <w:spacing w:after="0"/>
              <w:rPr>
                <w:sz w:val="20"/>
                <w:szCs w:val="20"/>
                <w:color w:val="auto"/>
              </w:rPr>
            </w:pPr>
            <w:r>
              <w:rPr>
                <w:rFonts w:ascii="Arial" w:cs="Arial" w:eastAsia="Arial" w:hAnsi="Arial"/>
                <w:sz w:val="16"/>
                <w:szCs w:val="16"/>
                <w:color w:val="auto"/>
              </w:rPr>
              <w:t>(495)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0" w:type="dxa"/>
            <w:vAlign w:val="bottom"/>
          </w:tcPr>
          <w:p>
            <w:pPr>
              <w:spacing w:after="0"/>
              <w:rPr>
                <w:sz w:val="1"/>
                <w:szCs w:val="1"/>
                <w:color w:val="auto"/>
              </w:rPr>
            </w:pPr>
          </w:p>
        </w:tc>
      </w:tr>
      <w:tr>
        <w:trPr>
          <w:trHeight w:val="207"/>
        </w:trPr>
        <w:tc>
          <w:tcPr>
            <w:tcW w:w="8300" w:type="dxa"/>
            <w:vAlign w:val="bottom"/>
          </w:tcPr>
          <w:p>
            <w:pPr>
              <w:ind w:left="360"/>
              <w:spacing w:after="0"/>
              <w:rPr>
                <w:sz w:val="20"/>
                <w:szCs w:val="20"/>
                <w:color w:val="auto"/>
              </w:rPr>
            </w:pPr>
            <w:r>
              <w:rPr>
                <w:rFonts w:ascii="Arial" w:cs="Arial" w:eastAsia="Arial" w:hAnsi="Arial"/>
                <w:sz w:val="16"/>
                <w:szCs w:val="16"/>
                <w:color w:val="auto"/>
              </w:rPr>
              <w:t>Other operating assets and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w:t>
            </w:r>
          </w:p>
        </w:tc>
        <w:tc>
          <w:tcPr>
            <w:tcW w:w="0" w:type="dxa"/>
            <w:vAlign w:val="bottom"/>
          </w:tcPr>
          <w:p>
            <w:pPr>
              <w:spacing w:after="0"/>
              <w:rPr>
                <w:sz w:val="1"/>
                <w:szCs w:val="1"/>
                <w:color w:val="auto"/>
              </w:rPr>
            </w:pPr>
          </w:p>
        </w:tc>
      </w:tr>
      <w:tr>
        <w:trPr>
          <w:trHeight w:val="399"/>
        </w:trPr>
        <w:tc>
          <w:tcPr>
            <w:tcW w:w="830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19,825</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21,403</w:t>
            </w:r>
          </w:p>
        </w:tc>
        <w:tc>
          <w:tcPr>
            <w:tcW w:w="0" w:type="dxa"/>
            <w:vAlign w:val="bottom"/>
          </w:tcPr>
          <w:p>
            <w:pPr>
              <w:spacing w:after="0"/>
              <w:rPr>
                <w:sz w:val="1"/>
                <w:szCs w:val="1"/>
                <w:color w:val="auto"/>
              </w:rPr>
            </w:pPr>
          </w:p>
        </w:tc>
      </w:tr>
      <w:tr>
        <w:trPr>
          <w:trHeight w:val="401"/>
        </w:trPr>
        <w:tc>
          <w:tcPr>
            <w:tcW w:w="83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(9,550)</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line="169" w:lineRule="exact"/>
              <w:rPr>
                <w:sz w:val="20"/>
                <w:szCs w:val="20"/>
                <w:color w:val="auto"/>
              </w:rPr>
            </w:pPr>
            <w:r>
              <w:rPr>
                <w:rFonts w:ascii="Arial" w:cs="Arial" w:eastAsia="Arial" w:hAnsi="Arial"/>
                <w:sz w:val="16"/>
                <w:szCs w:val="16"/>
                <w:color w:val="auto"/>
              </w:rPr>
              <w:t>Capital expenditures</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(9,135)</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Cash paid for intangible assets</w:t>
            </w:r>
          </w:p>
        </w:tc>
        <w:tc>
          <w:tcPr>
            <w:tcW w:w="1360" w:type="dxa"/>
            <w:vAlign w:val="bottom"/>
          </w:tcPr>
          <w:p>
            <w:pPr>
              <w:jc w:val="right"/>
              <w:spacing w:after="0"/>
              <w:rPr>
                <w:sz w:val="20"/>
                <w:szCs w:val="20"/>
                <w:color w:val="auto"/>
              </w:rPr>
            </w:pPr>
            <w:r>
              <w:rPr>
                <w:rFonts w:ascii="Arial" w:cs="Arial" w:eastAsia="Arial" w:hAnsi="Arial"/>
                <w:sz w:val="16"/>
                <w:szCs w:val="16"/>
                <w:color w:val="auto"/>
              </w:rPr>
              <w:t>(1,686)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(1,747)</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Acquisitions and construction of real estate properties</w:t>
            </w:r>
          </w:p>
        </w:tc>
        <w:tc>
          <w:tcPr>
            <w:tcW w:w="1360" w:type="dxa"/>
            <w:vAlign w:val="bottom"/>
          </w:tcPr>
          <w:p>
            <w:pPr>
              <w:jc w:val="right"/>
              <w:spacing w:after="0"/>
              <w:rPr>
                <w:sz w:val="20"/>
                <w:szCs w:val="20"/>
                <w:color w:val="auto"/>
              </w:rPr>
            </w:pPr>
            <w:r>
              <w:rPr>
                <w:rFonts w:ascii="Arial" w:cs="Arial" w:eastAsia="Arial" w:hAnsi="Arial"/>
                <w:sz w:val="16"/>
                <w:szCs w:val="16"/>
                <w:color w:val="auto"/>
              </w:rPr>
              <w:t>(428)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(418)</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1360" w:type="dxa"/>
            <w:vAlign w:val="bottom"/>
          </w:tcPr>
          <w:p>
            <w:pPr>
              <w:jc w:val="right"/>
              <w:spacing w:after="0"/>
              <w:rPr>
                <w:sz w:val="20"/>
                <w:szCs w:val="20"/>
                <w:color w:val="auto"/>
              </w:rPr>
            </w:pPr>
            <w:r>
              <w:rPr>
                <w:rFonts w:ascii="Arial" w:cs="Arial" w:eastAsia="Arial" w:hAnsi="Arial"/>
                <w:sz w:val="16"/>
                <w:szCs w:val="16"/>
                <w:color w:val="auto"/>
              </w:rPr>
              <w:t>(3,929)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(532)</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Proceeds from sales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(1,697)</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(2,292)</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Deposits</w:t>
            </w:r>
          </w:p>
        </w:tc>
        <w:tc>
          <w:tcPr>
            <w:tcW w:w="1360" w:type="dxa"/>
            <w:vAlign w:val="bottom"/>
          </w:tcPr>
          <w:p>
            <w:pPr>
              <w:jc w:val="right"/>
              <w:spacing w:after="0"/>
              <w:rPr>
                <w:sz w:val="20"/>
                <w:szCs w:val="20"/>
                <w:color w:val="auto"/>
              </w:rPr>
            </w:pPr>
            <w:r>
              <w:rPr>
                <w:rFonts w:ascii="Arial" w:cs="Arial" w:eastAsia="Arial" w:hAnsi="Arial"/>
                <w:sz w:val="16"/>
                <w:szCs w:val="16"/>
                <w:color w:val="auto"/>
              </w:rPr>
              <w:t>(1,749)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8300" w:type="dxa"/>
            <w:vAlign w:val="bottom"/>
          </w:tcPr>
          <w:p>
            <w:pPr>
              <w:ind w:left="18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685</w:t>
            </w:r>
          </w:p>
        </w:tc>
        <w:tc>
          <w:tcPr>
            <w:tcW w:w="0" w:type="dxa"/>
            <w:vAlign w:val="bottom"/>
          </w:tcPr>
          <w:p>
            <w:pPr>
              <w:spacing w:after="0"/>
              <w:rPr>
                <w:sz w:val="1"/>
                <w:szCs w:val="1"/>
                <w:color w:val="auto"/>
              </w:rPr>
            </w:pPr>
          </w:p>
        </w:tc>
      </w:tr>
      <w:tr>
        <w:trPr>
          <w:trHeight w:val="399"/>
        </w:trPr>
        <w:tc>
          <w:tcPr>
            <w:tcW w:w="8300" w:type="dxa"/>
            <w:vAlign w:val="bottom"/>
          </w:tcPr>
          <w:p>
            <w:pPr>
              <w:ind w:left="920"/>
              <w:spacing w:after="0"/>
              <w:rPr>
                <w:sz w:val="20"/>
                <w:szCs w:val="20"/>
                <w:color w:val="auto"/>
              </w:rPr>
            </w:pPr>
            <w:r>
              <w:rPr>
                <w:rFonts w:ascii="Arial" w:cs="Arial" w:eastAsia="Arial" w:hAnsi="Arial"/>
                <w:sz w:val="16"/>
                <w:szCs w:val="16"/>
                <w:color w:val="auto"/>
              </w:rPr>
              <w:t>Net cash provided by (used in) investing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(18,385)</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(13,704)</w:t>
            </w:r>
          </w:p>
        </w:tc>
        <w:tc>
          <w:tcPr>
            <w:tcW w:w="0" w:type="dxa"/>
            <w:vAlign w:val="bottom"/>
          </w:tcPr>
          <w:p>
            <w:pPr>
              <w:spacing w:after="0"/>
              <w:rPr>
                <w:sz w:val="1"/>
                <w:szCs w:val="1"/>
                <w:color w:val="auto"/>
              </w:rPr>
            </w:pPr>
          </w:p>
        </w:tc>
      </w:tr>
      <w:tr>
        <w:trPr>
          <w:trHeight w:val="401"/>
        </w:trPr>
        <w:tc>
          <w:tcPr>
            <w:tcW w:w="83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(1,905)</w:t>
            </w:r>
          </w:p>
        </w:tc>
        <w:tc>
          <w:tcPr>
            <w:tcW w:w="0" w:type="dxa"/>
            <w:vAlign w:val="bottom"/>
          </w:tcPr>
          <w:p>
            <w:pPr>
              <w:spacing w:after="0"/>
              <w:rPr>
                <w:sz w:val="1"/>
                <w:szCs w:val="1"/>
                <w:color w:val="auto"/>
              </w:rPr>
            </w:pPr>
          </w:p>
        </w:tc>
      </w:tr>
      <w:tr>
        <w:trPr>
          <w:trHeight w:val="169"/>
        </w:trPr>
        <w:tc>
          <w:tcPr>
            <w:tcW w:w="8300" w:type="dxa"/>
            <w:vAlign w:val="bottom"/>
          </w:tcPr>
          <w:p>
            <w:pPr>
              <w:ind w:left="180"/>
              <w:spacing w:after="0" w:line="169" w:lineRule="exact"/>
              <w:rPr>
                <w:sz w:val="20"/>
                <w:szCs w:val="20"/>
                <w:color w:val="auto"/>
              </w:rPr>
            </w:pPr>
            <w:r>
              <w:rPr>
                <w:rFonts w:ascii="Arial" w:cs="Arial" w:eastAsia="Arial" w:hAnsi="Arial"/>
                <w:sz w:val="16"/>
                <w:szCs w:val="16"/>
                <w:color w:val="auto"/>
              </w:rPr>
              <w:t>Proceeds from (repayments of) short-term borrowings, net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1,790</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Proceeds from borrowings</w:t>
            </w:r>
          </w:p>
        </w:tc>
        <w:tc>
          <w:tcPr>
            <w:tcW w:w="1360" w:type="dxa"/>
            <w:vAlign w:val="bottom"/>
          </w:tcPr>
          <w:p>
            <w:pPr>
              <w:jc w:val="right"/>
              <w:spacing w:after="0"/>
              <w:rPr>
                <w:sz w:val="20"/>
                <w:szCs w:val="20"/>
                <w:color w:val="auto"/>
              </w:rPr>
            </w:pPr>
            <w:r>
              <w:rPr>
                <w:rFonts w:ascii="Arial" w:cs="Arial" w:eastAsia="Arial" w:hAnsi="Arial"/>
                <w:sz w:val="16"/>
                <w:szCs w:val="16"/>
                <w:color w:val="auto"/>
              </w:rPr>
              <w:t>9,231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11,466</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Repurchases and repayments of debt</w:t>
            </w:r>
          </w:p>
        </w:tc>
        <w:tc>
          <w:tcPr>
            <w:tcW w:w="1360" w:type="dxa"/>
            <w:vAlign w:val="bottom"/>
          </w:tcPr>
          <w:p>
            <w:pPr>
              <w:jc w:val="right"/>
              <w:spacing w:after="0"/>
              <w:rPr>
                <w:sz w:val="20"/>
                <w:szCs w:val="20"/>
                <w:color w:val="auto"/>
              </w:rPr>
            </w:pPr>
            <w:r>
              <w:rPr>
                <w:rFonts w:ascii="Arial" w:cs="Arial" w:eastAsia="Arial" w:hAnsi="Arial"/>
                <w:sz w:val="16"/>
                <w:szCs w:val="16"/>
                <w:color w:val="auto"/>
              </w:rPr>
              <w:t>(3,052)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(6,364)</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360" w:type="dxa"/>
            <w:vAlign w:val="bottom"/>
          </w:tcPr>
          <w:p>
            <w:pPr>
              <w:jc w:val="right"/>
              <w:spacing w:after="0"/>
              <w:rPr>
                <w:sz w:val="20"/>
                <w:szCs w:val="20"/>
                <w:color w:val="auto"/>
              </w:rPr>
            </w:pPr>
            <w:r>
              <w:rPr>
                <w:rFonts w:ascii="Arial" w:cs="Arial" w:eastAsia="Arial" w:hAnsi="Arial"/>
                <w:sz w:val="16"/>
                <w:szCs w:val="16"/>
                <w:color w:val="auto"/>
              </w:rPr>
              <w:t>(5,352)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(5,435)</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1360" w:type="dxa"/>
            <w:vAlign w:val="bottom"/>
          </w:tcPr>
          <w:p>
            <w:pPr>
              <w:jc w:val="right"/>
              <w:spacing w:after="0"/>
              <w:rPr>
                <w:sz w:val="20"/>
                <w:szCs w:val="20"/>
                <w:color w:val="auto"/>
              </w:rPr>
            </w:pPr>
            <w:r>
              <w:rPr>
                <w:rFonts w:ascii="Arial" w:cs="Arial" w:eastAsia="Arial" w:hAnsi="Arial"/>
                <w:sz w:val="16"/>
                <w:szCs w:val="16"/>
                <w:color w:val="auto"/>
              </w:rPr>
              <w:t>(2,601)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(2,883)</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Purchase of Universal Studios Japan noncontrolling interests</w:t>
            </w:r>
          </w:p>
        </w:tc>
        <w:tc>
          <w:tcPr>
            <w:tcW w:w="2100" w:type="dxa"/>
            <w:vAlign w:val="bottom"/>
            <w:gridSpan w:val="3"/>
          </w:tcPr>
          <w:p>
            <w:pPr>
              <w:jc w:val="right"/>
              <w:ind w:right="8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(2,299)</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830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(253)</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(252)</w:t>
            </w:r>
          </w:p>
        </w:tc>
        <w:tc>
          <w:tcPr>
            <w:tcW w:w="0" w:type="dxa"/>
            <w:vAlign w:val="bottom"/>
          </w:tcPr>
          <w:p>
            <w:pPr>
              <w:spacing w:after="0"/>
              <w:rPr>
                <w:sz w:val="1"/>
                <w:szCs w:val="1"/>
                <w:color w:val="auto"/>
              </w:rPr>
            </w:pPr>
          </w:p>
        </w:tc>
      </w:tr>
      <w:tr>
        <w:trPr>
          <w:trHeight w:val="207"/>
        </w:trPr>
        <w:tc>
          <w:tcPr>
            <w:tcW w:w="8300" w:type="dxa"/>
            <w:vAlign w:val="bottom"/>
          </w:tcPr>
          <w:p>
            <w:pPr>
              <w:ind w:left="18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399"/>
        </w:trPr>
        <w:tc>
          <w:tcPr>
            <w:tcW w:w="8300" w:type="dxa"/>
            <w:vAlign w:val="bottom"/>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(7,572)</w:t>
            </w:r>
          </w:p>
        </w:tc>
        <w:tc>
          <w:tcPr>
            <w:tcW w:w="0" w:type="dxa"/>
            <w:vAlign w:val="bottom"/>
          </w:tcPr>
          <w:p>
            <w:pPr>
              <w:spacing w:after="0"/>
              <w:rPr>
                <w:sz w:val="1"/>
                <w:szCs w:val="1"/>
                <w:color w:val="auto"/>
              </w:rPr>
            </w:pPr>
          </w:p>
        </w:tc>
      </w:tr>
      <w:tr>
        <w:trPr>
          <w:trHeight w:val="406"/>
        </w:trPr>
        <w:tc>
          <w:tcPr>
            <w:tcW w:w="830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1360" w:type="dxa"/>
            <w:vAlign w:val="bottom"/>
          </w:tcPr>
          <w:p>
            <w:pPr>
              <w:jc w:val="right"/>
              <w:spacing w:after="0"/>
              <w:rPr>
                <w:sz w:val="20"/>
                <w:szCs w:val="20"/>
                <w:color w:val="auto"/>
              </w:rPr>
            </w:pPr>
            <w:r>
              <w:rPr>
                <w:rFonts w:ascii="Arial" w:cs="Arial" w:eastAsia="Arial" w:hAnsi="Arial"/>
                <w:sz w:val="16"/>
                <w:szCs w:val="16"/>
                <w:color w:val="auto"/>
              </w:rPr>
              <w:t>1,006</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127</w:t>
            </w:r>
          </w:p>
        </w:tc>
        <w:tc>
          <w:tcPr>
            <w:tcW w:w="0" w:type="dxa"/>
            <w:vAlign w:val="bottom"/>
          </w:tcPr>
          <w:p>
            <w:pPr>
              <w:spacing w:after="0"/>
              <w:rPr>
                <w:sz w:val="1"/>
                <w:szCs w:val="1"/>
                <w:color w:val="auto"/>
              </w:rPr>
            </w:pPr>
          </w:p>
        </w:tc>
      </w:tr>
      <w:tr>
        <w:trPr>
          <w:trHeight w:val="398"/>
        </w:trPr>
        <w:tc>
          <w:tcPr>
            <w:tcW w:w="83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3,301</w:t>
            </w:r>
          </w:p>
        </w:tc>
        <w:tc>
          <w:tcPr>
            <w:tcW w:w="0" w:type="dxa"/>
            <w:vAlign w:val="bottom"/>
          </w:tcPr>
          <w:p>
            <w:pPr>
              <w:spacing w:after="0"/>
              <w:rPr>
                <w:sz w:val="1"/>
                <w:szCs w:val="1"/>
                <w:color w:val="auto"/>
              </w:rPr>
            </w:pPr>
          </w:p>
        </w:tc>
      </w:tr>
      <w:tr>
        <w:trPr>
          <w:trHeight w:val="399"/>
        </w:trPr>
        <w:tc>
          <w:tcPr>
            <w:tcW w:w="830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$3,428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12" w:right="199" w:bottom="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-16510</wp:posOffset>
            </wp:positionV>
            <wp:extent cx="1029335"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95" w:lineRule="exact"/>
        <w:rPr>
          <w:sz w:val="20"/>
          <w:szCs w:val="20"/>
          <w:color w:val="auto"/>
        </w:rPr>
      </w:pPr>
    </w:p>
    <w:p>
      <w:pPr>
        <w:ind w:left="80" w:right="2960"/>
        <w:spacing w:after="0" w:line="258" w:lineRule="auto"/>
        <w:rPr>
          <w:sz w:val="20"/>
          <w:szCs w:val="20"/>
          <w:color w:val="auto"/>
        </w:rPr>
      </w:pPr>
      <w:r>
        <w:rPr>
          <w:rFonts w:ascii="Arial" w:cs="Arial" w:eastAsia="Arial" w:hAnsi="Arial"/>
          <w:sz w:val="20"/>
          <w:szCs w:val="20"/>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900" w:orient="portrait"/>
          <w:cols w:equalWidth="0" w:num="1">
            <w:col w:w="11420"/>
          </w:cols>
          <w:pgMar w:left="240" w:top="144" w:right="239" w:bottom="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attributable to Comcast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Income tax (benefit) expense</w:t>
      </w:r>
    </w:p>
    <w:p>
      <w:pPr>
        <w:spacing w:after="0" w:line="210" w:lineRule="auto"/>
        <w:rPr>
          <w:sz w:val="20"/>
          <w:szCs w:val="20"/>
          <w:color w:val="auto"/>
        </w:rPr>
      </w:pPr>
      <w:r>
        <w:rPr>
          <w:rFonts w:ascii="Arial" w:cs="Arial" w:eastAsia="Arial" w:hAnsi="Arial"/>
          <w:sz w:val="14"/>
          <w:szCs w:val="14"/>
          <w:color w:val="auto"/>
        </w:rPr>
        <w:t xml:space="preserve">Other (income) expense items, net </w:t>
      </w:r>
      <w:r>
        <w:rPr>
          <w:rFonts w:ascii="Arial" w:cs="Arial" w:eastAsia="Arial" w:hAnsi="Arial"/>
          <w:sz w:val="23"/>
          <w:szCs w:val="23"/>
          <w:color w:val="auto"/>
          <w:vertAlign w:val="superscript"/>
        </w:rPr>
        <w:t>(1)</w:t>
      </w:r>
    </w:p>
    <w:p>
      <w:pPr>
        <w:spacing w:after="0" w:line="1" w:lineRule="exact"/>
        <w:rPr>
          <w:sz w:val="20"/>
          <w:szCs w:val="20"/>
          <w:color w:val="auto"/>
        </w:rPr>
      </w:pPr>
    </w:p>
    <w:p>
      <w:pPr>
        <w:ind w:right="2200"/>
        <w:spacing w:after="0" w:line="228" w:lineRule="auto"/>
        <w:rPr>
          <w:sz w:val="20"/>
          <w:szCs w:val="20"/>
          <w:color w:val="auto"/>
        </w:rPr>
      </w:pPr>
      <w:r>
        <w:rPr>
          <w:rFonts w:ascii="Arial" w:cs="Arial" w:eastAsia="Arial" w:hAnsi="Arial"/>
          <w:sz w:val="14"/>
          <w:szCs w:val="14"/>
          <w:color w:val="auto"/>
        </w:rPr>
        <w:t>Depreciation and amortization expense and other operating gains Adjustments</w:t>
      </w:r>
      <w:r>
        <w:rPr>
          <w:rFonts w:ascii="Arial" w:cs="Arial" w:eastAsia="Arial" w:hAnsi="Arial"/>
          <w:sz w:val="23"/>
          <w:szCs w:val="23"/>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w:t>
      </w:r>
    </w:p>
    <w:p>
      <w:pPr>
        <w:spacing w:after="0" w:line="2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Twelve Months Ended</w:t>
            </w:r>
          </w:p>
        </w:tc>
      </w:tr>
      <w:tr>
        <w:trPr>
          <w:trHeight w:val="162"/>
        </w:trPr>
        <w:tc>
          <w:tcPr>
            <w:tcW w:w="214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04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r>
      <w:tr>
        <w:trPr>
          <w:trHeight w:val="211"/>
        </w:trPr>
        <w:tc>
          <w:tcPr>
            <w:tcW w:w="920" w:type="dxa"/>
            <w:vAlign w:val="bottom"/>
          </w:tcPr>
          <w:p>
            <w:pPr>
              <w:jc w:val="right"/>
              <w:spacing w:after="0"/>
              <w:rPr>
                <w:sz w:val="20"/>
                <w:szCs w:val="20"/>
                <w:color w:val="auto"/>
              </w:rPr>
            </w:pPr>
            <w:r>
              <w:rPr>
                <w:rFonts w:ascii="Arial" w:cs="Arial" w:eastAsia="Arial" w:hAnsi="Arial"/>
                <w:sz w:val="14"/>
                <w:szCs w:val="14"/>
                <w:color w:val="auto"/>
              </w:rPr>
              <w:t>$2,296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$14,985</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$8,695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$22,714</w:t>
            </w:r>
          </w:p>
        </w:tc>
      </w:tr>
      <w:tr>
        <w:trPr>
          <w:trHeight w:val="174"/>
        </w:trPr>
        <w:tc>
          <w:tcPr>
            <w:tcW w:w="92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190"/>
        </w:trPr>
        <w:tc>
          <w:tcPr>
            <w:tcW w:w="920" w:type="dxa"/>
            <w:vAlign w:val="bottom"/>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(11,613)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5,308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(7,578)</w:t>
            </w:r>
          </w:p>
        </w:tc>
      </w:tr>
      <w:tr>
        <w:trPr>
          <w:trHeight w:val="203"/>
        </w:trPr>
        <w:tc>
          <w:tcPr>
            <w:tcW w:w="92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685</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2,665</w:t>
            </w:r>
          </w:p>
        </w:tc>
      </w:tr>
      <w:tr>
        <w:trPr>
          <w:trHeight w:val="203"/>
        </w:trPr>
        <w:tc>
          <w:tcPr>
            <w:tcW w:w="920" w:type="dxa"/>
            <w:vAlign w:val="bottom"/>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2,644</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9,558</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9,825</w:t>
            </w:r>
          </w:p>
        </w:tc>
      </w:tr>
      <w:tr>
        <w:trPr>
          <w:trHeight w:val="188"/>
        </w:trPr>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250</w:t>
            </w:r>
          </w:p>
        </w:tc>
      </w:tr>
      <w:tr>
        <w:trPr>
          <w:trHeight w:val="196"/>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$6,760</w:t>
            </w: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$6,751</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$26,417</w:t>
            </w:r>
          </w:p>
        </w:tc>
        <w:tc>
          <w:tcPr>
            <w:tcW w:w="1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$28,062</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86" w:lineRule="exact"/>
        <w:rPr>
          <w:sz w:val="20"/>
          <w:szCs w:val="20"/>
          <w:color w:val="auto"/>
        </w:rPr>
      </w:pPr>
    </w:p>
    <w:p>
      <w:pPr>
        <w:sectPr>
          <w:pgSz w:w="11900" w:h="16900" w:orient="portrait"/>
          <w:cols w:equalWidth="0" w:num="2">
            <w:col w:w="6380" w:space="720"/>
            <w:col w:w="4320"/>
          </w:cols>
          <w:pgMar w:left="240" w:top="144" w:right="239" w:bottom="0" w:gutter="0" w:footer="0" w:header="0"/>
          <w:type w:val="continuous"/>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center"/>
              <w:ind w:left="548"/>
              <w:spacing w:after="0"/>
              <w:rPr>
                <w:sz w:val="20"/>
                <w:szCs w:val="20"/>
                <w:color w:val="auto"/>
              </w:rPr>
            </w:pPr>
            <w:r>
              <w:rPr>
                <w:rFonts w:ascii="Arial" w:cs="Arial" w:eastAsia="Arial" w:hAnsi="Arial"/>
                <w:sz w:val="14"/>
                <w:szCs w:val="14"/>
                <w:b w:val="1"/>
                <w:bCs w:val="1"/>
                <w:color w:val="auto"/>
              </w:rPr>
              <w:t>Twelve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580" w:type="dxa"/>
            <w:vAlign w:val="bottom"/>
            <w:vMerge w:val="continue"/>
          </w:tcPr>
          <w:p>
            <w:pPr>
              <w:spacing w:after="0"/>
              <w:rPr>
                <w:sz w:val="13"/>
                <w:szCs w:val="13"/>
                <w:color w:val="auto"/>
              </w:rPr>
            </w:pPr>
          </w:p>
        </w:tc>
        <w:tc>
          <w:tcPr>
            <w:tcW w:w="92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EPS</w:t>
            </w:r>
          </w:p>
        </w:tc>
        <w:tc>
          <w:tcPr>
            <w:tcW w:w="10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EPS</w:t>
            </w:r>
          </w:p>
        </w:tc>
        <w:tc>
          <w:tcPr>
            <w:tcW w:w="160" w:type="dxa"/>
            <w:vAlign w:val="bottom"/>
          </w:tcPr>
          <w:p>
            <w:pPr>
              <w:spacing w:after="0"/>
              <w:rPr>
                <w:sz w:val="13"/>
                <w:szCs w:val="13"/>
                <w:color w:val="auto"/>
              </w:rPr>
            </w:pPr>
          </w:p>
        </w:tc>
        <w:tc>
          <w:tcPr>
            <w:tcW w:w="92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47"/>
        </w:trPr>
        <w:tc>
          <w:tcPr>
            <w:tcW w:w="45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7"/>
        </w:trPr>
        <w:tc>
          <w:tcPr>
            <w:tcW w:w="45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$2,296</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4"/>
                <w:szCs w:val="24"/>
                <w:color w:val="auto"/>
              </w:rPr>
            </w:pPr>
          </w:p>
        </w:tc>
        <w:tc>
          <w:tcPr>
            <w:tcW w:w="10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$14,985</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$3.17</w:t>
            </w:r>
          </w:p>
        </w:tc>
        <w:tc>
          <w:tcPr>
            <w:tcW w:w="1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$8,695</w:t>
            </w:r>
          </w:p>
        </w:tc>
        <w:tc>
          <w:tcPr>
            <w:tcW w:w="5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$22,714</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$4.75</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i w:val="1"/>
                <w:iCs w:val="1"/>
                <w:color w:val="auto"/>
              </w:rPr>
              <w:t>552.5%</w:t>
            </w: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i w:val="1"/>
                <w:iCs w:val="1"/>
                <w:color w:val="auto"/>
              </w:rPr>
              <w:t>560.4%</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161.2%</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166.9%</w:t>
            </w:r>
          </w:p>
        </w:tc>
        <w:tc>
          <w:tcPr>
            <w:tcW w:w="0" w:type="dxa"/>
            <w:vAlign w:val="bottom"/>
          </w:tcPr>
          <w:p>
            <w:pPr>
              <w:spacing w:after="0"/>
              <w:rPr>
                <w:sz w:val="1"/>
                <w:szCs w:val="1"/>
                <w:color w:val="auto"/>
              </w:rPr>
            </w:pPr>
          </w:p>
        </w:tc>
      </w:tr>
      <w:tr>
        <w:trPr>
          <w:trHeight w:val="460"/>
        </w:trPr>
        <w:tc>
          <w:tcPr>
            <w:tcW w:w="4580" w:type="dxa"/>
            <w:vAlign w:val="bottom"/>
          </w:tcPr>
          <w:p>
            <w:pPr>
              <w:spacing w:after="0"/>
              <w:rPr>
                <w:sz w:val="20"/>
                <w:szCs w:val="20"/>
                <w:color w:val="auto"/>
              </w:rPr>
            </w:pPr>
            <w:r>
              <w:rPr>
                <w:rFonts w:ascii="Arial" w:cs="Arial" w:eastAsia="Arial" w:hAnsi="Arial"/>
                <w:sz w:val="14"/>
                <w:szCs w:val="14"/>
                <w:color w:val="auto"/>
              </w:rPr>
              <w:t>2017 tax reform</w:t>
            </w:r>
            <w:r>
              <w:rPr>
                <w:rFonts w:ascii="Arial" w:cs="Arial" w:eastAsia="Arial" w:hAnsi="Arial"/>
                <w:sz w:val="23"/>
                <w:szCs w:val="23"/>
                <w:color w:val="auto"/>
                <w:vertAlign w:val="superscript"/>
              </w:rPr>
              <w:t>(3)</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(12,679)</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(2.68)</w:t>
            </w:r>
          </w:p>
        </w:tc>
        <w:tc>
          <w:tcPr>
            <w:tcW w:w="1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(12,679)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4"/>
                <w:szCs w:val="14"/>
                <w:color w:val="auto"/>
              </w:rPr>
              <w:t>Gain on spectrum auction</w:t>
            </w:r>
            <w:r>
              <w:rPr>
                <w:rFonts w:ascii="Arial" w:cs="Arial" w:eastAsia="Arial" w:hAnsi="Arial"/>
                <w:sz w:val="23"/>
                <w:szCs w:val="23"/>
                <w:color w:val="auto"/>
                <w:vertAlign w:val="superscript"/>
              </w:rPr>
              <w:t>(4)</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4"/>
                <w:szCs w:val="14"/>
                <w:color w:val="auto"/>
              </w:rPr>
              <w:t>Income tax adjustments</w:t>
            </w:r>
            <w:r>
              <w:rPr>
                <w:rFonts w:ascii="Arial" w:cs="Arial" w:eastAsia="Arial" w:hAnsi="Arial"/>
                <w:sz w:val="23"/>
                <w:szCs w:val="23"/>
                <w:color w:val="auto"/>
                <w:vertAlign w:val="superscript"/>
              </w:rPr>
              <w:t>(5)</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4"/>
                <w:szCs w:val="14"/>
                <w:color w:val="auto"/>
              </w:rPr>
              <w:t>Gains on sales of businesses and investments</w:t>
            </w:r>
            <w:r>
              <w:rPr>
                <w:rFonts w:ascii="Arial" w:cs="Arial" w:eastAsia="Arial" w:hAnsi="Arial"/>
                <w:sz w:val="23"/>
                <w:szCs w:val="23"/>
                <w:color w:val="auto"/>
                <w:vertAlign w:val="superscript"/>
              </w:rPr>
              <w:t>(6)</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(67)</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(0.01)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4"/>
                <w:szCs w:val="14"/>
                <w:color w:val="auto"/>
              </w:rPr>
              <w:t>Legal settlement</w:t>
            </w:r>
            <w:r>
              <w:rPr>
                <w:rFonts w:ascii="Arial" w:cs="Arial" w:eastAsia="Arial" w:hAnsi="Arial"/>
                <w:sz w:val="23"/>
                <w:szCs w:val="23"/>
                <w:color w:val="auto"/>
                <w:vertAlign w:val="superscript"/>
              </w:rPr>
              <w:t>(7)</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157</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87"/>
        </w:trPr>
        <w:tc>
          <w:tcPr>
            <w:tcW w:w="4580" w:type="dxa"/>
            <w:vAlign w:val="bottom"/>
          </w:tcPr>
          <w:p>
            <w:pPr>
              <w:spacing w:after="0" w:line="187" w:lineRule="exact"/>
              <w:rPr>
                <w:sz w:val="20"/>
                <w:szCs w:val="20"/>
                <w:color w:val="auto"/>
              </w:rPr>
            </w:pPr>
            <w:r>
              <w:rPr>
                <w:rFonts w:ascii="Arial" w:cs="Arial" w:eastAsia="Arial" w:hAnsi="Arial"/>
                <w:sz w:val="13"/>
                <w:szCs w:val="13"/>
                <w:color w:val="auto"/>
              </w:rPr>
              <w:t>Income from agency agreement</w:t>
            </w:r>
            <w:r>
              <w:rPr>
                <w:rFonts w:ascii="Arial" w:cs="Arial" w:eastAsia="Arial" w:hAnsi="Arial"/>
                <w:sz w:val="21"/>
                <w:szCs w:val="21"/>
                <w:color w:val="auto"/>
                <w:vertAlign w:val="superscript"/>
              </w:rPr>
              <w:t>(8)</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$2,306</w:t>
            </w:r>
          </w:p>
        </w:tc>
        <w:tc>
          <w:tcPr>
            <w:tcW w:w="7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$0.49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$9,850</w:t>
            </w:r>
          </w:p>
        </w:tc>
        <w:tc>
          <w:tcPr>
            <w:tcW w:w="18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162"/>
        </w:trPr>
        <w:tc>
          <w:tcPr>
            <w:tcW w:w="4580" w:type="dxa"/>
            <w:vAlign w:val="bottom"/>
          </w:tcPr>
          <w:p>
            <w:pPr>
              <w:ind w:left="180"/>
              <w:spacing w:after="0"/>
              <w:rPr>
                <w:sz w:val="20"/>
                <w:szCs w:val="20"/>
                <w:color w:val="auto"/>
              </w:rPr>
            </w:pPr>
            <w:r>
              <w:rPr>
                <w:rFonts w:ascii="Arial" w:cs="Arial" w:eastAsia="Arial" w:hAnsi="Arial"/>
                <w:sz w:val="14"/>
                <w:szCs w:val="14"/>
                <w:b w:val="1"/>
                <w:bCs w:val="1"/>
                <w:color w:val="auto"/>
              </w:rPr>
              <w:t>adjustments)</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$2,153</w:t>
            </w:r>
          </w:p>
        </w:tc>
        <w:tc>
          <w:tcPr>
            <w:tcW w:w="580" w:type="dxa"/>
            <w:vAlign w:val="bottom"/>
          </w:tcPr>
          <w:p>
            <w:pPr>
              <w:jc w:val="right"/>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$8,485</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i w:val="1"/>
                <w:iCs w:val="1"/>
                <w:color w:val="auto"/>
              </w:rPr>
              <w:t>7.0%</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8.9%</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16.1%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60" w:hanging="252"/>
        <w:spacing w:after="0" w:line="258" w:lineRule="auto"/>
        <w:tabs>
          <w:tab w:leader="none" w:pos="253"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(income) expense items, net include interest expense, investment income (loss), equity in net income (losses) of investees, and other income (expense), net (as stated in our Statement of Income).</w:t>
      </w:r>
    </w:p>
    <w:p>
      <w:pPr>
        <w:spacing w:after="0" w:line="59" w:lineRule="exact"/>
        <w:rPr>
          <w:rFonts w:ascii="Arial" w:cs="Arial" w:eastAsia="Arial" w:hAnsi="Arial"/>
          <w:sz w:val="14"/>
          <w:szCs w:val="14"/>
          <w:color w:val="auto"/>
        </w:rPr>
      </w:pPr>
    </w:p>
    <w:p>
      <w:pPr>
        <w:ind w:left="240" w:hanging="232"/>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2017 year to date Adjusted EBITDA excludes $250 million of other operating and administrative expense related to a legal settlement.</w:t>
      </w:r>
    </w:p>
    <w:p>
      <w:pPr>
        <w:spacing w:after="0" w:line="82" w:lineRule="exact"/>
        <w:rPr>
          <w:rFonts w:ascii="Arial" w:cs="Arial" w:eastAsia="Arial" w:hAnsi="Arial"/>
          <w:sz w:val="14"/>
          <w:szCs w:val="14"/>
          <w:color w:val="auto"/>
        </w:rPr>
      </w:pPr>
    </w:p>
    <w:p>
      <w:pPr>
        <w:ind w:left="260" w:right="20" w:hanging="252"/>
        <w:spacing w:after="0" w:line="258" w:lineRule="auto"/>
        <w:tabs>
          <w:tab w:leader="none" w:pos="253" w:val="left"/>
        </w:tabs>
        <w:numPr>
          <w:ilvl w:val="0"/>
          <w:numId w:val="7"/>
        </w:numPr>
        <w:rPr>
          <w:rFonts w:ascii="Arial" w:cs="Arial" w:eastAsia="Arial" w:hAnsi="Arial"/>
          <w:sz w:val="14"/>
          <w:szCs w:val="14"/>
          <w:color w:val="auto"/>
        </w:rPr>
      </w:pPr>
      <w:r>
        <w:rPr>
          <w:rFonts w:ascii="Arial" w:cs="Arial" w:eastAsia="Arial" w:hAnsi="Arial"/>
          <w:sz w:val="14"/>
          <w:szCs w:val="14"/>
          <w:color w:val="auto"/>
        </w:rPr>
        <w:t>4th quarter 2017 net income attributable to Comcast Corporation includes $12.7 billion of net income tax benefits as a result of the enactment of the 2017 tax reform legislation, primarily due to a reduction of our net deferred tax liabilities.</w:t>
      </w:r>
    </w:p>
    <w:p>
      <w:pPr>
        <w:spacing w:after="0" w:line="59" w:lineRule="exact"/>
        <w:rPr>
          <w:rFonts w:ascii="Arial" w:cs="Arial" w:eastAsia="Arial" w:hAnsi="Arial"/>
          <w:sz w:val="14"/>
          <w:szCs w:val="14"/>
          <w:color w:val="auto"/>
        </w:rPr>
      </w:pPr>
    </w:p>
    <w:p>
      <w:pPr>
        <w:ind w:left="260" w:hanging="252"/>
        <w:spacing w:after="0" w:line="258" w:lineRule="auto"/>
        <w:tabs>
          <w:tab w:leader="none" w:pos="334"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2017 year to date net income attributable to Comcast Corporation includes $337 million of other operating gains, $209 million net of tax, recognized in connection with NBCUniversal’s relinquishment of certain spectrum rights in the FCC’s spectrum auction.</w:t>
      </w:r>
    </w:p>
    <w:p>
      <w:pPr>
        <w:spacing w:after="0" w:line="59" w:lineRule="exact"/>
        <w:rPr>
          <w:rFonts w:ascii="Arial" w:cs="Arial" w:eastAsia="Arial" w:hAnsi="Arial"/>
          <w:sz w:val="14"/>
          <w:szCs w:val="14"/>
          <w:color w:val="auto"/>
        </w:rPr>
      </w:pPr>
    </w:p>
    <w:p>
      <w:pPr>
        <w:ind w:left="260" w:hanging="252"/>
        <w:spacing w:after="0" w:line="258" w:lineRule="auto"/>
        <w:tabs>
          <w:tab w:leader="none" w:pos="374"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2017 year to date net income attributable to Comcast Corporation includes $68 million of net benefits for income tax adjustments related to an internal legal entity reorganization and the impact of certain state tax law changes.</w:t>
      </w:r>
    </w:p>
    <w:p>
      <w:pPr>
        <w:spacing w:after="0" w:line="59" w:lineRule="exact"/>
        <w:rPr>
          <w:rFonts w:ascii="Arial" w:cs="Arial" w:eastAsia="Arial" w:hAnsi="Arial"/>
          <w:sz w:val="14"/>
          <w:szCs w:val="14"/>
          <w:color w:val="auto"/>
        </w:rPr>
      </w:pPr>
    </w:p>
    <w:p>
      <w:pPr>
        <w:jc w:val="both"/>
        <w:ind w:left="260" w:hanging="252"/>
        <w:spacing w:after="0" w:line="250" w:lineRule="auto"/>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2017 year to date net income attributable to Comcast Corporation includes $105 million of other operating gains, $65 million net of tax, resulting from the sale of a business. 2016 year to date net income attributable to Comcast Corporation includes $108 million of other income, $67 million net of tax, resulting from a gain on the sale of our investment in The Weather Channel’s product and technology business.</w:t>
      </w:r>
    </w:p>
    <w:p>
      <w:pPr>
        <w:spacing w:after="0" w:line="64" w:lineRule="exact"/>
        <w:rPr>
          <w:rFonts w:ascii="Arial" w:cs="Arial" w:eastAsia="Arial" w:hAnsi="Arial"/>
          <w:sz w:val="14"/>
          <w:szCs w:val="14"/>
          <w:color w:val="auto"/>
        </w:rPr>
      </w:pPr>
    </w:p>
    <w:p>
      <w:pPr>
        <w:ind w:left="260" w:right="20" w:hanging="252"/>
        <w:spacing w:after="0" w:line="258" w:lineRule="auto"/>
        <w:tabs>
          <w:tab w:leader="none" w:pos="253"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2017 year to date net income attributable to Comcast Corporation includes $250 million of other operating and administrative expense, $157 million net of tax, related to a legal settlement.</w:t>
      </w:r>
    </w:p>
    <w:p>
      <w:pPr>
        <w:spacing w:after="0" w:line="59" w:lineRule="exact"/>
        <w:rPr>
          <w:rFonts w:ascii="Arial" w:cs="Arial" w:eastAsia="Arial" w:hAnsi="Arial"/>
          <w:sz w:val="14"/>
          <w:szCs w:val="14"/>
          <w:color w:val="auto"/>
        </w:rPr>
      </w:pPr>
    </w:p>
    <w:p>
      <w:pPr>
        <w:ind w:left="260" w:hanging="252"/>
        <w:spacing w:after="0" w:line="258" w:lineRule="auto"/>
        <w:tabs>
          <w:tab w:leader="none" w:pos="266" w:val="left"/>
        </w:tabs>
        <w:numPr>
          <w:ilvl w:val="0"/>
          <w:numId w:val="7"/>
        </w:numPr>
        <w:rPr>
          <w:rFonts w:ascii="Arial" w:cs="Arial" w:eastAsia="Arial" w:hAnsi="Arial"/>
          <w:sz w:val="14"/>
          <w:szCs w:val="14"/>
          <w:color w:val="auto"/>
        </w:rPr>
      </w:pPr>
      <w:r>
        <w:rPr>
          <w:rFonts w:ascii="Arial" w:cs="Arial" w:eastAsia="Arial" w:hAnsi="Arial"/>
          <w:sz w:val="14"/>
          <w:szCs w:val="14"/>
          <w:color w:val="auto"/>
        </w:rPr>
        <w:t>4th quarter 2016 net income attributable to Comcast Corporation includes $225 million of other income, $143 million net of tax, recognized in connection with the settlement of amounts owed to us under an agency agreement that provided for, among other things, the sale of our cable services by a third party.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93980</wp:posOffset>
            </wp:positionV>
            <wp:extent cx="96075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81" w:lineRule="exact"/>
        <w:rPr>
          <w:sz w:val="20"/>
          <w:szCs w:val="20"/>
          <w:color w:val="auto"/>
        </w:rPr>
      </w:pPr>
    </w:p>
    <w:p>
      <w:pPr>
        <w:ind w:left="80" w:right="4400"/>
        <w:spacing w:after="0" w:line="271" w:lineRule="auto"/>
        <w:rPr>
          <w:sz w:val="20"/>
          <w:szCs w:val="20"/>
          <w:color w:val="auto"/>
        </w:rPr>
      </w:pPr>
      <w:r>
        <w:rPr>
          <w:rFonts w:ascii="Arial" w:cs="Arial" w:eastAsia="Arial" w:hAnsi="Arial"/>
          <w:sz w:val="18"/>
          <w:szCs w:val="18"/>
          <w:b w:val="1"/>
          <w:bCs w:val="1"/>
          <w:color w:val="C9C9C9"/>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1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90"/>
        </w:trPr>
        <w:tc>
          <w:tcPr>
            <w:tcW w:w="7320" w:type="dxa"/>
            <w:vAlign w:val="bottom"/>
          </w:tcPr>
          <w:p>
            <w:pPr>
              <w:spacing w:after="0"/>
              <w:rPr>
                <w:sz w:val="16"/>
                <w:szCs w:val="16"/>
                <w:color w:val="auto"/>
              </w:rPr>
            </w:pPr>
          </w:p>
        </w:tc>
        <w:tc>
          <w:tcPr>
            <w:tcW w:w="21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242"/>
        </w:trPr>
        <w:tc>
          <w:tcPr>
            <w:tcW w:w="732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11"/>
        </w:trPr>
        <w:tc>
          <w:tcPr>
            <w:tcW w:w="73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$5,442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$19,825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$21,403</w:t>
            </w: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jc w:val="right"/>
              <w:spacing w:after="0"/>
              <w:rPr>
                <w:sz w:val="20"/>
                <w:szCs w:val="20"/>
                <w:color w:val="auto"/>
              </w:rPr>
            </w:pPr>
            <w:r>
              <w:rPr>
                <w:rFonts w:ascii="Arial" w:cs="Arial" w:eastAsia="Arial" w:hAnsi="Arial"/>
                <w:sz w:val="14"/>
                <w:szCs w:val="14"/>
                <w:color w:val="auto"/>
              </w:rPr>
              <w:t>(2,573)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(2,711)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(9,135)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(9,550)</w:t>
            </w: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(1,747)</w:t>
            </w: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 subsidiary preferred stock</w:t>
            </w: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(252)</w:t>
            </w: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4"/>
                <w:szCs w:val="14"/>
                <w:color w:val="auto"/>
              </w:rPr>
              <w:t>Nonoperating items</w:t>
            </w:r>
            <w:r>
              <w:rPr>
                <w:rFonts w:ascii="Arial" w:cs="Arial" w:eastAsia="Arial" w:hAnsi="Arial"/>
                <w:sz w:val="23"/>
                <w:szCs w:val="23"/>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237</w:t>
            </w: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3"/>
                <w:szCs w:val="13"/>
                <w:color w:val="auto"/>
              </w:rPr>
              <w:t>Impact of share-based compensation accounting change</w:t>
            </w:r>
            <w:r>
              <w:rPr>
                <w:rFonts w:ascii="Arial" w:cs="Arial" w:eastAsia="Arial" w:hAnsi="Arial"/>
                <w:sz w:val="21"/>
                <w:szCs w:val="21"/>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37"/>
        </w:trPr>
        <w:tc>
          <w:tcPr>
            <w:tcW w:w="73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r>
    </w:tbl>
    <w:p>
      <w:pPr>
        <w:sectPr>
          <w:pgSz w:w="11900" w:h="16900" w:orient="portrait"/>
          <w:cols w:equalWidth="0" w:num="1">
            <w:col w:w="11420"/>
          </w:cols>
          <w:pgMar w:left="240" w:top="144" w:right="239" w:bottom="0" w:gutter="0" w:footer="0" w:header="0"/>
          <w:type w:val="continuous"/>
        </w:sectPr>
      </w:pPr>
    </w:p>
    <w:bookmarkStart w:id="10" w:name="page11"/>
    <w:bookmarkEnd w:id="1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20"/>
                <w:szCs w:val="20"/>
                <w:color w:val="auto"/>
              </w:rPr>
            </w:pPr>
            <w:r>
              <w:rPr>
                <w:rFonts w:ascii="Arial" w:cs="Arial" w:eastAsia="Arial" w:hAnsi="Arial"/>
                <w:sz w:val="14"/>
                <w:szCs w:val="14"/>
                <w:color w:val="auto"/>
              </w:rPr>
              <w:t>Free cash flow (including Economic Stimulus Packages)</w:t>
            </w:r>
          </w:p>
        </w:tc>
        <w:tc>
          <w:tcPr>
            <w:tcW w:w="920" w:type="dxa"/>
            <w:vAlign w:val="bottom"/>
          </w:tcPr>
          <w:p>
            <w:pPr>
              <w:jc w:val="right"/>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2,258</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8,377</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10,056</w:t>
            </w:r>
          </w:p>
        </w:tc>
        <w:tc>
          <w:tcPr>
            <w:tcW w:w="0" w:type="dxa"/>
            <w:vAlign w:val="bottom"/>
          </w:tcPr>
          <w:p>
            <w:pPr>
              <w:spacing w:after="0"/>
              <w:rPr>
                <w:sz w:val="1"/>
                <w:szCs w:val="1"/>
                <w:color w:val="auto"/>
              </w:rPr>
            </w:pP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3"/>
                <w:szCs w:val="13"/>
                <w:color w:val="auto"/>
              </w:rPr>
              <w:t>Economic Stimulus Packages</w:t>
            </w:r>
            <w:r>
              <w:rPr>
                <w:rFonts w:ascii="Arial" w:cs="Arial" w:eastAsia="Arial" w:hAnsi="Arial"/>
                <w:sz w:val="21"/>
                <w:szCs w:val="21"/>
                <w:color w:val="auto"/>
                <w:vertAlign w:val="superscript"/>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2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$2,607</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$2,048</w:t>
            </w:r>
          </w:p>
        </w:tc>
        <w:tc>
          <w:tcPr>
            <w:tcW w:w="1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$8,203</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$9,621</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80"/>
              <w:spacing w:after="0"/>
              <w:rPr>
                <w:sz w:val="20"/>
                <w:szCs w:val="20"/>
                <w:color w:val="auto"/>
              </w:rPr>
            </w:pPr>
            <w:r>
              <w:rPr>
                <w:rFonts w:ascii="Arial" w:cs="Arial" w:eastAsia="Arial" w:hAnsi="Arial"/>
                <w:sz w:val="18"/>
                <w:szCs w:val="18"/>
                <w:b w:val="1"/>
                <w:bCs w:val="1"/>
                <w:color w:val="C9C9C9"/>
              </w:rPr>
              <w:t>Alternate Presentation of Free Cash Flow (Unaudited)</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320" w:type="dxa"/>
            <w:vAlign w:val="bottom"/>
            <w:tcBorders>
              <w:bottom w:val="single" w:sz="8" w:color="0050B9"/>
            </w:tcBorders>
          </w:tcPr>
          <w:p>
            <w:pPr>
              <w:spacing w:after="0"/>
              <w:rPr>
                <w:sz w:val="2"/>
                <w:szCs w:val="2"/>
                <w:color w:val="auto"/>
              </w:rPr>
            </w:pPr>
          </w:p>
        </w:tc>
        <w:tc>
          <w:tcPr>
            <w:tcW w:w="2180" w:type="dxa"/>
            <w:vAlign w:val="bottom"/>
            <w:tcBorders>
              <w:bottom w:val="single" w:sz="8" w:color="0050B9"/>
            </w:tcBorders>
            <w:gridSpan w:val="6"/>
          </w:tcPr>
          <w:p>
            <w:pPr>
              <w:spacing w:after="0"/>
              <w:rPr>
                <w:sz w:val="2"/>
                <w:szCs w:val="2"/>
                <w:color w:val="auto"/>
              </w:rPr>
            </w:pPr>
          </w:p>
        </w:tc>
        <w:tc>
          <w:tcPr>
            <w:tcW w:w="1920" w:type="dxa"/>
            <w:vAlign w:val="bottom"/>
            <w:tcBorders>
              <w:bottom w:val="single" w:sz="8" w:color="0050B9"/>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16"/>
                <w:szCs w:val="16"/>
                <w:color w:val="auto"/>
              </w:rPr>
            </w:pPr>
          </w:p>
        </w:tc>
        <w:tc>
          <w:tcPr>
            <w:tcW w:w="20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92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16"/>
                <w:szCs w:val="16"/>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2"/>
        </w:trPr>
        <w:tc>
          <w:tcPr>
            <w:tcW w:w="732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1"/>
        </w:trPr>
        <w:tc>
          <w:tcPr>
            <w:tcW w:w="73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Pr>
          <w:p>
            <w:pPr>
              <w:jc w:val="right"/>
              <w:spacing w:after="0"/>
              <w:rPr>
                <w:sz w:val="20"/>
                <w:szCs w:val="20"/>
                <w:color w:val="auto"/>
              </w:rPr>
            </w:pPr>
            <w:r>
              <w:rPr>
                <w:rFonts w:ascii="Arial" w:cs="Arial" w:eastAsia="Arial" w:hAnsi="Arial"/>
                <w:sz w:val="14"/>
                <w:szCs w:val="14"/>
                <w:color w:val="auto"/>
              </w:rPr>
              <w:t>$6,760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$6,751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$26,417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$28,062</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jc w:val="right"/>
              <w:spacing w:after="0"/>
              <w:rPr>
                <w:sz w:val="20"/>
                <w:szCs w:val="20"/>
                <w:color w:val="auto"/>
              </w:rPr>
            </w:pPr>
            <w:r>
              <w:rPr>
                <w:rFonts w:ascii="Arial" w:cs="Arial" w:eastAsia="Arial" w:hAnsi="Arial"/>
                <w:sz w:val="14"/>
                <w:szCs w:val="14"/>
                <w:color w:val="auto"/>
              </w:rPr>
              <w:t>(2,573)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(2,711)</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(9,135)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(9,550)</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(507)</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(1,747)</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Cash interest 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(543)</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(2,565)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(2,820)</w:t>
            </w: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4"/>
                <w:szCs w:val="14"/>
                <w:color w:val="auto"/>
              </w:rPr>
              <w:t>Cash taxes on operating items (including Economic Stimulus Packages)</w:t>
            </w:r>
            <w:r>
              <w:rPr>
                <w:rFonts w:ascii="Arial" w:cs="Arial" w:eastAsia="Arial" w:hAnsi="Arial"/>
                <w:sz w:val="23"/>
                <w:szCs w:val="23"/>
                <w:color w:val="auto"/>
                <w:vertAlign w:val="superscript"/>
              </w:rPr>
              <w:t>(2,3)</w:t>
            </w:r>
          </w:p>
        </w:tc>
        <w:tc>
          <w:tcPr>
            <w:tcW w:w="92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(794)</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(3,597)</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(4,070)</w:t>
            </w:r>
          </w:p>
        </w:tc>
        <w:tc>
          <w:tcPr>
            <w:tcW w:w="0" w:type="dxa"/>
            <w:vAlign w:val="bottom"/>
          </w:tcPr>
          <w:p>
            <w:pPr>
              <w:spacing w:after="0"/>
              <w:rPr>
                <w:sz w:val="1"/>
                <w:szCs w:val="1"/>
                <w:color w:val="auto"/>
              </w:rPr>
            </w:pPr>
          </w:p>
        </w:tc>
      </w:tr>
      <w:tr>
        <w:trPr>
          <w:trHeight w:val="214"/>
        </w:trPr>
        <w:tc>
          <w:tcPr>
            <w:tcW w:w="7320" w:type="dxa"/>
            <w:vAlign w:val="bottom"/>
          </w:tcPr>
          <w:p>
            <w:pPr>
              <w:spacing w:after="0" w:line="214" w:lineRule="exact"/>
              <w:rPr>
                <w:sz w:val="20"/>
                <w:szCs w:val="20"/>
                <w:color w:val="auto"/>
              </w:rPr>
            </w:pPr>
            <w:r>
              <w:rPr>
                <w:rFonts w:ascii="Arial" w:cs="Arial" w:eastAsia="Arial" w:hAnsi="Arial"/>
                <w:sz w:val="14"/>
                <w:szCs w:val="14"/>
                <w:color w:val="auto"/>
              </w:rPr>
              <w:t>Changes in operating assets and liabilities</w:t>
            </w:r>
            <w:r>
              <w:rPr>
                <w:rFonts w:ascii="Arial" w:cs="Arial" w:eastAsia="Arial" w:hAnsi="Arial"/>
                <w:sz w:val="23"/>
                <w:szCs w:val="23"/>
                <w:color w:val="auto"/>
                <w:vertAlign w:val="superscript"/>
              </w:rPr>
              <w:t>(2,4)</w:t>
            </w:r>
          </w:p>
        </w:tc>
        <w:tc>
          <w:tcPr>
            <w:tcW w:w="92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(510)</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92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751</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 subsidiary preferred stock</w:t>
            </w: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Other</w:t>
            </w:r>
          </w:p>
        </w:tc>
        <w:tc>
          <w:tcPr>
            <w:tcW w:w="92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88"/>
        </w:trPr>
        <w:tc>
          <w:tcPr>
            <w:tcW w:w="7320" w:type="dxa"/>
            <w:vAlign w:val="bottom"/>
          </w:tcPr>
          <w:p>
            <w:pPr>
              <w:spacing w:after="0" w:line="188" w:lineRule="exact"/>
              <w:rPr>
                <w:sz w:val="20"/>
                <w:szCs w:val="20"/>
                <w:color w:val="auto"/>
              </w:rPr>
            </w:pPr>
            <w:r>
              <w:rPr>
                <w:rFonts w:ascii="Arial" w:cs="Arial" w:eastAsia="Arial" w:hAnsi="Arial"/>
                <w:sz w:val="13"/>
                <w:szCs w:val="13"/>
                <w:color w:val="auto"/>
              </w:rPr>
              <w:t>Impact of share-based compensation accounting change</w:t>
            </w:r>
            <w:r>
              <w:rPr>
                <w:rFonts w:ascii="Arial" w:cs="Arial" w:eastAsia="Arial" w:hAnsi="Arial"/>
                <w:sz w:val="21"/>
                <w:szCs w:val="21"/>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7320" w:type="dxa"/>
            <w:vAlign w:val="bottom"/>
          </w:tcPr>
          <w:p>
            <w:pPr>
              <w:spacing w:after="0"/>
              <w:rPr>
                <w:sz w:val="20"/>
                <w:szCs w:val="20"/>
                <w:color w:val="auto"/>
              </w:rPr>
            </w:pPr>
            <w:r>
              <w:rPr>
                <w:rFonts w:ascii="Arial" w:cs="Arial" w:eastAsia="Arial" w:hAnsi="Arial"/>
                <w:sz w:val="14"/>
                <w:szCs w:val="14"/>
                <w:color w:val="auto"/>
              </w:rPr>
              <w:t>Free cash flow (including Economic Stimulus Packages)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2,258</w:t>
            </w:r>
          </w:p>
        </w:tc>
        <w:tc>
          <w:tcPr>
            <w:tcW w:w="1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8,377</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10,056</w:t>
            </w:r>
          </w:p>
        </w:tc>
        <w:tc>
          <w:tcPr>
            <w:tcW w:w="0" w:type="dxa"/>
            <w:vAlign w:val="bottom"/>
          </w:tcPr>
          <w:p>
            <w:pPr>
              <w:spacing w:after="0"/>
              <w:rPr>
                <w:sz w:val="1"/>
                <w:szCs w:val="1"/>
                <w:color w:val="auto"/>
              </w:rPr>
            </w:pPr>
          </w:p>
        </w:tc>
      </w:tr>
      <w:tr>
        <w:trPr>
          <w:trHeight w:val="188"/>
        </w:trPr>
        <w:tc>
          <w:tcPr>
            <w:tcW w:w="7320" w:type="dxa"/>
            <w:vAlign w:val="bottom"/>
          </w:tcPr>
          <w:p>
            <w:pPr>
              <w:spacing w:after="0" w:line="188" w:lineRule="exact"/>
              <w:rPr>
                <w:sz w:val="20"/>
                <w:szCs w:val="20"/>
                <w:color w:val="auto"/>
              </w:rPr>
            </w:pPr>
            <w:r>
              <w:rPr>
                <w:rFonts w:ascii="Arial" w:cs="Arial" w:eastAsia="Arial" w:hAnsi="Arial"/>
                <w:sz w:val="13"/>
                <w:szCs w:val="13"/>
                <w:color w:val="auto"/>
              </w:rPr>
              <w:t>Economic Stimulus Packages</w:t>
            </w:r>
            <w:r>
              <w:rPr>
                <w:rFonts w:ascii="Arial" w:cs="Arial" w:eastAsia="Arial" w:hAnsi="Arial"/>
                <w:sz w:val="21"/>
                <w:szCs w:val="21"/>
                <w:color w:val="auto"/>
                <w:vertAlign w:val="superscript"/>
              </w:rPr>
              <w:t>(3)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2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$2,607</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$2,048</w:t>
            </w:r>
          </w:p>
        </w:tc>
        <w:tc>
          <w:tcPr>
            <w:tcW w:w="1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$8,203</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$9,621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260" w:hanging="252"/>
        <w:spacing w:after="0" w:line="244" w:lineRule="auto"/>
        <w:tabs>
          <w:tab w:leader="none" w:pos="246"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any payments and receipts related to certain nonoperating items, net of estimated tax effects (such as income taxes on investment sales and payments related to income tax and litigation contingencies of acquired companies). Our definition of free cash flow specifically excludes any impact from the Economic Stimulus Packages and these amounts are presented separately. Net cash provided by operating activities in the fourth quarter 2017 includes a $250 million payment related to a legal settlement. Net cash provided by operating activities for 2016 includes a $146 million payment for the settlement of a tax receivable agreement related to the DreamWorks acquisition. For free cash flow purposes, we consider these payments to be nonrecurring in nature and therefore, we excluded these amounts from free cash flow as nonoperating items.</w:t>
      </w:r>
    </w:p>
    <w:p>
      <w:pPr>
        <w:spacing w:after="0" w:line="84" w:lineRule="exact"/>
        <w:rPr>
          <w:rFonts w:ascii="Arial" w:cs="Arial" w:eastAsia="Arial" w:hAnsi="Arial"/>
          <w:sz w:val="14"/>
          <w:szCs w:val="14"/>
          <w:color w:val="auto"/>
        </w:rPr>
      </w:pPr>
    </w:p>
    <w:p>
      <w:pPr>
        <w:jc w:val="both"/>
        <w:ind w:left="260" w:hanging="252"/>
        <w:spacing w:after="0" w:line="244" w:lineRule="auto"/>
        <w:tabs>
          <w:tab w:leader="none" w:pos="24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first quarter 2017, we adopted new accounting guidance related to share-based compensation. The guidance requires excess tax benefits under share-based compensation arrangements to be classified as an operating activity rather than a financing activity as required under prior guidance. In addition, the new guidance requires when an employer withholds shares upon exercise of options or the vesting of restricted stock for the purpose of meeting withholding tax requirements, that the cash paid for withholding taxes be classified as a financing activity, which we present in repurchases of common stock under repurchase program and employee plans. We previously recorded cash paid for withholding taxes as an operating activity in changes in operating assets and liabilities. These changes will prospectively affect our calculation of Free Cash Flow. While we have retrospectively adopted these changes in our Statement of Cash Flows and the components of Free Cash Flow, we have not adjusted Total Free Cash Flow for periods prior to January 1, 2017. The table below summarizes the impact to the components of Free Cash Flow for the share-based compensation accounting change.</w:t>
      </w:r>
    </w:p>
    <w:p>
      <w:pPr>
        <w:spacing w:after="0" w:line="295"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Three Months Ended</w:t>
            </w:r>
          </w:p>
        </w:tc>
        <w:tc>
          <w:tcPr>
            <w:tcW w:w="380" w:type="dxa"/>
            <w:vAlign w:val="bottom"/>
            <w:tcBorders>
              <w:right w:val="single" w:sz="8" w:color="auto"/>
            </w:tcBorders>
          </w:tcPr>
          <w:p>
            <w:pPr>
              <w:spacing w:after="0"/>
              <w:rPr>
                <w:sz w:val="14"/>
                <w:szCs w:val="14"/>
                <w:color w:val="auto"/>
              </w:rPr>
            </w:pPr>
          </w:p>
        </w:tc>
        <w:tc>
          <w:tcPr>
            <w:tcW w:w="2080" w:type="dxa"/>
            <w:vAlign w:val="bottom"/>
            <w:gridSpan w:val="3"/>
          </w:tcPr>
          <w:p>
            <w:pPr>
              <w:jc w:val="center"/>
              <w:ind w:left="588"/>
              <w:spacing w:after="0"/>
              <w:rPr>
                <w:sz w:val="20"/>
                <w:szCs w:val="20"/>
                <w:color w:val="auto"/>
              </w:rPr>
            </w:pPr>
            <w:r>
              <w:rPr>
                <w:rFonts w:ascii="Arial" w:cs="Arial" w:eastAsia="Arial" w:hAnsi="Arial"/>
                <w:sz w:val="14"/>
                <w:szCs w:val="14"/>
                <w:color w:val="auto"/>
              </w:rPr>
              <w:t>Twelve Months Ended</w:t>
            </w:r>
          </w:p>
        </w:tc>
      </w:tr>
      <w:tr>
        <w:trPr>
          <w:trHeight w:val="172"/>
        </w:trPr>
        <w:tc>
          <w:tcPr>
            <w:tcW w:w="698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December 31,</w:t>
            </w:r>
          </w:p>
        </w:tc>
        <w:tc>
          <w:tcPr>
            <w:tcW w:w="3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rPr>
              <w:t>December 31,</w:t>
            </w:r>
          </w:p>
        </w:tc>
      </w:tr>
      <w:tr>
        <w:trPr>
          <w:trHeight w:val="242"/>
        </w:trPr>
        <w:tc>
          <w:tcPr>
            <w:tcW w:w="6980" w:type="dxa"/>
            <w:vAlign w:val="bottom"/>
          </w:tcPr>
          <w:p>
            <w:pPr>
              <w:spacing w:after="0"/>
              <w:rPr>
                <w:sz w:val="21"/>
                <w:szCs w:val="21"/>
                <w:color w:val="auto"/>
              </w:rPr>
            </w:pPr>
          </w:p>
        </w:tc>
        <w:tc>
          <w:tcPr>
            <w:tcW w:w="16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2016</w:t>
            </w:r>
          </w:p>
        </w:tc>
        <w:tc>
          <w:tcPr>
            <w:tcW w:w="3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21"/>
                <w:szCs w:val="21"/>
                <w:color w:val="auto"/>
              </w:rPr>
            </w:pPr>
          </w:p>
        </w:tc>
      </w:tr>
      <w:tr>
        <w:trPr>
          <w:trHeight w:val="171"/>
        </w:trPr>
        <w:tc>
          <w:tcPr>
            <w:tcW w:w="6980" w:type="dxa"/>
            <w:vAlign w:val="bottom"/>
          </w:tcPr>
          <w:p>
            <w:pPr>
              <w:ind w:left="400"/>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1620" w:type="dxa"/>
            <w:vAlign w:val="bottom"/>
          </w:tcPr>
          <w:p>
            <w:pPr>
              <w:jc w:val="right"/>
              <w:spacing w:after="0"/>
              <w:rPr>
                <w:sz w:val="20"/>
                <w:szCs w:val="20"/>
                <w:color w:val="auto"/>
              </w:rPr>
            </w:pPr>
            <w:r>
              <w:rPr>
                <w:rFonts w:ascii="Arial" w:cs="Arial" w:eastAsia="Arial" w:hAnsi="Arial"/>
                <w:sz w:val="14"/>
                <w:szCs w:val="14"/>
                <w:color w:val="auto"/>
              </w:rPr>
              <w:t>$40</w:t>
            </w:r>
          </w:p>
        </w:tc>
        <w:tc>
          <w:tcPr>
            <w:tcW w:w="380" w:type="dxa"/>
            <w:vAlign w:val="bottom"/>
            <w:tcBorders>
              <w:right w:val="single" w:sz="8" w:color="auto"/>
            </w:tcBorders>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$233</w:t>
            </w:r>
          </w:p>
        </w:tc>
        <w:tc>
          <w:tcPr>
            <w:tcW w:w="300" w:type="dxa"/>
            <w:vAlign w:val="bottom"/>
          </w:tcPr>
          <w:p>
            <w:pPr>
              <w:spacing w:after="0"/>
              <w:rPr>
                <w:sz w:val="14"/>
                <w:szCs w:val="14"/>
                <w:color w:val="auto"/>
              </w:rPr>
            </w:pPr>
          </w:p>
        </w:tc>
      </w:tr>
      <w:tr>
        <w:trPr>
          <w:trHeight w:val="188"/>
        </w:trPr>
        <w:tc>
          <w:tcPr>
            <w:tcW w:w="6980" w:type="dxa"/>
            <w:vAlign w:val="bottom"/>
          </w:tcPr>
          <w:p>
            <w:pPr>
              <w:ind w:left="400"/>
              <w:spacing w:after="0"/>
              <w:rPr>
                <w:sz w:val="20"/>
                <w:szCs w:val="20"/>
                <w:color w:val="auto"/>
              </w:rPr>
            </w:pPr>
            <w:r>
              <w:rPr>
                <w:rFonts w:ascii="Arial" w:cs="Arial" w:eastAsia="Arial" w:hAnsi="Arial"/>
                <w:sz w:val="14"/>
                <w:szCs w:val="14"/>
                <w:color w:val="auto"/>
              </w:rPr>
              <w:t>Changes in operating assets and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38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300" w:type="dxa"/>
            <w:vAlign w:val="bottom"/>
          </w:tcPr>
          <w:p>
            <w:pPr>
              <w:spacing w:after="0"/>
              <w:rPr>
                <w:sz w:val="16"/>
                <w:szCs w:val="16"/>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4"/>
                <w:szCs w:val="14"/>
                <w:color w:val="auto"/>
              </w:rPr>
              <w:t>Impact of share-based compensation accounting change</w:t>
            </w:r>
          </w:p>
        </w:tc>
        <w:tc>
          <w:tcPr>
            <w:tcW w:w="1620" w:type="dxa"/>
            <w:vAlign w:val="bottom"/>
          </w:tcPr>
          <w:p>
            <w:pPr>
              <w:jc w:val="right"/>
              <w:spacing w:after="0"/>
              <w:rPr>
                <w:sz w:val="20"/>
                <w:szCs w:val="20"/>
                <w:color w:val="auto"/>
              </w:rPr>
            </w:pPr>
            <w:r>
              <w:rPr>
                <w:rFonts w:ascii="Arial" w:cs="Arial" w:eastAsia="Arial" w:hAnsi="Arial"/>
                <w:sz w:val="14"/>
                <w:szCs w:val="14"/>
                <w:color w:val="auto"/>
              </w:rPr>
              <w:t>$93</w:t>
            </w:r>
          </w:p>
        </w:tc>
        <w:tc>
          <w:tcPr>
            <w:tcW w:w="380" w:type="dxa"/>
            <w:vAlign w:val="bottom"/>
            <w:tcBorders>
              <w:right w:val="single" w:sz="8" w:color="auto"/>
            </w:tcBorders>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$585</w:t>
            </w:r>
          </w:p>
        </w:tc>
        <w:tc>
          <w:tcPr>
            <w:tcW w:w="3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260" w:hanging="252"/>
        <w:spacing w:after="0" w:line="250"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taxes on operating items (including Economic Stimulus Packages) has been adjusted to exclude the impact of nonoperating items, such as for cash taxes paid related to certain investing and financing transactions. Our definition of free cash flow specifically excludes any impact from the Economic Stimulus Packages and these amounts are presented separately.</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21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920" w:type="dxa"/>
            <w:vAlign w:val="bottom"/>
            <w:gridSpan w:val="3"/>
          </w:tcPr>
          <w:p>
            <w:pPr>
              <w:jc w:val="right"/>
              <w:ind w:right="18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21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4"/>
                <w:szCs w:val="14"/>
                <w:color w:val="auto"/>
              </w:rPr>
            </w:pPr>
          </w:p>
        </w:tc>
        <w:tc>
          <w:tcPr>
            <w:tcW w:w="1920" w:type="dxa"/>
            <w:vAlign w:val="bottom"/>
            <w:gridSpan w:val="3"/>
          </w:tcPr>
          <w:p>
            <w:pPr>
              <w:jc w:val="right"/>
              <w:ind w:right="42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42"/>
        </w:trPr>
        <w:tc>
          <w:tcPr>
            <w:tcW w:w="7060" w:type="dxa"/>
            <w:vAlign w:val="bottom"/>
            <w:vMerge w:val="restart"/>
          </w:tcPr>
          <w:p>
            <w:pPr>
              <w:spacing w:after="0"/>
              <w:rPr>
                <w:sz w:val="20"/>
                <w:szCs w:val="20"/>
                <w:color w:val="auto"/>
              </w:rPr>
            </w:pPr>
            <w:r>
              <w:rPr>
                <w:rFonts w:ascii="Arial" w:cs="Arial" w:eastAsia="Arial" w:hAnsi="Arial"/>
                <w:sz w:val="14"/>
                <w:szCs w:val="14"/>
                <w:color w:val="auto"/>
              </w:rPr>
              <w:t>Payments of income taxes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71"/>
        </w:trPr>
        <w:tc>
          <w:tcPr>
            <w:tcW w:w="706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($642)</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($3,693)</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($4,057)</w:t>
            </w:r>
          </w:p>
        </w:tc>
        <w:tc>
          <w:tcPr>
            <w:tcW w:w="0" w:type="dxa"/>
            <w:vAlign w:val="bottom"/>
          </w:tcPr>
          <w:p>
            <w:pPr>
              <w:spacing w:after="0"/>
              <w:rPr>
                <w:sz w:val="1"/>
                <w:szCs w:val="1"/>
                <w:color w:val="auto"/>
              </w:rPr>
            </w:pPr>
          </w:p>
        </w:tc>
      </w:tr>
      <w:tr>
        <w:trPr>
          <w:trHeight w:val="188"/>
        </w:trPr>
        <w:tc>
          <w:tcPr>
            <w:tcW w:w="7060" w:type="dxa"/>
            <w:vAlign w:val="bottom"/>
          </w:tcPr>
          <w:p>
            <w:pPr>
              <w:ind w:left="460"/>
              <w:spacing w:after="0"/>
              <w:rPr>
                <w:sz w:val="20"/>
                <w:szCs w:val="20"/>
                <w:color w:val="auto"/>
              </w:rPr>
            </w:pPr>
            <w:r>
              <w:rPr>
                <w:rFonts w:ascii="Arial" w:cs="Arial" w:eastAsia="Arial" w:hAnsi="Arial"/>
                <w:sz w:val="14"/>
                <w:szCs w:val="14"/>
                <w:color w:val="auto"/>
              </w:rPr>
              <w:t>Nonoperating items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($3,597)</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260" w:hanging="252"/>
        <w:spacing w:after="0" w:line="245" w:lineRule="auto"/>
        <w:tabs>
          <w:tab w:leader="none" w:pos="297"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cash provided by operating activities for 2016 includes a $146 million decrease in the third quarter resulting from a payment for the settlement of a tax receivable agreement immediately after the DreamWorks acquisition. Net cash provided by operating activities in the fourth quarter 2017 includes a $250 million payment related to a legal settlement. For free cash flow purposes, we consider these settlement payments to be nonrecurring in nature and therefore we excluded these amounts from free cash flow. Because these amounts have no impact on free cash flow, they are not included in the changes in operating assets and liabilities for this presentation. 2017 year to date changes in operating assets and liabilities for this presentation also excludes an increase of $250 million for a legal settlement, as this is not included in Adjusted EBITDA.</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-145415</wp:posOffset>
            </wp:positionV>
            <wp:extent cx="102933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828282"/>
        </w:rPr>
        <w:t>Reconciliation of Consolidated NBCUniversal Revenue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440" w:type="dxa"/>
            <w:vAlign w:val="bottom"/>
            <w:gridSpan w:val="5"/>
          </w:tcPr>
          <w:p>
            <w:pPr>
              <w:jc w:val="center"/>
              <w:ind w:left="67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left="679"/>
              <w:spacing w:after="0"/>
              <w:rPr>
                <w:sz w:val="20"/>
                <w:szCs w:val="20"/>
                <w:color w:val="auto"/>
              </w:rPr>
            </w:pPr>
            <w:r>
              <w:rPr>
                <w:rFonts w:ascii="Arial" w:cs="Arial" w:eastAsia="Arial" w:hAnsi="Arial"/>
                <w:sz w:val="16"/>
                <w:szCs w:val="16"/>
                <w:b w:val="1"/>
                <w:bCs w:val="1"/>
                <w:color w:val="auto"/>
              </w:rPr>
              <w:t>Twelve Months Ended</w:t>
            </w:r>
          </w:p>
        </w:tc>
        <w:tc>
          <w:tcPr>
            <w:tcW w:w="760" w:type="dxa"/>
            <w:vAlign w:val="bottom"/>
          </w:tcPr>
          <w:p>
            <w:pPr>
              <w:spacing w:after="0"/>
              <w:rPr>
                <w:sz w:val="16"/>
                <w:szCs w:val="16"/>
                <w:color w:val="auto"/>
              </w:rPr>
            </w:pPr>
          </w:p>
        </w:tc>
      </w:tr>
      <w:tr>
        <w:trPr>
          <w:trHeight w:val="215"/>
        </w:trPr>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9"/>
              </w:rPr>
              <w:t>December 31,</w:t>
            </w: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Pr>
          <w:p>
            <w:pPr>
              <w:spacing w:after="0"/>
              <w:rPr>
                <w:sz w:val="18"/>
                <w:szCs w:val="18"/>
                <w:color w:val="auto"/>
              </w:rPr>
            </w:pPr>
          </w:p>
        </w:tc>
      </w:tr>
      <w:tr>
        <w:trPr>
          <w:trHeight w:val="303"/>
        </w:trPr>
        <w:tc>
          <w:tcPr>
            <w:tcW w:w="464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Growth</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Growth</w:t>
            </w:r>
          </w:p>
        </w:tc>
      </w:tr>
      <w:tr>
        <w:trPr>
          <w:trHeight w:val="271"/>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color w:val="auto"/>
              </w:rPr>
              <w:t>$8,451</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$8,784</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$31,593</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$32,997</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63"/>
        </w:trPr>
        <w:tc>
          <w:tcPr>
            <w:tcW w:w="4640" w:type="dxa"/>
            <w:vAlign w:val="bottom"/>
          </w:tcPr>
          <w:p>
            <w:pPr>
              <w:spacing w:after="0"/>
              <w:rPr>
                <w:sz w:val="20"/>
                <w:szCs w:val="20"/>
                <w:color w:val="auto"/>
              </w:rPr>
            </w:pPr>
            <w:r>
              <w:rPr>
                <w:rFonts w:ascii="Arial" w:cs="Arial" w:eastAsia="Arial" w:hAnsi="Arial"/>
                <w:sz w:val="16"/>
                <w:szCs w:val="16"/>
                <w:color w:val="auto"/>
              </w:rPr>
              <w:t>2016 Olympics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(1,620)</w:t>
            </w:r>
          </w:p>
        </w:tc>
        <w:tc>
          <w:tcPr>
            <w:tcW w:w="140" w:type="dxa"/>
            <w:vAlign w:val="bottom"/>
          </w:tcPr>
          <w:p>
            <w:pPr>
              <w:spacing w:after="0"/>
              <w:rPr>
                <w:sz w:val="22"/>
                <w:szCs w:val="22"/>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22"/>
                <w:szCs w:val="22"/>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16"/>
                <w:szCs w:val="16"/>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$8,451</w:t>
            </w:r>
          </w:p>
        </w:tc>
        <w:tc>
          <w:tcPr>
            <w:tcW w:w="2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$8,784</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$32,997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828282"/>
        </w:rPr>
        <w:t>Reconciliation of Cable Networks Revenue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47" w:orient="portrait"/>
          <w:cols w:equalWidth="0" w:num="1">
            <w:col w:w="11420"/>
          </w:cols>
          <w:pgMar w:left="240" w:top="140" w:right="239" w:bottom="0" w:gutter="0" w:footer="0" w:header="0"/>
        </w:sectPr>
      </w:pPr>
    </w:p>
    <w:p>
      <w:pPr>
        <w:spacing w:after="0" w:line="144" w:lineRule="exact"/>
        <w:rPr>
          <w:sz w:val="20"/>
          <w:szCs w:val="20"/>
          <w:color w:val="auto"/>
        </w:rPr>
      </w:pPr>
    </w:p>
    <w:p>
      <w:pPr>
        <w:ind w:left="5540"/>
        <w:spacing w:after="0"/>
        <w:tabs>
          <w:tab w:leader="none" w:pos="892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6"/>
          <w:szCs w:val="16"/>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-104775</wp:posOffset>
            </wp:positionV>
            <wp:extent cx="889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39065"/>
                    </a:xfrm>
                    <a:prstGeom prst="rect">
                      <a:avLst/>
                    </a:prstGeom>
                    <a:noFill/>
                  </pic:spPr>
                </pic:pic>
              </a:graphicData>
            </a:graphic>
          </wp:anchor>
        </w:drawing>
      </w:r>
    </w:p>
    <w:p>
      <w:pPr>
        <w:sectPr>
          <w:pgSz w:w="11900" w:h="16847" w:orient="portrait"/>
          <w:cols w:equalWidth="0" w:num="1">
            <w:col w:w="11420"/>
          </w:cols>
          <w:pgMar w:left="240" w:top="140" w:right="239" w:bottom="0" w:gutter="0" w:footer="0" w:header="0"/>
          <w:type w:val="continuous"/>
        </w:sectPr>
      </w:pPr>
    </w:p>
    <w:bookmarkStart w:id="11" w:name="page12"/>
    <w:bookmarkEnd w:id="11"/>
    <w:tbl>
      <w:tblPr>
        <w:tblLayout w:type="fixed"/>
        <w:tblInd w:w="10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Pr>
          <w:p>
            <w:pPr>
              <w:spacing w:after="0"/>
              <w:rPr>
                <w:sz w:val="20"/>
                <w:szCs w:val="20"/>
                <w:color w:val="auto"/>
              </w:rPr>
            </w:pPr>
          </w:p>
        </w:tc>
      </w:tr>
      <w:tr>
        <w:trPr>
          <w:trHeight w:val="265"/>
        </w:trPr>
        <w:tc>
          <w:tcPr>
            <w:tcW w:w="464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3"/>
                <w:szCs w:val="23"/>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3"/>
                <w:szCs w:val="23"/>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Growth</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Growth</w:t>
            </w:r>
          </w:p>
        </w:tc>
      </w:tr>
      <w:tr>
        <w:trPr>
          <w:trHeight w:val="271"/>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color w:val="auto"/>
              </w:rPr>
              <w:t>$2,503</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$2,691</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$10,631</w:t>
            </w:r>
          </w:p>
        </w:tc>
        <w:tc>
          <w:tcPr>
            <w:tcW w:w="2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63"/>
        </w:trPr>
        <w:tc>
          <w:tcPr>
            <w:tcW w:w="4640" w:type="dxa"/>
            <w:vAlign w:val="bottom"/>
          </w:tcPr>
          <w:p>
            <w:pPr>
              <w:spacing w:after="0"/>
              <w:rPr>
                <w:sz w:val="20"/>
                <w:szCs w:val="20"/>
                <w:color w:val="auto"/>
              </w:rPr>
            </w:pPr>
            <w:r>
              <w:rPr>
                <w:rFonts w:ascii="Arial" w:cs="Arial" w:eastAsia="Arial" w:hAnsi="Arial"/>
                <w:sz w:val="16"/>
                <w:szCs w:val="16"/>
                <w:color w:val="auto"/>
              </w:rPr>
              <w:t>2016 Olympics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spacing w:after="0"/>
              <w:rPr>
                <w:sz w:val="22"/>
                <w:szCs w:val="22"/>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16"/>
                <w:szCs w:val="16"/>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2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$10,631</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828282"/>
        </w:rPr>
        <w:t>Reconciliation of Broadcast Television Revenue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440" w:type="dxa"/>
            <w:vAlign w:val="bottom"/>
            <w:gridSpan w:val="5"/>
          </w:tcPr>
          <w:p>
            <w:pPr>
              <w:jc w:val="center"/>
              <w:ind w:left="67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left="679"/>
              <w:spacing w:after="0"/>
              <w:rPr>
                <w:sz w:val="20"/>
                <w:szCs w:val="20"/>
                <w:color w:val="auto"/>
              </w:rPr>
            </w:pPr>
            <w:r>
              <w:rPr>
                <w:rFonts w:ascii="Arial" w:cs="Arial" w:eastAsia="Arial" w:hAnsi="Arial"/>
                <w:sz w:val="16"/>
                <w:szCs w:val="16"/>
                <w:b w:val="1"/>
                <w:bCs w:val="1"/>
                <w:color w:val="auto"/>
              </w:rPr>
              <w:t>Twelve Months Ended</w:t>
            </w:r>
          </w:p>
        </w:tc>
        <w:tc>
          <w:tcPr>
            <w:tcW w:w="760" w:type="dxa"/>
            <w:vAlign w:val="bottom"/>
          </w:tcPr>
          <w:p>
            <w:pPr>
              <w:spacing w:after="0"/>
              <w:rPr>
                <w:sz w:val="16"/>
                <w:szCs w:val="16"/>
                <w:color w:val="auto"/>
              </w:rPr>
            </w:pPr>
          </w:p>
        </w:tc>
      </w:tr>
      <w:tr>
        <w:trPr>
          <w:trHeight w:val="215"/>
        </w:trPr>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9"/>
              </w:rPr>
              <w:t>December 31,</w:t>
            </w: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Pr>
          <w:p>
            <w:pPr>
              <w:spacing w:after="0"/>
              <w:rPr>
                <w:sz w:val="18"/>
                <w:szCs w:val="18"/>
                <w:color w:val="auto"/>
              </w:rPr>
            </w:pPr>
          </w:p>
        </w:tc>
      </w:tr>
      <w:tr>
        <w:trPr>
          <w:trHeight w:val="303"/>
        </w:trPr>
        <w:tc>
          <w:tcPr>
            <w:tcW w:w="464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Growth</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Growth</w:t>
            </w:r>
          </w:p>
        </w:tc>
      </w:tr>
      <w:tr>
        <w:trPr>
          <w:trHeight w:val="271"/>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spacing w:after="0"/>
              <w:rPr>
                <w:sz w:val="20"/>
                <w:szCs w:val="20"/>
                <w:color w:val="auto"/>
              </w:rPr>
            </w:pPr>
            <w:r>
              <w:rPr>
                <w:rFonts w:ascii="Arial" w:cs="Arial" w:eastAsia="Arial" w:hAnsi="Arial"/>
                <w:sz w:val="16"/>
                <w:szCs w:val="16"/>
                <w:color w:val="auto"/>
              </w:rPr>
              <w:t>$2,848</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$2,964</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$10,147</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$9,546</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63"/>
        </w:trPr>
        <w:tc>
          <w:tcPr>
            <w:tcW w:w="4640" w:type="dxa"/>
            <w:vAlign w:val="bottom"/>
          </w:tcPr>
          <w:p>
            <w:pPr>
              <w:spacing w:after="0"/>
              <w:rPr>
                <w:sz w:val="20"/>
                <w:szCs w:val="20"/>
                <w:color w:val="auto"/>
              </w:rPr>
            </w:pPr>
            <w:r>
              <w:rPr>
                <w:rFonts w:ascii="Arial" w:cs="Arial" w:eastAsia="Arial" w:hAnsi="Arial"/>
                <w:sz w:val="16"/>
                <w:szCs w:val="16"/>
                <w:color w:val="auto"/>
              </w:rPr>
              <w:t>2016 Olympics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(1,188)</w:t>
            </w:r>
          </w:p>
        </w:tc>
        <w:tc>
          <w:tcPr>
            <w:tcW w:w="140" w:type="dxa"/>
            <w:vAlign w:val="bottom"/>
          </w:tcPr>
          <w:p>
            <w:pPr>
              <w:spacing w:after="0"/>
              <w:rPr>
                <w:sz w:val="22"/>
                <w:szCs w:val="22"/>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22"/>
                <w:szCs w:val="22"/>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16"/>
                <w:szCs w:val="16"/>
                <w:color w:val="auto"/>
              </w:rPr>
              <w:t>Revenue excluding 2016 Olympics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$2,848</w:t>
            </w:r>
          </w:p>
        </w:tc>
        <w:tc>
          <w:tcPr>
            <w:tcW w:w="2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$2,964</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$9,546</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3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Adjusted EBITDA is defined as net income attributable to Comcast Corporation before net (income) loss attributable to noncontrolling interests and redeemable subsidiary preferred stock, income tax benefit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Other income (expense) items, net include interest expense, investment income (loss), equity in net income (losses) of investees, and other income (expense), net (as stated in our Consolidated Statement of Income).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Adjusted EBITDA as the measure of profit or loss for our segments, and we reconcile it to income before income taxes in the business segment footnote to our quarterly and annual consolidated financial statements. We believe our measure of Adjusted EBITDA for our segments is not a “non-GAAP financial measure” as contemplated by Regulation G adopted by the Securities and Exchange Commission. Consolidated Adjusted EBITDA is a non-GAAP financial measure.</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certain circumstances, we also present “adjusted” data, to exclude the impact of certain events and certain gains, losses or other charges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Non-GAAP financial measures should not be considered as substitutes for operating income (loss), net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Exhibit 99.1 to this Current Report on Form 8-K, we provide reconciliations of Adjusted EBITDA in Table 4 and Free Cash Flow in Table 5 and pro forma and “adjusted” data, when applicable, in these and additional Tables to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2019-12-29T02:05:43Z</dcterms:created>
  <dcterms:modified xsi:type="dcterms:W3CDTF">2019-12-29T02:05:43Z</dcterms:modified>
</cp:coreProperties>
</file>