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60"/>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375" w:lineRule="exact"/>
        <w:rPr>
          <w:sz w:val="24"/>
          <w:szCs w:val="24"/>
          <w:color w:val="auto"/>
        </w:rPr>
      </w:pPr>
    </w:p>
    <w:p>
      <w:pPr>
        <w:ind w:left="3380" w:right="2520" w:hanging="960"/>
        <w:spacing w:after="0" w:line="260" w:lineRule="auto"/>
        <w:rPr>
          <w:sz w:val="20"/>
          <w:szCs w:val="20"/>
          <w:color w:val="auto"/>
        </w:rPr>
      </w:pPr>
      <w:r>
        <w:rPr>
          <w:rFonts w:ascii="Arial" w:cs="Arial" w:eastAsia="Arial" w:hAnsi="Arial"/>
          <w:sz w:val="21"/>
          <w:szCs w:val="21"/>
          <w:b w:val="1"/>
          <w:bCs w:val="1"/>
          <w:color w:val="auto"/>
        </w:rPr>
        <w:t>FOR REGISTRATION OF CERTAIN CLASSES OF SECURITIES PURSUANT TO SECTION 12(b) OR 12(g) OF THE SECURITIES EXCHANGE ACT OF 1934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4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9"/>
              </w:rPr>
              <w:t>PENNSYLVANIA</w:t>
            </w:r>
          </w:p>
        </w:tc>
        <w:tc>
          <w:tcPr>
            <w:tcW w:w="338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27-0000798</w:t>
            </w:r>
          </w:p>
        </w:tc>
      </w:tr>
      <w:tr>
        <w:trPr>
          <w:trHeight w:val="216"/>
        </w:trPr>
        <w:tc>
          <w:tcPr>
            <w:tcW w:w="4560" w:type="dxa"/>
            <w:vAlign w:val="bottom"/>
          </w:tcPr>
          <w:p>
            <w:pPr>
              <w:jc w:val="center"/>
              <w:ind w:right="1590"/>
              <w:spacing w:after="0"/>
              <w:rPr>
                <w:sz w:val="20"/>
                <w:szCs w:val="20"/>
                <w:color w:val="auto"/>
              </w:rPr>
            </w:pPr>
            <w:r>
              <w:rPr>
                <w:rFonts w:ascii="Arial" w:cs="Arial" w:eastAsia="Arial" w:hAnsi="Arial"/>
                <w:sz w:val="18"/>
                <w:szCs w:val="18"/>
                <w:color w:val="auto"/>
                <w:w w:val="92"/>
              </w:rPr>
              <w:t>(State or other jurisdiction of</w:t>
            </w:r>
          </w:p>
        </w:tc>
        <w:tc>
          <w:tcPr>
            <w:tcW w:w="3380" w:type="dxa"/>
            <w:vAlign w:val="bottom"/>
          </w:tcPr>
          <w:p>
            <w:pPr>
              <w:jc w:val="center"/>
              <w:ind w:left="1630"/>
              <w:spacing w:after="0"/>
              <w:rPr>
                <w:sz w:val="20"/>
                <w:szCs w:val="20"/>
                <w:color w:val="auto"/>
              </w:rPr>
            </w:pPr>
            <w:r>
              <w:rPr>
                <w:rFonts w:ascii="Arial" w:cs="Arial" w:eastAsia="Arial" w:hAnsi="Arial"/>
                <w:sz w:val="18"/>
                <w:szCs w:val="18"/>
                <w:color w:val="auto"/>
                <w:w w:val="92"/>
              </w:rPr>
              <w:t>(I.R.S. Employer</w:t>
            </w:r>
          </w:p>
        </w:tc>
      </w:tr>
      <w:tr>
        <w:trPr>
          <w:trHeight w:val="230"/>
        </w:trPr>
        <w:tc>
          <w:tcPr>
            <w:tcW w:w="4560" w:type="dxa"/>
            <w:vAlign w:val="bottom"/>
          </w:tcPr>
          <w:p>
            <w:pPr>
              <w:jc w:val="center"/>
              <w:ind w:right="1590"/>
              <w:spacing w:after="0"/>
              <w:rPr>
                <w:sz w:val="20"/>
                <w:szCs w:val="20"/>
                <w:color w:val="auto"/>
              </w:rPr>
            </w:pPr>
            <w:r>
              <w:rPr>
                <w:rFonts w:ascii="Arial" w:cs="Arial" w:eastAsia="Arial" w:hAnsi="Arial"/>
                <w:sz w:val="18"/>
                <w:szCs w:val="18"/>
                <w:color w:val="auto"/>
                <w:w w:val="92"/>
              </w:rPr>
              <w:t>incorporation or organization)</w:t>
            </w:r>
          </w:p>
        </w:tc>
        <w:tc>
          <w:tcPr>
            <w:tcW w:w="3380" w:type="dxa"/>
            <w:vAlign w:val="bottom"/>
          </w:tcPr>
          <w:p>
            <w:pPr>
              <w:jc w:val="center"/>
              <w:ind w:left="163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One Comcast Center</w:t>
            </w:r>
          </w:p>
        </w:tc>
        <w:tc>
          <w:tcPr>
            <w:tcW w:w="3380" w:type="dxa"/>
            <w:vAlign w:val="bottom"/>
          </w:tcPr>
          <w:p>
            <w:pPr>
              <w:spacing w:after="0"/>
              <w:rPr>
                <w:sz w:val="24"/>
                <w:szCs w:val="24"/>
                <w:color w:val="auto"/>
              </w:rPr>
            </w:pPr>
          </w:p>
        </w:tc>
      </w:tr>
      <w:tr>
        <w:trPr>
          <w:trHeight w:val="220"/>
        </w:trPr>
        <w:tc>
          <w:tcPr>
            <w:tcW w:w="4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Philadelphia, Pennsylvania</w:t>
            </w:r>
          </w:p>
        </w:tc>
        <w:tc>
          <w:tcPr>
            <w:tcW w:w="338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19103-2838</w:t>
            </w:r>
          </w:p>
        </w:tc>
      </w:tr>
      <w:tr>
        <w:trPr>
          <w:trHeight w:val="230"/>
        </w:trPr>
        <w:tc>
          <w:tcPr>
            <w:tcW w:w="4560" w:type="dxa"/>
            <w:vAlign w:val="bottom"/>
          </w:tcPr>
          <w:p>
            <w:pPr>
              <w:jc w:val="center"/>
              <w:ind w:right="1610"/>
              <w:spacing w:after="0"/>
              <w:rPr>
                <w:sz w:val="20"/>
                <w:szCs w:val="20"/>
                <w:color w:val="auto"/>
              </w:rPr>
            </w:pPr>
            <w:r>
              <w:rPr>
                <w:rFonts w:ascii="Arial" w:cs="Arial" w:eastAsia="Arial" w:hAnsi="Arial"/>
                <w:sz w:val="18"/>
                <w:szCs w:val="18"/>
                <w:color w:val="auto"/>
                <w:w w:val="92"/>
              </w:rPr>
              <w:t>(Address of principal executive offices)</w:t>
            </w:r>
          </w:p>
        </w:tc>
        <w:tc>
          <w:tcPr>
            <w:tcW w:w="3380" w:type="dxa"/>
            <w:vAlign w:val="bottom"/>
          </w:tcPr>
          <w:p>
            <w:pPr>
              <w:jc w:val="center"/>
              <w:ind w:left="161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CABLE COMMUNICATIONS, LLC</w:t>
      </w:r>
    </w:p>
    <w:p>
      <w:pPr>
        <w:spacing w:after="0" w:line="50" w:lineRule="exact"/>
        <w:rPr>
          <w:sz w:val="24"/>
          <w:szCs w:val="24"/>
          <w:color w:val="auto"/>
        </w:rPr>
      </w:pPr>
    </w:p>
    <w:tbl>
      <w:tblPr>
        <w:tblLayout w:type="fixed"/>
        <w:tblInd w:w="1440" w:type="dxa"/>
        <w:tblCellMar>
          <w:top w:w="0" w:type="dxa"/>
          <w:left w:w="0" w:type="dxa"/>
          <w:bottom w:w="0" w:type="dxa"/>
          <w:right w:w="0" w:type="dxa"/>
        </w:tblCellMar>
      </w:tblPr>
      <w:tr>
        <w:trPr>
          <w:trHeight w:val="230"/>
        </w:trPr>
        <w:tc>
          <w:tcPr>
            <w:tcW w:w="6160" w:type="dxa"/>
            <w:vAlign w:val="bottom"/>
          </w:tcPr>
          <w:p>
            <w:pPr>
              <w:ind w:left="2320"/>
              <w:spacing w:after="0"/>
              <w:rPr>
                <w:sz w:val="20"/>
                <w:szCs w:val="20"/>
                <w:color w:val="auto"/>
              </w:rPr>
            </w:pPr>
            <w:r>
              <w:rPr>
                <w:rFonts w:ascii="Arial" w:cs="Arial" w:eastAsia="Arial" w:hAnsi="Arial"/>
                <w:sz w:val="18"/>
                <w:szCs w:val="18"/>
                <w:color w:val="auto"/>
                <w:w w:val="93"/>
              </w:rPr>
              <w:t>(Exact name of registrant as specified in its charter)</w:t>
            </w:r>
          </w:p>
        </w:tc>
        <w:tc>
          <w:tcPr>
            <w:tcW w:w="1780" w:type="dxa"/>
            <w:vAlign w:val="bottom"/>
          </w:tcPr>
          <w:p>
            <w:pPr>
              <w:spacing w:after="0"/>
              <w:rPr>
                <w:sz w:val="20"/>
                <w:szCs w:val="20"/>
                <w:color w:val="auto"/>
              </w:rPr>
            </w:pPr>
          </w:p>
        </w:tc>
      </w:tr>
      <w:tr>
        <w:trPr>
          <w:trHeight w:val="618"/>
        </w:trPr>
        <w:tc>
          <w:tcPr>
            <w:tcW w:w="6160" w:type="dxa"/>
            <w:vAlign w:val="bottom"/>
          </w:tcPr>
          <w:p>
            <w:pPr>
              <w:jc w:val="center"/>
              <w:ind w:right="3210"/>
              <w:spacing w:after="0"/>
              <w:rPr>
                <w:sz w:val="20"/>
                <w:szCs w:val="20"/>
                <w:color w:val="auto"/>
              </w:rPr>
            </w:pPr>
            <w:r>
              <w:rPr>
                <w:rFonts w:ascii="Arial" w:cs="Arial" w:eastAsia="Arial" w:hAnsi="Arial"/>
                <w:sz w:val="18"/>
                <w:szCs w:val="18"/>
                <w:b w:val="1"/>
                <w:bCs w:val="1"/>
                <w:color w:val="auto"/>
                <w:w w:val="98"/>
              </w:rPr>
              <w:t>DELAWARE</w:t>
            </w:r>
          </w:p>
        </w:tc>
        <w:tc>
          <w:tcPr>
            <w:tcW w:w="17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23-2175755</w:t>
            </w:r>
          </w:p>
        </w:tc>
      </w:tr>
      <w:tr>
        <w:trPr>
          <w:trHeight w:val="216"/>
        </w:trPr>
        <w:tc>
          <w:tcPr>
            <w:tcW w:w="6160" w:type="dxa"/>
            <w:vAlign w:val="bottom"/>
          </w:tcPr>
          <w:p>
            <w:pPr>
              <w:jc w:val="center"/>
              <w:ind w:right="3190"/>
              <w:spacing w:after="0"/>
              <w:rPr>
                <w:sz w:val="20"/>
                <w:szCs w:val="20"/>
                <w:color w:val="auto"/>
              </w:rPr>
            </w:pPr>
            <w:r>
              <w:rPr>
                <w:rFonts w:ascii="Arial" w:cs="Arial" w:eastAsia="Arial" w:hAnsi="Arial"/>
                <w:sz w:val="18"/>
                <w:szCs w:val="18"/>
                <w:color w:val="auto"/>
                <w:w w:val="92"/>
              </w:rPr>
              <w:t>(State or other jurisdiction of</w:t>
            </w:r>
          </w:p>
        </w:tc>
        <w:tc>
          <w:tcPr>
            <w:tcW w:w="1780" w:type="dxa"/>
            <w:vAlign w:val="bottom"/>
          </w:tcPr>
          <w:p>
            <w:pPr>
              <w:jc w:val="center"/>
              <w:ind w:left="30"/>
              <w:spacing w:after="0"/>
              <w:rPr>
                <w:sz w:val="20"/>
                <w:szCs w:val="20"/>
                <w:color w:val="auto"/>
              </w:rPr>
            </w:pPr>
            <w:r>
              <w:rPr>
                <w:rFonts w:ascii="Arial" w:cs="Arial" w:eastAsia="Arial" w:hAnsi="Arial"/>
                <w:sz w:val="18"/>
                <w:szCs w:val="18"/>
                <w:color w:val="auto"/>
                <w:w w:val="92"/>
              </w:rPr>
              <w:t>(I.R.S. Employer</w:t>
            </w:r>
          </w:p>
        </w:tc>
      </w:tr>
      <w:tr>
        <w:trPr>
          <w:trHeight w:val="230"/>
        </w:trPr>
        <w:tc>
          <w:tcPr>
            <w:tcW w:w="6160" w:type="dxa"/>
            <w:vAlign w:val="bottom"/>
          </w:tcPr>
          <w:p>
            <w:pPr>
              <w:jc w:val="center"/>
              <w:ind w:right="3190"/>
              <w:spacing w:after="0"/>
              <w:rPr>
                <w:sz w:val="20"/>
                <w:szCs w:val="20"/>
                <w:color w:val="auto"/>
              </w:rPr>
            </w:pPr>
            <w:r>
              <w:rPr>
                <w:rFonts w:ascii="Arial" w:cs="Arial" w:eastAsia="Arial" w:hAnsi="Arial"/>
                <w:sz w:val="18"/>
                <w:szCs w:val="18"/>
                <w:color w:val="auto"/>
                <w:w w:val="92"/>
              </w:rPr>
              <w:t>incorporation or organization)</w:t>
            </w:r>
          </w:p>
        </w:tc>
        <w:tc>
          <w:tcPr>
            <w:tcW w:w="1780" w:type="dxa"/>
            <w:vAlign w:val="bottom"/>
          </w:tcPr>
          <w:p>
            <w:pPr>
              <w:jc w:val="center"/>
              <w:ind w:left="3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6160" w:type="dxa"/>
            <w:vAlign w:val="bottom"/>
          </w:tcPr>
          <w:p>
            <w:pPr>
              <w:jc w:val="center"/>
              <w:ind w:right="3190"/>
              <w:spacing w:after="0"/>
              <w:rPr>
                <w:sz w:val="20"/>
                <w:szCs w:val="20"/>
                <w:color w:val="auto"/>
              </w:rPr>
            </w:pPr>
            <w:r>
              <w:rPr>
                <w:rFonts w:ascii="Arial" w:cs="Arial" w:eastAsia="Arial" w:hAnsi="Arial"/>
                <w:sz w:val="18"/>
                <w:szCs w:val="18"/>
                <w:b w:val="1"/>
                <w:bCs w:val="1"/>
                <w:color w:val="auto"/>
                <w:w w:val="89"/>
              </w:rPr>
              <w:t>One Comcast Center</w:t>
            </w:r>
          </w:p>
        </w:tc>
        <w:tc>
          <w:tcPr>
            <w:tcW w:w="1780" w:type="dxa"/>
            <w:vAlign w:val="bottom"/>
          </w:tcPr>
          <w:p>
            <w:pPr>
              <w:spacing w:after="0"/>
              <w:rPr>
                <w:sz w:val="24"/>
                <w:szCs w:val="24"/>
                <w:color w:val="auto"/>
              </w:rPr>
            </w:pPr>
          </w:p>
        </w:tc>
      </w:tr>
      <w:tr>
        <w:trPr>
          <w:trHeight w:val="220"/>
        </w:trPr>
        <w:tc>
          <w:tcPr>
            <w:tcW w:w="6160" w:type="dxa"/>
            <w:vAlign w:val="bottom"/>
          </w:tcPr>
          <w:p>
            <w:pPr>
              <w:jc w:val="center"/>
              <w:ind w:right="3190"/>
              <w:spacing w:after="0"/>
              <w:rPr>
                <w:sz w:val="20"/>
                <w:szCs w:val="20"/>
                <w:color w:val="auto"/>
              </w:rPr>
            </w:pPr>
            <w:r>
              <w:rPr>
                <w:rFonts w:ascii="Arial" w:cs="Arial" w:eastAsia="Arial" w:hAnsi="Arial"/>
                <w:sz w:val="18"/>
                <w:szCs w:val="18"/>
                <w:b w:val="1"/>
                <w:bCs w:val="1"/>
                <w:color w:val="auto"/>
                <w:w w:val="89"/>
              </w:rPr>
              <w:t>Philadelphia, Pennsylvania</w:t>
            </w:r>
          </w:p>
        </w:tc>
        <w:tc>
          <w:tcPr>
            <w:tcW w:w="17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19103-2838</w:t>
            </w:r>
          </w:p>
        </w:tc>
      </w:tr>
      <w:tr>
        <w:trPr>
          <w:trHeight w:val="230"/>
        </w:trPr>
        <w:tc>
          <w:tcPr>
            <w:tcW w:w="6160" w:type="dxa"/>
            <w:vAlign w:val="bottom"/>
          </w:tcPr>
          <w:p>
            <w:pPr>
              <w:jc w:val="center"/>
              <w:ind w:right="3210"/>
              <w:spacing w:after="0"/>
              <w:rPr>
                <w:sz w:val="20"/>
                <w:szCs w:val="20"/>
                <w:color w:val="auto"/>
              </w:rPr>
            </w:pPr>
            <w:r>
              <w:rPr>
                <w:rFonts w:ascii="Arial" w:cs="Arial" w:eastAsia="Arial" w:hAnsi="Arial"/>
                <w:sz w:val="18"/>
                <w:szCs w:val="18"/>
                <w:color w:val="auto"/>
                <w:w w:val="92"/>
              </w:rPr>
              <w:t>(Address of principal executive offices)</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NBCUNIVERSAL MEDIA,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4560" w:type="dxa"/>
            <w:vAlign w:val="bottom"/>
          </w:tcPr>
          <w:p>
            <w:pPr>
              <w:jc w:val="center"/>
              <w:ind w:right="1610"/>
              <w:spacing w:after="0"/>
              <w:rPr>
                <w:sz w:val="20"/>
                <w:szCs w:val="20"/>
                <w:color w:val="auto"/>
              </w:rPr>
            </w:pPr>
            <w:r>
              <w:rPr>
                <w:rFonts w:ascii="Arial" w:cs="Arial" w:eastAsia="Arial" w:hAnsi="Arial"/>
                <w:sz w:val="18"/>
                <w:szCs w:val="18"/>
                <w:b w:val="1"/>
                <w:bCs w:val="1"/>
                <w:color w:val="auto"/>
                <w:w w:val="98"/>
              </w:rPr>
              <w:t>DELAWARE</w:t>
            </w:r>
          </w:p>
        </w:tc>
        <w:tc>
          <w:tcPr>
            <w:tcW w:w="338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14-1682529</w:t>
            </w:r>
          </w:p>
        </w:tc>
      </w:tr>
      <w:tr>
        <w:trPr>
          <w:trHeight w:val="216"/>
        </w:trPr>
        <w:tc>
          <w:tcPr>
            <w:tcW w:w="4560" w:type="dxa"/>
            <w:vAlign w:val="bottom"/>
          </w:tcPr>
          <w:p>
            <w:pPr>
              <w:jc w:val="center"/>
              <w:ind w:right="1590"/>
              <w:spacing w:after="0"/>
              <w:rPr>
                <w:sz w:val="20"/>
                <w:szCs w:val="20"/>
                <w:color w:val="auto"/>
              </w:rPr>
            </w:pPr>
            <w:r>
              <w:rPr>
                <w:rFonts w:ascii="Arial" w:cs="Arial" w:eastAsia="Arial" w:hAnsi="Arial"/>
                <w:sz w:val="18"/>
                <w:szCs w:val="18"/>
                <w:color w:val="auto"/>
                <w:w w:val="92"/>
              </w:rPr>
              <w:t>(State or other jurisdiction of</w:t>
            </w:r>
          </w:p>
        </w:tc>
        <w:tc>
          <w:tcPr>
            <w:tcW w:w="3380" w:type="dxa"/>
            <w:vAlign w:val="bottom"/>
          </w:tcPr>
          <w:p>
            <w:pPr>
              <w:jc w:val="center"/>
              <w:ind w:left="1630"/>
              <w:spacing w:after="0"/>
              <w:rPr>
                <w:sz w:val="20"/>
                <w:szCs w:val="20"/>
                <w:color w:val="auto"/>
              </w:rPr>
            </w:pPr>
            <w:r>
              <w:rPr>
                <w:rFonts w:ascii="Arial" w:cs="Arial" w:eastAsia="Arial" w:hAnsi="Arial"/>
                <w:sz w:val="18"/>
                <w:szCs w:val="18"/>
                <w:color w:val="auto"/>
                <w:w w:val="92"/>
              </w:rPr>
              <w:t>(I.R.S. Employer</w:t>
            </w:r>
          </w:p>
        </w:tc>
      </w:tr>
      <w:tr>
        <w:trPr>
          <w:trHeight w:val="230"/>
        </w:trPr>
        <w:tc>
          <w:tcPr>
            <w:tcW w:w="4560" w:type="dxa"/>
            <w:vAlign w:val="bottom"/>
          </w:tcPr>
          <w:p>
            <w:pPr>
              <w:jc w:val="center"/>
              <w:ind w:right="1590"/>
              <w:spacing w:after="0"/>
              <w:rPr>
                <w:sz w:val="20"/>
                <w:szCs w:val="20"/>
                <w:color w:val="auto"/>
              </w:rPr>
            </w:pPr>
            <w:r>
              <w:rPr>
                <w:rFonts w:ascii="Arial" w:cs="Arial" w:eastAsia="Arial" w:hAnsi="Arial"/>
                <w:sz w:val="18"/>
                <w:szCs w:val="18"/>
                <w:color w:val="auto"/>
                <w:w w:val="92"/>
              </w:rPr>
              <w:t>incorporation or organization)</w:t>
            </w:r>
          </w:p>
        </w:tc>
        <w:tc>
          <w:tcPr>
            <w:tcW w:w="3380" w:type="dxa"/>
            <w:vAlign w:val="bottom"/>
          </w:tcPr>
          <w:p>
            <w:pPr>
              <w:jc w:val="center"/>
              <w:ind w:left="163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30 Rockefeller Plaza</w:t>
            </w:r>
          </w:p>
        </w:tc>
        <w:tc>
          <w:tcPr>
            <w:tcW w:w="3380" w:type="dxa"/>
            <w:vAlign w:val="bottom"/>
          </w:tcPr>
          <w:p>
            <w:pPr>
              <w:spacing w:after="0"/>
              <w:rPr>
                <w:sz w:val="24"/>
                <w:szCs w:val="24"/>
                <w:color w:val="auto"/>
              </w:rPr>
            </w:pPr>
          </w:p>
        </w:tc>
      </w:tr>
      <w:tr>
        <w:trPr>
          <w:trHeight w:val="220"/>
        </w:trPr>
        <w:tc>
          <w:tcPr>
            <w:tcW w:w="456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New York, New York</w:t>
            </w:r>
          </w:p>
        </w:tc>
        <w:tc>
          <w:tcPr>
            <w:tcW w:w="338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10112-0015</w:t>
            </w:r>
          </w:p>
        </w:tc>
      </w:tr>
      <w:tr>
        <w:trPr>
          <w:trHeight w:val="230"/>
        </w:trPr>
        <w:tc>
          <w:tcPr>
            <w:tcW w:w="4560" w:type="dxa"/>
            <w:vAlign w:val="bottom"/>
          </w:tcPr>
          <w:p>
            <w:pPr>
              <w:jc w:val="center"/>
              <w:ind w:right="1610"/>
              <w:spacing w:after="0"/>
              <w:rPr>
                <w:sz w:val="20"/>
                <w:szCs w:val="20"/>
                <w:color w:val="auto"/>
              </w:rPr>
            </w:pPr>
            <w:r>
              <w:rPr>
                <w:rFonts w:ascii="Arial" w:cs="Arial" w:eastAsia="Arial" w:hAnsi="Arial"/>
                <w:sz w:val="18"/>
                <w:szCs w:val="18"/>
                <w:color w:val="auto"/>
                <w:w w:val="92"/>
              </w:rPr>
              <w:t>(Address of principal executive offices)</w:t>
            </w:r>
          </w:p>
        </w:tc>
        <w:tc>
          <w:tcPr>
            <w:tcW w:w="3380" w:type="dxa"/>
            <w:vAlign w:val="bottom"/>
          </w:tcPr>
          <w:p>
            <w:pPr>
              <w:jc w:val="center"/>
              <w:ind w:left="161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please check the following box.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please check the following box.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Act registration statement file number to which this form relates: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4958080</wp:posOffset>
            </wp:positionH>
            <wp:positionV relativeFrom="paragraph">
              <wp:posOffset>-10160</wp:posOffset>
            </wp:positionV>
            <wp:extent cx="28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0"/>
              </w:rPr>
              <w:t>Name of Each Exchange on Which</w:t>
            </w:r>
          </w:p>
        </w:tc>
      </w:tr>
      <w:tr>
        <w:trPr>
          <w:trHeight w:val="230"/>
        </w:trPr>
        <w:tc>
          <w:tcPr>
            <w:tcW w:w="5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 be so Registered</w:t>
            </w:r>
          </w:p>
        </w:tc>
        <w:tc>
          <w:tcPr>
            <w:tcW w:w="120" w:type="dxa"/>
            <w:vAlign w:val="bottom"/>
          </w:tcPr>
          <w:p>
            <w:pPr>
              <w:spacing w:after="0"/>
              <w:rPr>
                <w:sz w:val="20"/>
                <w:szCs w:val="20"/>
                <w:color w:val="auto"/>
              </w:rPr>
            </w:pP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Each Class is to be Registered</w:t>
            </w:r>
          </w:p>
        </w:tc>
      </w:tr>
      <w:tr>
        <w:trPr>
          <w:trHeight w:val="195"/>
        </w:trPr>
        <w:tc>
          <w:tcPr>
            <w:tcW w:w="5740" w:type="dxa"/>
            <w:vAlign w:val="bottom"/>
          </w:tcPr>
          <w:p>
            <w:pPr>
              <w:jc w:val="center"/>
              <w:spacing w:after="0" w:line="195" w:lineRule="exact"/>
              <w:rPr>
                <w:sz w:val="20"/>
                <w:szCs w:val="20"/>
                <w:color w:val="auto"/>
              </w:rPr>
            </w:pPr>
            <w:r>
              <w:rPr>
                <w:rFonts w:ascii="Arial" w:cs="Arial" w:eastAsia="Arial" w:hAnsi="Arial"/>
                <w:sz w:val="18"/>
                <w:szCs w:val="18"/>
                <w:color w:val="auto"/>
                <w:w w:val="89"/>
              </w:rPr>
              <w:t>0.000% Notes due 2026</w:t>
            </w:r>
          </w:p>
        </w:tc>
        <w:tc>
          <w:tcPr>
            <w:tcW w:w="120" w:type="dxa"/>
            <w:vAlign w:val="bottom"/>
          </w:tcPr>
          <w:p>
            <w:pPr>
              <w:spacing w:after="0"/>
              <w:rPr>
                <w:sz w:val="16"/>
                <w:szCs w:val="16"/>
                <w:color w:val="auto"/>
              </w:rPr>
            </w:pPr>
          </w:p>
        </w:tc>
        <w:tc>
          <w:tcPr>
            <w:tcW w:w="5380" w:type="dxa"/>
            <w:vAlign w:val="bottom"/>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5740" w:type="dxa"/>
            <w:vAlign w:val="bottom"/>
          </w:tcPr>
          <w:p>
            <w:pPr>
              <w:jc w:val="center"/>
              <w:spacing w:after="0"/>
              <w:rPr>
                <w:sz w:val="20"/>
                <w:szCs w:val="20"/>
                <w:color w:val="auto"/>
              </w:rPr>
            </w:pPr>
            <w:r>
              <w:rPr>
                <w:rFonts w:ascii="Arial" w:cs="Arial" w:eastAsia="Arial" w:hAnsi="Arial"/>
                <w:sz w:val="18"/>
                <w:szCs w:val="18"/>
                <w:color w:val="auto"/>
                <w:w w:val="89"/>
              </w:rPr>
              <w:t>0.250% Notes due 2029</w:t>
            </w:r>
          </w:p>
        </w:tc>
        <w:tc>
          <w:tcPr>
            <w:tcW w:w="1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to be registered pursuant to Section 12(g) of the Act:</w:t>
      </w:r>
    </w:p>
    <w:p>
      <w:pPr>
        <w:sectPr>
          <w:pgSz w:w="11900" w:h="16838" w:orient="portrait"/>
          <w:cols w:equalWidth="0" w:num="1">
            <w:col w:w="11240"/>
          </w:cols>
          <w:pgMar w:left="320" w:top="247" w:right="33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389255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 w:name="page3"/>
    <w:bookmarkEnd w:id="2"/>
    <w:p>
      <w:pPr>
        <w:ind w:left="30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ind w:right="260" w:firstLine="310"/>
        <w:spacing w:after="0" w:line="279" w:lineRule="auto"/>
        <w:rPr>
          <w:sz w:val="20"/>
          <w:szCs w:val="20"/>
          <w:color w:val="auto"/>
        </w:rPr>
      </w:pPr>
      <w:r>
        <w:rPr>
          <w:rFonts w:ascii="Arial" w:cs="Arial" w:eastAsia="Arial" w:hAnsi="Arial"/>
          <w:sz w:val="17"/>
          <w:szCs w:val="17"/>
          <w:color w:val="auto"/>
        </w:rPr>
        <w:t>The description of the 0.000% Notes due 2026 and the 0.250% Notes due 2029 (collectively, the “Notes”) and the guarantees thereof is contained in the Prospectus Supplement dated September 7, 2021 and the Prospectus dated August 1, 2019 copies of which were electronically transmitted for filing with the Securities and Exchange Commission pursuant to Rule 424(b) on September 8, 2021, each of which form a part of the Registrants’ effective Registration Statement on Form S-3 (Registration No. 333-232941),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2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20" w:type="dxa"/>
            <w:vAlign w:val="bottom"/>
          </w:tcPr>
          <w:p>
            <w:pPr>
              <w:spacing w:after="0"/>
              <w:rPr>
                <w:sz w:val="20"/>
                <w:szCs w:val="20"/>
                <w:color w:val="auto"/>
              </w:rPr>
            </w:pPr>
          </w:p>
        </w:tc>
        <w:tc>
          <w:tcPr>
            <w:tcW w:w="8980" w:type="dxa"/>
            <w:vAlign w:val="bottom"/>
            <w:tcBorders>
              <w:bottom w:val="single" w:sz="8" w:color="auto"/>
            </w:tcBorders>
          </w:tcPr>
          <w:p>
            <w:pPr>
              <w:ind w:left="404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240" w:type="dxa"/>
            <w:vAlign w:val="bottom"/>
          </w:tcPr>
          <w:p>
            <w:pPr>
              <w:spacing w:after="0"/>
              <w:rPr>
                <w:sz w:val="20"/>
                <w:szCs w:val="20"/>
                <w:color w:val="auto"/>
              </w:rPr>
            </w:pPr>
            <w:r>
              <w:rPr>
                <w:rFonts w:ascii="Arial" w:cs="Arial" w:eastAsia="Arial" w:hAnsi="Arial"/>
                <w:sz w:val="18"/>
                <w:szCs w:val="18"/>
                <w:color w:val="auto"/>
              </w:rPr>
              <w:t>4.1</w:t>
            </w:r>
          </w:p>
        </w:tc>
        <w:tc>
          <w:tcPr>
            <w:tcW w:w="10000" w:type="dxa"/>
            <w:vAlign w:val="bottom"/>
            <w:gridSpan w:val="2"/>
          </w:tcPr>
          <w:p>
            <w:pPr>
              <w:ind w:left="1020"/>
              <w:spacing w:after="0"/>
              <w:rPr>
                <w:sz w:val="20"/>
                <w:szCs w:val="20"/>
                <w:color w:val="auto"/>
              </w:rPr>
            </w:pPr>
            <w:r>
              <w:rPr>
                <w:rFonts w:ascii="Arial" w:cs="Arial" w:eastAsia="Arial" w:hAnsi="Arial"/>
                <w:sz w:val="18"/>
                <w:szCs w:val="18"/>
                <w:color w:val="auto"/>
                <w:w w:val="94"/>
              </w:rPr>
              <w:t>Senior Indenture dated as of September 18, 2013 among Comcast Corporation (the “Company”), the guarantors named</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1020"/>
              <w:spacing w:after="0"/>
              <w:rPr>
                <w:sz w:val="20"/>
                <w:szCs w:val="20"/>
                <w:color w:val="auto"/>
              </w:rPr>
            </w:pPr>
            <w:r>
              <w:rPr>
                <w:rFonts w:ascii="Arial" w:cs="Arial" w:eastAsia="Arial" w:hAnsi="Arial"/>
                <w:sz w:val="18"/>
                <w:szCs w:val="18"/>
                <w:color w:val="auto"/>
                <w:w w:val="93"/>
              </w:rPr>
              <w:t>therein and The Bank of New York Mellon (formerly known as The Bank of New York) as trustee (the “Trustee”), relating</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1020"/>
              <w:spacing w:after="0"/>
              <w:rPr>
                <w:sz w:val="20"/>
                <w:szCs w:val="20"/>
                <w:color w:val="auto"/>
              </w:rPr>
            </w:pPr>
            <w:r>
              <w:rPr>
                <w:rFonts w:ascii="Arial" w:cs="Arial" w:eastAsia="Arial" w:hAnsi="Arial"/>
                <w:sz w:val="18"/>
                <w:szCs w:val="18"/>
                <w:color w:val="auto"/>
                <w:w w:val="92"/>
              </w:rPr>
              <w:t>to the Company’s debt securities (incorporated by reference to Exhibit 4.7 to the Company’s Annual Report on Form 10-K</w:t>
            </w:r>
          </w:p>
        </w:tc>
      </w:tr>
      <w:tr>
        <w:trPr>
          <w:trHeight w:val="230"/>
        </w:trPr>
        <w:tc>
          <w:tcPr>
            <w:tcW w:w="1240" w:type="dxa"/>
            <w:vAlign w:val="bottom"/>
          </w:tcPr>
          <w:p>
            <w:pPr>
              <w:spacing w:after="0"/>
              <w:rPr>
                <w:sz w:val="20"/>
                <w:szCs w:val="20"/>
                <w:color w:val="auto"/>
              </w:rPr>
            </w:pPr>
          </w:p>
        </w:tc>
        <w:tc>
          <w:tcPr>
            <w:tcW w:w="10000" w:type="dxa"/>
            <w:vAlign w:val="bottom"/>
            <w:gridSpan w:val="2"/>
          </w:tcPr>
          <w:p>
            <w:pPr>
              <w:ind w:left="1020"/>
              <w:spacing w:after="0"/>
              <w:rPr>
                <w:sz w:val="20"/>
                <w:szCs w:val="20"/>
                <w:color w:val="auto"/>
              </w:rPr>
            </w:pPr>
            <w:r>
              <w:rPr>
                <w:rFonts w:ascii="Arial" w:cs="Arial" w:eastAsia="Arial" w:hAnsi="Arial"/>
                <w:sz w:val="18"/>
                <w:szCs w:val="18"/>
                <w:color w:val="auto"/>
                <w:w w:val="98"/>
              </w:rPr>
              <w:t>for the year ended December 31, 2020, filed with the Securities and Exchange Commission on February 4, 2021).</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4.2</w:t>
            </w:r>
          </w:p>
        </w:tc>
        <w:tc>
          <w:tcPr>
            <w:tcW w:w="10000" w:type="dxa"/>
            <w:vAlign w:val="bottom"/>
            <w:gridSpan w:val="2"/>
          </w:tcPr>
          <w:p>
            <w:pPr>
              <w:ind w:left="1020"/>
              <w:spacing w:after="0"/>
              <w:rPr>
                <w:sz w:val="20"/>
                <w:szCs w:val="20"/>
                <w:color w:val="auto"/>
              </w:rPr>
            </w:pPr>
            <w:r>
              <w:rPr>
                <w:rFonts w:ascii="Arial" w:cs="Arial" w:eastAsia="Arial" w:hAnsi="Arial"/>
                <w:sz w:val="18"/>
                <w:szCs w:val="18"/>
                <w:color w:val="auto"/>
                <w:w w:val="89"/>
              </w:rPr>
              <w:t>First Supplemental Indenture dated as of November 17, 2015 by and among the Company, the guarantors named therein and</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1020"/>
              <w:spacing w:after="0"/>
              <w:rPr>
                <w:sz w:val="20"/>
                <w:szCs w:val="20"/>
                <w:color w:val="auto"/>
              </w:rPr>
            </w:pPr>
            <w:r>
              <w:rPr>
                <w:rFonts w:ascii="Arial" w:cs="Arial" w:eastAsia="Arial" w:hAnsi="Arial"/>
                <w:sz w:val="18"/>
                <w:szCs w:val="18"/>
                <w:color w:val="auto"/>
                <w:w w:val="94"/>
              </w:rPr>
              <w:t>the Trustee (incorporated by reference to Exhibit 4.8 to the Company’s Annual Report on Form 10-K for the year ended</w:t>
            </w:r>
          </w:p>
        </w:tc>
      </w:tr>
      <w:tr>
        <w:trPr>
          <w:trHeight w:val="230"/>
        </w:trPr>
        <w:tc>
          <w:tcPr>
            <w:tcW w:w="1240" w:type="dxa"/>
            <w:vAlign w:val="bottom"/>
          </w:tcPr>
          <w:p>
            <w:pPr>
              <w:spacing w:after="0"/>
              <w:rPr>
                <w:sz w:val="20"/>
                <w:szCs w:val="20"/>
                <w:color w:val="auto"/>
              </w:rPr>
            </w:pPr>
          </w:p>
        </w:tc>
        <w:tc>
          <w:tcPr>
            <w:tcW w:w="10000" w:type="dxa"/>
            <w:vAlign w:val="bottom"/>
            <w:gridSpan w:val="2"/>
          </w:tcPr>
          <w:p>
            <w:pPr>
              <w:ind w:left="1020"/>
              <w:spacing w:after="0"/>
              <w:rPr>
                <w:sz w:val="20"/>
                <w:szCs w:val="20"/>
                <w:color w:val="auto"/>
              </w:rPr>
            </w:pPr>
            <w:r>
              <w:rPr>
                <w:rFonts w:ascii="Arial" w:cs="Arial" w:eastAsia="Arial" w:hAnsi="Arial"/>
                <w:sz w:val="18"/>
                <w:szCs w:val="18"/>
                <w:color w:val="auto"/>
              </w:rPr>
              <w:t>December 31, 2020, filed with the Securities and Exchange Commission on February 4, 2021).</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4.3</w:t>
            </w:r>
          </w:p>
        </w:tc>
        <w:tc>
          <w:tcPr>
            <w:tcW w:w="10000" w:type="dxa"/>
            <w:vAlign w:val="bottom"/>
            <w:gridSpan w:val="2"/>
          </w:tcPr>
          <w:p>
            <w:pPr>
              <w:ind w:left="1020"/>
              <w:spacing w:after="0"/>
              <w:rPr>
                <w:sz w:val="20"/>
                <w:szCs w:val="20"/>
                <w:color w:val="auto"/>
              </w:rPr>
            </w:pPr>
            <w:r>
              <w:rPr>
                <w:rFonts w:ascii="Arial" w:cs="Arial" w:eastAsia="Arial" w:hAnsi="Arial"/>
                <w:sz w:val="18"/>
                <w:szCs w:val="18"/>
                <w:color w:val="auto"/>
                <w:w w:val="92"/>
              </w:rPr>
              <w:t>Form of Officers’ Certificate setting forth the terms of the Notes (incorporated by reference to Exhibit 4.1 to the Company’s</w:t>
            </w:r>
          </w:p>
        </w:tc>
      </w:tr>
      <w:tr>
        <w:trPr>
          <w:trHeight w:val="230"/>
        </w:trPr>
        <w:tc>
          <w:tcPr>
            <w:tcW w:w="1240" w:type="dxa"/>
            <w:vAlign w:val="bottom"/>
          </w:tcPr>
          <w:p>
            <w:pPr>
              <w:spacing w:after="0"/>
              <w:rPr>
                <w:sz w:val="20"/>
                <w:szCs w:val="20"/>
                <w:color w:val="auto"/>
              </w:rPr>
            </w:pPr>
          </w:p>
        </w:tc>
        <w:tc>
          <w:tcPr>
            <w:tcW w:w="10000" w:type="dxa"/>
            <w:vAlign w:val="bottom"/>
            <w:gridSpan w:val="2"/>
          </w:tcPr>
          <w:p>
            <w:pPr>
              <w:ind w:left="1020"/>
              <w:spacing w:after="0"/>
              <w:rPr>
                <w:sz w:val="20"/>
                <w:szCs w:val="20"/>
                <w:color w:val="auto"/>
              </w:rPr>
            </w:pPr>
            <w:r>
              <w:rPr>
                <w:rFonts w:ascii="Arial" w:cs="Arial" w:eastAsia="Arial" w:hAnsi="Arial"/>
                <w:sz w:val="18"/>
                <w:szCs w:val="18"/>
                <w:color w:val="auto"/>
              </w:rPr>
              <w:t>Current Report on Form 8-K filed with the Securities and Exchange Commission on September 14, 2021).</w:t>
            </w:r>
          </w:p>
        </w:tc>
      </w:tr>
      <w:tr>
        <w:trPr>
          <w:trHeight w:val="783"/>
        </w:trPr>
        <w:tc>
          <w:tcPr>
            <w:tcW w:w="1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80" w:firstLine="31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registrants have duly caused this registration statement to be signed on their behalf by the undersigned, thereto duly authorized.</w:t>
      </w:r>
    </w:p>
    <w:p>
      <w:pPr>
        <w:spacing w:after="0" w:line="38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Elizabeth Wideman</w:t>
            </w:r>
          </w:p>
        </w:tc>
      </w:tr>
      <w:tr>
        <w:trPr>
          <w:trHeight w:val="195"/>
        </w:trPr>
        <w:tc>
          <w:tcPr>
            <w:tcW w:w="540" w:type="dxa"/>
            <w:vAlign w:val="bottom"/>
          </w:tcPr>
          <w:p>
            <w:pPr>
              <w:spacing w:after="0"/>
              <w:rPr>
                <w:sz w:val="16"/>
                <w:szCs w:val="16"/>
                <w:color w:val="auto"/>
              </w:rPr>
            </w:pPr>
          </w:p>
        </w:tc>
        <w:tc>
          <w:tcPr>
            <w:tcW w:w="68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3460" w:type="dxa"/>
            <w:vAlign w:val="bottom"/>
          </w:tcPr>
          <w:p>
            <w:pPr>
              <w:ind w:left="100"/>
              <w:spacing w:after="0" w:line="195" w:lineRule="exact"/>
              <w:rPr>
                <w:sz w:val="20"/>
                <w:szCs w:val="20"/>
                <w:color w:val="auto"/>
              </w:rPr>
            </w:pPr>
            <w:r>
              <w:rPr>
                <w:rFonts w:ascii="Arial" w:cs="Arial" w:eastAsia="Arial" w:hAnsi="Arial"/>
                <w:sz w:val="18"/>
                <w:szCs w:val="18"/>
                <w:color w:val="auto"/>
              </w:rPr>
              <w:t>Elizabeth Wideman</w:t>
            </w:r>
          </w:p>
        </w:tc>
      </w:tr>
      <w:tr>
        <w:trPr>
          <w:trHeight w:val="216"/>
        </w:trPr>
        <w:tc>
          <w:tcPr>
            <w:tcW w:w="54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w w:val="91"/>
              </w:rPr>
              <w:t>Senior Vice President, Senior Deputy General</w:t>
            </w:r>
          </w:p>
        </w:tc>
      </w:tr>
      <w:tr>
        <w:trPr>
          <w:trHeight w:val="230"/>
        </w:trPr>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60" w:type="dxa"/>
            <w:vAlign w:val="bottom"/>
          </w:tcPr>
          <w:p>
            <w:pPr>
              <w:ind w:left="100"/>
              <w:spacing w:after="0"/>
              <w:rPr>
                <w:sz w:val="20"/>
                <w:szCs w:val="20"/>
                <w:color w:val="auto"/>
              </w:rPr>
            </w:pPr>
            <w:r>
              <w:rPr>
                <w:rFonts w:ascii="Arial" w:cs="Arial" w:eastAsia="Arial" w:hAnsi="Arial"/>
                <w:sz w:val="18"/>
                <w:szCs w:val="18"/>
                <w:color w:val="auto"/>
              </w:rPr>
              <w:t>Counsel and Assistant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Elizabeth Wideman</w:t>
            </w:r>
          </w:p>
        </w:tc>
      </w:tr>
      <w:tr>
        <w:trPr>
          <w:trHeight w:val="195"/>
        </w:trPr>
        <w:tc>
          <w:tcPr>
            <w:tcW w:w="540" w:type="dxa"/>
            <w:vAlign w:val="bottom"/>
          </w:tcPr>
          <w:p>
            <w:pPr>
              <w:spacing w:after="0"/>
              <w:rPr>
                <w:sz w:val="16"/>
                <w:szCs w:val="16"/>
                <w:color w:val="auto"/>
              </w:rPr>
            </w:pPr>
          </w:p>
        </w:tc>
        <w:tc>
          <w:tcPr>
            <w:tcW w:w="68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3460" w:type="dxa"/>
            <w:vAlign w:val="bottom"/>
          </w:tcPr>
          <w:p>
            <w:pPr>
              <w:ind w:left="100"/>
              <w:spacing w:after="0" w:line="195" w:lineRule="exact"/>
              <w:rPr>
                <w:sz w:val="20"/>
                <w:szCs w:val="20"/>
                <w:color w:val="auto"/>
              </w:rPr>
            </w:pPr>
            <w:r>
              <w:rPr>
                <w:rFonts w:ascii="Arial" w:cs="Arial" w:eastAsia="Arial" w:hAnsi="Arial"/>
                <w:sz w:val="18"/>
                <w:szCs w:val="18"/>
                <w:color w:val="auto"/>
              </w:rPr>
              <w:t>Elizabeth Wideman</w:t>
            </w:r>
          </w:p>
        </w:tc>
      </w:tr>
      <w:tr>
        <w:trPr>
          <w:trHeight w:val="216"/>
        </w:trPr>
        <w:tc>
          <w:tcPr>
            <w:tcW w:w="54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w w:val="91"/>
              </w:rPr>
              <w:t>Senior Vice President, Senior Deputy General</w:t>
            </w:r>
          </w:p>
        </w:tc>
      </w:tr>
      <w:tr>
        <w:trPr>
          <w:trHeight w:val="230"/>
        </w:trPr>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60" w:type="dxa"/>
            <w:vAlign w:val="bottom"/>
          </w:tcPr>
          <w:p>
            <w:pPr>
              <w:ind w:left="100"/>
              <w:spacing w:after="0"/>
              <w:rPr>
                <w:sz w:val="20"/>
                <w:szCs w:val="20"/>
                <w:color w:val="auto"/>
              </w:rPr>
            </w:pPr>
            <w:r>
              <w:rPr>
                <w:rFonts w:ascii="Arial" w:cs="Arial" w:eastAsia="Arial" w:hAnsi="Arial"/>
                <w:sz w:val="18"/>
                <w:szCs w:val="18"/>
                <w:color w:val="auto"/>
              </w:rPr>
              <w:t>Counsel and Assistant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Elizabeth Wideman</w:t>
            </w:r>
          </w:p>
        </w:tc>
      </w:tr>
      <w:tr>
        <w:trPr>
          <w:trHeight w:val="195"/>
        </w:trPr>
        <w:tc>
          <w:tcPr>
            <w:tcW w:w="540" w:type="dxa"/>
            <w:vAlign w:val="bottom"/>
          </w:tcPr>
          <w:p>
            <w:pPr>
              <w:spacing w:after="0"/>
              <w:rPr>
                <w:sz w:val="16"/>
                <w:szCs w:val="16"/>
                <w:color w:val="auto"/>
              </w:rPr>
            </w:pPr>
          </w:p>
        </w:tc>
        <w:tc>
          <w:tcPr>
            <w:tcW w:w="68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3460" w:type="dxa"/>
            <w:vAlign w:val="bottom"/>
          </w:tcPr>
          <w:p>
            <w:pPr>
              <w:ind w:left="100"/>
              <w:spacing w:after="0" w:line="195" w:lineRule="exact"/>
              <w:rPr>
                <w:sz w:val="20"/>
                <w:szCs w:val="20"/>
                <w:color w:val="auto"/>
              </w:rPr>
            </w:pPr>
            <w:r>
              <w:rPr>
                <w:rFonts w:ascii="Arial" w:cs="Arial" w:eastAsia="Arial" w:hAnsi="Arial"/>
                <w:sz w:val="18"/>
                <w:szCs w:val="18"/>
                <w:color w:val="auto"/>
              </w:rPr>
              <w:t>Elizabeth Wideman</w:t>
            </w:r>
          </w:p>
        </w:tc>
      </w:tr>
      <w:tr>
        <w:trPr>
          <w:trHeight w:val="230"/>
        </w:trPr>
        <w:tc>
          <w:tcPr>
            <w:tcW w:w="54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w w:val="90"/>
              </w:rPr>
              <w:t>Senior Vice President and Assistant 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2021-09-14T15:35:06Z</dcterms:created>
  <dcterms:modified xsi:type="dcterms:W3CDTF">2021-09-14T15:35:06Z</dcterms:modified>
</cp:coreProperties>
</file>