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Comcast Corporation</w:t>
      </w:r>
    </w:p>
    <w:p>
      <w:pPr>
        <w:spacing w:after="0" w:line="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44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00" w:type="dxa"/>
            <w:vAlign w:val="bottom"/>
          </w:tcPr>
          <w:p>
            <w:pPr>
              <w:spacing w:after="0"/>
              <w:rPr>
                <w:sz w:val="24"/>
                <w:szCs w:val="24"/>
                <w:color w:val="auto"/>
              </w:rPr>
            </w:pP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56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CMCSA</w:t>
            </w:r>
          </w:p>
        </w:tc>
        <w:tc>
          <w:tcPr>
            <w:tcW w:w="6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8"/>
        </w:trPr>
        <w:tc>
          <w:tcPr>
            <w:tcW w:w="4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CMCS26</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43"/>
        </w:trPr>
        <w:tc>
          <w:tcPr>
            <w:tcW w:w="4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CMCS27</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43"/>
        </w:trPr>
        <w:tc>
          <w:tcPr>
            <w:tcW w:w="4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CMCS29</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43"/>
        </w:trPr>
        <w:tc>
          <w:tcPr>
            <w:tcW w:w="4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CMCS29A</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43"/>
        </w:trPr>
        <w:tc>
          <w:tcPr>
            <w:tcW w:w="4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CMCS32</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43"/>
        </w:trPr>
        <w:tc>
          <w:tcPr>
            <w:tcW w:w="4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CMCS32A</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43"/>
        </w:trPr>
        <w:tc>
          <w:tcPr>
            <w:tcW w:w="4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CMCS36</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43"/>
        </w:trPr>
        <w:tc>
          <w:tcPr>
            <w:tcW w:w="4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CMCS36A</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43"/>
        </w:trPr>
        <w:tc>
          <w:tcPr>
            <w:tcW w:w="4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CMCS40</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43"/>
        </w:trPr>
        <w:tc>
          <w:tcPr>
            <w:tcW w:w="4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CMCS40A</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43"/>
        </w:trPr>
        <w:tc>
          <w:tcPr>
            <w:tcW w:w="4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CCGBP29</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43"/>
        </w:trPr>
        <w:tc>
          <w:tcPr>
            <w:tcW w:w="4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CCZ</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1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240"/>
          </w:cols>
          <w:pgMar w:left="320" w:top="1110" w:right="339" w:bottom="83"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Exhibit 99.1 and incorporated by reference herein is a press release dated June 2, 2026, issued by Comcast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080" w:type="dxa"/>
            <w:vAlign w:val="bottom"/>
          </w:tcPr>
          <w:p>
            <w:pPr>
              <w:spacing w:after="0"/>
              <w:rPr>
                <w:sz w:val="18"/>
                <w:szCs w:val="18"/>
                <w:color w:val="auto"/>
              </w:rPr>
            </w:pPr>
          </w:p>
        </w:tc>
      </w:tr>
      <w:tr>
        <w:trPr>
          <w:trHeight w:val="245"/>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5"/>
                <w:szCs w:val="15"/>
                <w:color w:val="auto"/>
              </w:rPr>
            </w:pPr>
          </w:p>
        </w:tc>
        <w:tc>
          <w:tcPr>
            <w:tcW w:w="101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Comcast Corporation Press Release dated June 2, 2026.</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94"/>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29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3740" w:type="dxa"/>
            <w:vAlign w:val="bottom"/>
          </w:tcPr>
          <w:p>
            <w:pPr>
              <w:spacing w:after="0"/>
              <w:rPr>
                <w:sz w:val="16"/>
                <w:szCs w:val="16"/>
                <w:color w:val="auto"/>
              </w:rPr>
            </w:pPr>
          </w:p>
        </w:tc>
        <w:tc>
          <w:tcPr>
            <w:tcW w:w="2900" w:type="dxa"/>
            <w:vAlign w:val="bottom"/>
          </w:tcPr>
          <w:p>
            <w:pPr>
              <w:ind w:left="23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3740" w:type="dxa"/>
            <w:vAlign w:val="bottom"/>
          </w:tcPr>
          <w:p>
            <w:pPr>
              <w:spacing w:after="0"/>
              <w:rPr>
                <w:sz w:val="18"/>
                <w:szCs w:val="18"/>
                <w:color w:val="auto"/>
              </w:rPr>
            </w:pPr>
          </w:p>
        </w:tc>
        <w:tc>
          <w:tcPr>
            <w:tcW w:w="29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Senior Deputy General Counsel and</w:t>
            </w:r>
          </w:p>
        </w:tc>
      </w:tr>
      <w:tr>
        <w:trPr>
          <w:trHeight w:val="234"/>
        </w:trPr>
        <w:tc>
          <w:tcPr>
            <w:tcW w:w="3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553"/>
        </w:trPr>
        <w:tc>
          <w:tcPr>
            <w:tcW w:w="37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321945</wp:posOffset>
            </wp:positionV>
            <wp:extent cx="2228850" cy="762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885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Comcast Cable Communications, LLC Announce Pricing Terms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Offers to Purchase for Cash Certain of their Outstanding Senior Debt Securities</w:t>
      </w:r>
    </w:p>
    <w:p>
      <w:pPr>
        <w:spacing w:after="0" w:line="198" w:lineRule="exact"/>
        <w:rPr>
          <w:sz w:val="20"/>
          <w:szCs w:val="20"/>
          <w:color w:val="auto"/>
        </w:rPr>
      </w:pPr>
    </w:p>
    <w:p>
      <w:pPr>
        <w:jc w:val="both"/>
        <w:ind w:right="18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Philadelphia, Pennsylvania, June 2, 2026 </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Comcast Corporation, a Pennsylvania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today announced the pricing terms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 previously announced cash tender offers to purchase any and all of its outstanding 2.350% Notes due 2027; 3.300% Notes due February 2027; 3.300% Notes due April 2027; 4.150% Notes due 2028; 3.150% Notes due 2028; 3.550% Notes due 2028; 5.100% Notes due 2029; 4.550% Notes due 2029;</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4.250% Notes due 2030; 3.400% Notes due 2030 and 2.650% Notes due 2030 (together, the “</w:t>
      </w:r>
      <w:r>
        <w:rPr>
          <w:rFonts w:ascii="Times New Roman" w:cs="Times New Roman" w:eastAsia="Times New Roman" w:hAnsi="Times New Roman"/>
          <w:sz w:val="18"/>
          <w:szCs w:val="18"/>
          <w:b w:val="1"/>
          <w:bCs w:val="1"/>
          <w:color w:val="auto"/>
        </w:rPr>
        <w:t>Company Notes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Company Offers</w:t>
      </w:r>
      <w:r>
        <w:rPr>
          <w:rFonts w:ascii="Times New Roman" w:cs="Times New Roman" w:eastAsia="Times New Roman" w:hAnsi="Times New Roman"/>
          <w:sz w:val="18"/>
          <w:szCs w:val="18"/>
          <w:color w:val="auto"/>
        </w:rPr>
        <w:t>”) for the consideration described below. Comcast Cable Communications, LLC, a Delaware limited liability company and wholly-owned subsidiary of the Company (“</w:t>
      </w:r>
      <w:r>
        <w:rPr>
          <w:rFonts w:ascii="Times New Roman" w:cs="Times New Roman" w:eastAsia="Times New Roman" w:hAnsi="Times New Roman"/>
          <w:sz w:val="18"/>
          <w:szCs w:val="18"/>
          <w:b w:val="1"/>
          <w:bCs w:val="1"/>
          <w:color w:val="auto"/>
        </w:rPr>
        <w:t>Comcast Cable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today also announced the pricing terms of its previously announced separate cash tender offers to purchase any and all of its outstanding 8.500% Notes due 2027 and 7.125% Notes due 2028 (together, the “</w:t>
      </w:r>
      <w:r>
        <w:rPr>
          <w:rFonts w:ascii="Times New Roman" w:cs="Times New Roman" w:eastAsia="Times New Roman" w:hAnsi="Times New Roman"/>
          <w:sz w:val="18"/>
          <w:szCs w:val="18"/>
          <w:b w:val="1"/>
          <w:bCs w:val="1"/>
          <w:color w:val="auto"/>
        </w:rPr>
        <w:t>Comcast Cable Notes</w:t>
      </w:r>
      <w:r>
        <w:rPr>
          <w:rFonts w:ascii="Times New Roman" w:cs="Times New Roman" w:eastAsia="Times New Roman" w:hAnsi="Times New Roman"/>
          <w:sz w:val="18"/>
          <w:szCs w:val="18"/>
          <w:color w:val="auto"/>
        </w:rPr>
        <w:t>” and, together with the Company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Comcast Cable Offers</w:t>
      </w:r>
      <w:r>
        <w:rPr>
          <w:rFonts w:ascii="Times New Roman" w:cs="Times New Roman" w:eastAsia="Times New Roman" w:hAnsi="Times New Roman"/>
          <w:sz w:val="18"/>
          <w:szCs w:val="18"/>
          <w:color w:val="auto"/>
        </w:rPr>
        <w:t>” and, together with the Company Offers, the “</w:t>
      </w:r>
      <w:r>
        <w:rPr>
          <w:rFonts w:ascii="Times New Roman" w:cs="Times New Roman" w:eastAsia="Times New Roman" w:hAnsi="Times New Roman"/>
          <w:sz w:val="18"/>
          <w:szCs w:val="18"/>
          <w:b w:val="1"/>
          <w:bCs w:val="1"/>
          <w:color w:val="auto"/>
        </w:rPr>
        <w:t>Offers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for the consideration described below.</w:t>
      </w:r>
    </w:p>
    <w:p>
      <w:pPr>
        <w:spacing w:after="0" w:line="2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Subject to the Consideration Cap Condition (as defined below), the series of Notes that are purchased in the Offers will be based on the acceptance priority levels (each, an “</w:t>
      </w:r>
      <w:r>
        <w:rPr>
          <w:rFonts w:ascii="Times New Roman" w:cs="Times New Roman" w:eastAsia="Times New Roman" w:hAnsi="Times New Roman"/>
          <w:sz w:val="18"/>
          <w:szCs w:val="18"/>
          <w:b w:val="1"/>
          <w:bCs w:val="1"/>
          <w:color w:val="auto"/>
        </w:rPr>
        <w:t>Acceptance Priority Level</w:t>
      </w:r>
      <w:r>
        <w:rPr>
          <w:rFonts w:ascii="Times New Roman" w:cs="Times New Roman" w:eastAsia="Times New Roman" w:hAnsi="Times New Roman"/>
          <w:sz w:val="18"/>
          <w:szCs w:val="18"/>
          <w:color w:val="auto"/>
        </w:rPr>
        <w:t>”) set forth in the table below. If a given series of Notes is accepted for purchase pursuant to the Offers, all Notes of that series that are validly tendered and not validly withdrawn will be accepted for purchase. No series of Notes will be subject to proration pursuant to the Offers.</w:t>
      </w:r>
    </w:p>
    <w:p>
      <w:pPr>
        <w:spacing w:after="0" w:line="17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Offers are made upon the terms and subject to the conditions set forth in the Offer to Purchase dated May 27, 2026 relating to the Notes (the “</w:t>
      </w:r>
      <w:r>
        <w:rPr>
          <w:rFonts w:ascii="Times New Roman" w:cs="Times New Roman" w:eastAsia="Times New Roman" w:hAnsi="Times New Roman"/>
          <w:sz w:val="18"/>
          <w:szCs w:val="18"/>
          <w:b w:val="1"/>
          <w:bCs w:val="1"/>
          <w:color w:val="auto"/>
        </w:rPr>
        <w:t>Offer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and the notice of guaranteed delivery attached as Appendix A to the Offer to Purchase (the “</w:t>
      </w:r>
      <w:r>
        <w:rPr>
          <w:rFonts w:ascii="Times New Roman" w:cs="Times New Roman" w:eastAsia="Times New Roman" w:hAnsi="Times New Roman"/>
          <w:sz w:val="18"/>
          <w:szCs w:val="18"/>
          <w:b w:val="1"/>
          <w:bCs w:val="1"/>
          <w:color w:val="auto"/>
        </w:rPr>
        <w:t>Notice of Guaranteed Delivery</w:t>
      </w:r>
      <w:r>
        <w:rPr>
          <w:rFonts w:ascii="Times New Roman" w:cs="Times New Roman" w:eastAsia="Times New Roman" w:hAnsi="Times New Roman"/>
          <w:sz w:val="18"/>
          <w:szCs w:val="18"/>
          <w:color w:val="auto"/>
        </w:rPr>
        <w:t>” and,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Offer to Purchase, the “</w:t>
      </w:r>
      <w:r>
        <w:rPr>
          <w:rFonts w:ascii="Times New Roman" w:cs="Times New Roman" w:eastAsia="Times New Roman" w:hAnsi="Times New Roman"/>
          <w:sz w:val="18"/>
          <w:szCs w:val="18"/>
          <w:b w:val="1"/>
          <w:bCs w:val="1"/>
          <w:color w:val="auto"/>
        </w:rPr>
        <w:t>Tender Offer Documents</w:t>
      </w:r>
      <w:r>
        <w:rPr>
          <w:rFonts w:ascii="Times New Roman" w:cs="Times New Roman" w:eastAsia="Times New Roman" w:hAnsi="Times New Roman"/>
          <w:sz w:val="18"/>
          <w:szCs w:val="18"/>
          <w:color w:val="auto"/>
        </w:rPr>
        <w:t>”). Capitalized terms used but not defined in this news release have the meanings given to them in the Offer to Purchase.</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Set forth in the table below is the applicable Total Consideration (as defined below) for each series of Notes, as calculated as of 2:00 p.m. (Eastern time) today, June 2, 2026, in accordance with the Offer to Purchase.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Acceptance</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13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CUSIP / ISIN</w:t>
            </w:r>
          </w:p>
        </w:tc>
        <w:tc>
          <w:tcPr>
            <w:tcW w:w="10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0" w:type="dxa"/>
            <w:vAlign w:val="bottom"/>
          </w:tcPr>
          <w:p>
            <w:pPr>
              <w:spacing w:after="0"/>
              <w:rPr>
                <w:sz w:val="13"/>
                <w:szCs w:val="13"/>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Bloomberg</w:t>
            </w:r>
          </w:p>
        </w:tc>
        <w:tc>
          <w:tcPr>
            <w:tcW w:w="100" w:type="dxa"/>
            <w:vAlign w:val="bottom"/>
          </w:tcPr>
          <w:p>
            <w:pPr>
              <w:spacing w:after="0"/>
              <w:rPr>
                <w:sz w:val="13"/>
                <w:szCs w:val="13"/>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Fixed Spread</w:t>
            </w:r>
          </w:p>
        </w:tc>
        <w:tc>
          <w:tcPr>
            <w:tcW w:w="120" w:type="dxa"/>
            <w:vAlign w:val="bottom"/>
          </w:tcPr>
          <w:p>
            <w:pPr>
              <w:spacing w:after="0"/>
              <w:rPr>
                <w:sz w:val="13"/>
                <w:szCs w:val="13"/>
                <w:color w:val="auto"/>
              </w:rPr>
            </w:pPr>
          </w:p>
        </w:tc>
        <w:tc>
          <w:tcPr>
            <w:tcW w:w="12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Priority</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Notes</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10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(Basis Points)</w:t>
            </w: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Nos.(2)</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Security(3)</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Yield(3)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Page(3)</w:t>
            </w:r>
          </w:p>
        </w:tc>
        <w:tc>
          <w:tcPr>
            <w:tcW w:w="9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2.350%</w:t>
            </w:r>
          </w:p>
        </w:tc>
        <w:tc>
          <w:tcPr>
            <w:tcW w:w="1360" w:type="dxa"/>
            <w:vAlign w:val="bottom"/>
            <w:tcBorders>
              <w:top w:val="single" w:sz="8" w:color="auto"/>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rPr>
              <w:t>Notes due 2027 issued</w:t>
            </w:r>
          </w:p>
        </w:tc>
        <w:tc>
          <w:tcPr>
            <w:tcW w:w="100" w:type="dxa"/>
            <w:vAlign w:val="bottom"/>
          </w:tcPr>
          <w:p>
            <w:pPr>
              <w:spacing w:after="0"/>
              <w:rPr>
                <w:sz w:val="10"/>
                <w:szCs w:val="10"/>
                <w:color w:val="auto"/>
              </w:rPr>
            </w:pPr>
          </w:p>
        </w:tc>
        <w:tc>
          <w:tcPr>
            <w:tcW w:w="12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$1,400,000,000</w:t>
            </w:r>
          </w:p>
        </w:tc>
        <w:tc>
          <w:tcPr>
            <w:tcW w:w="120" w:type="dxa"/>
            <w:vAlign w:val="bottom"/>
          </w:tcPr>
          <w:p>
            <w:pPr>
              <w:spacing w:after="0"/>
              <w:rPr>
                <w:sz w:val="10"/>
                <w:szCs w:val="10"/>
                <w:color w:val="auto"/>
              </w:rPr>
            </w:pPr>
          </w:p>
        </w:tc>
        <w:tc>
          <w:tcPr>
            <w:tcW w:w="13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20030NBW0 /</w:t>
            </w:r>
          </w:p>
        </w:tc>
        <w:tc>
          <w:tcPr>
            <w:tcW w:w="10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4.000% U.S.</w:t>
            </w:r>
          </w:p>
        </w:tc>
        <w:tc>
          <w:tcPr>
            <w:tcW w:w="10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3.794%</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FIT3</w:t>
            </w:r>
          </w:p>
        </w:tc>
        <w:tc>
          <w:tcPr>
            <w:tcW w:w="10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0"/>
                <w:szCs w:val="10"/>
                <w:color w:val="auto"/>
              </w:rPr>
            </w:pPr>
          </w:p>
        </w:tc>
        <w:tc>
          <w:tcPr>
            <w:tcW w:w="12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$991.04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by the Company</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US20030NBW02</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3.300%</w:t>
            </w: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Notes due February</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$1,250,000,000</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20030NBY6 /</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15, 2027</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3.822%</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FIT3</w:t>
            </w:r>
          </w:p>
        </w:tc>
        <w:tc>
          <w:tcPr>
            <w:tcW w:w="9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+5</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$996.30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4.125% U.S.</w:t>
            </w: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2027 issued by the Company</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US20030NBY67</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31, 2027</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6"/>
        </w:trPr>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Acceptance</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13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CUSIP / ISIN</w:t>
            </w:r>
          </w:p>
        </w:tc>
        <w:tc>
          <w:tcPr>
            <w:tcW w:w="100" w:type="dxa"/>
            <w:vAlign w:val="bottom"/>
          </w:tcPr>
          <w:p>
            <w:pPr>
              <w:spacing w:after="0"/>
              <w:rPr>
                <w:sz w:val="13"/>
                <w:szCs w:val="13"/>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0" w:type="dxa"/>
            <w:vAlign w:val="bottom"/>
          </w:tcPr>
          <w:p>
            <w:pPr>
              <w:spacing w:after="0"/>
              <w:rPr>
                <w:sz w:val="13"/>
                <w:szCs w:val="13"/>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Bloomberg</w:t>
            </w:r>
          </w:p>
        </w:tc>
        <w:tc>
          <w:tcPr>
            <w:tcW w:w="100" w:type="dxa"/>
            <w:vAlign w:val="bottom"/>
          </w:tcPr>
          <w:p>
            <w:pPr>
              <w:spacing w:after="0"/>
              <w:rPr>
                <w:sz w:val="13"/>
                <w:szCs w:val="13"/>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Fixed Spread</w:t>
            </w:r>
          </w:p>
        </w:tc>
        <w:tc>
          <w:tcPr>
            <w:tcW w:w="120" w:type="dxa"/>
            <w:vAlign w:val="bottom"/>
          </w:tcPr>
          <w:p>
            <w:pPr>
              <w:spacing w:after="0"/>
              <w:rPr>
                <w:sz w:val="13"/>
                <w:szCs w:val="13"/>
                <w:color w:val="auto"/>
              </w:rPr>
            </w:pPr>
          </w:p>
        </w:tc>
        <w:tc>
          <w:tcPr>
            <w:tcW w:w="12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Priority</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Notes</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10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(Basis Points)</w:t>
            </w: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Nos.(2)</w:t>
            </w:r>
          </w:p>
        </w:tc>
        <w:tc>
          <w:tcPr>
            <w:tcW w:w="1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Security(3)</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Yield(3)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Page(3)</w:t>
            </w:r>
          </w:p>
        </w:tc>
        <w:tc>
          <w:tcPr>
            <w:tcW w:w="9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Consideration(3)</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3.300%</w:t>
            </w:r>
          </w:p>
        </w:tc>
        <w:tc>
          <w:tcPr>
            <w:tcW w:w="1360" w:type="dxa"/>
            <w:vAlign w:val="bottom"/>
            <w:tcBorders>
              <w:top w:val="single" w:sz="8" w:color="auto"/>
            </w:tcBorders>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Notes due April 2027</w:t>
            </w:r>
          </w:p>
        </w:tc>
        <w:tc>
          <w:tcPr>
            <w:tcW w:w="100" w:type="dxa"/>
            <w:vAlign w:val="bottom"/>
          </w:tcPr>
          <w:p>
            <w:pPr>
              <w:spacing w:after="0"/>
              <w:rPr>
                <w:sz w:val="10"/>
                <w:szCs w:val="10"/>
                <w:color w:val="auto"/>
              </w:rPr>
            </w:pPr>
          </w:p>
        </w:tc>
        <w:tc>
          <w:tcPr>
            <w:tcW w:w="12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$638,976,000</w:t>
            </w:r>
          </w:p>
        </w:tc>
        <w:tc>
          <w:tcPr>
            <w:tcW w:w="120" w:type="dxa"/>
            <w:vAlign w:val="bottom"/>
          </w:tcPr>
          <w:p>
            <w:pPr>
              <w:spacing w:after="0"/>
              <w:rPr>
                <w:sz w:val="10"/>
                <w:szCs w:val="10"/>
                <w:color w:val="auto"/>
              </w:rPr>
            </w:pPr>
          </w:p>
        </w:tc>
        <w:tc>
          <w:tcPr>
            <w:tcW w:w="13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20030NDK4 /</w:t>
            </w:r>
          </w:p>
        </w:tc>
        <w:tc>
          <w:tcPr>
            <w:tcW w:w="100" w:type="dxa"/>
            <w:vAlign w:val="bottom"/>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3.875%</w:t>
            </w:r>
          </w:p>
        </w:tc>
        <w:tc>
          <w:tcPr>
            <w:tcW w:w="4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U.S.</w:t>
            </w:r>
          </w:p>
        </w:tc>
        <w:tc>
          <w:tcPr>
            <w:tcW w:w="10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3.865%</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FIT3</w:t>
            </w:r>
          </w:p>
        </w:tc>
        <w:tc>
          <w:tcPr>
            <w:tcW w:w="10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0"/>
                <w:szCs w:val="10"/>
                <w:color w:val="auto"/>
              </w:rPr>
            </w:pPr>
          </w:p>
        </w:tc>
        <w:tc>
          <w:tcPr>
            <w:tcW w:w="12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$995.03</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issued by the Company</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US20030NDK46</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8.500%</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Notes due 2027 issued</w:t>
            </w:r>
          </w:p>
        </w:tc>
        <w:tc>
          <w:tcPr>
            <w:tcW w:w="13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$206,580,000</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20029PAH2 /</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31, 2027</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4.045%</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FIT1</w:t>
            </w:r>
          </w:p>
        </w:tc>
        <w:tc>
          <w:tcPr>
            <w:tcW w:w="9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$1,036.89</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w:t>
            </w: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by Comcast Cable</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US20029PAH29</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4.150%</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Notes due 2028 issued</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$3,220,877,000</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20030NCT6 /</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31, 2028</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4.045%</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FIT1</w:t>
            </w:r>
          </w:p>
        </w:tc>
        <w:tc>
          <w:tcPr>
            <w:tcW w:w="9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+20</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$997.84</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w:t>
            </w: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by the Company</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US20030NCT63</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3.150%</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Notes due 2028 issued</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$1,298,079,000</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20030NCA7 /</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31, 2028</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4.045%</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FIT1</w:t>
            </w:r>
          </w:p>
        </w:tc>
        <w:tc>
          <w:tcPr>
            <w:tcW w:w="9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$983.84</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w:t>
            </w: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by the Company</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US20030NCA72</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7.125%</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Notes due 2028 issued</w:t>
            </w:r>
          </w:p>
        </w:tc>
        <w:tc>
          <w:tcPr>
            <w:tcW w:w="13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$292,883,000</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872287AL1 /</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31, 2028</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4.045%</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FIT1</w:t>
            </w:r>
          </w:p>
        </w:tc>
        <w:tc>
          <w:tcPr>
            <w:tcW w:w="9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+15</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$1,047.36</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w:t>
            </w: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by Comcast Cable</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US872287AL19</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3.550%</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Notes due 2028 issued</w:t>
            </w:r>
          </w:p>
        </w:tc>
        <w:tc>
          <w:tcPr>
            <w:tcW w:w="13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$784,735,000</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20030NCH2 /</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31, 2028</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4.045%</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FIT1</w:t>
            </w:r>
          </w:p>
        </w:tc>
        <w:tc>
          <w:tcPr>
            <w:tcW w:w="9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+15</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$988.28</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w:t>
            </w: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by the Company</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US20030NCH26</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5.100%</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Notes due 2029 issued</w:t>
            </w:r>
          </w:p>
        </w:tc>
        <w:tc>
          <w:tcPr>
            <w:tcW w:w="13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$600,632,000</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20030NEH0 /</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31, 2028</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4.090%</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FIT1</w:t>
            </w:r>
          </w:p>
        </w:tc>
        <w:tc>
          <w:tcPr>
            <w:tcW w:w="9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+20</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$1,021.93</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3.875% U.S.</w:t>
            </w: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by the Company</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US20030NEH08</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4.550%</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Notes due 2029 issued</w:t>
            </w:r>
          </w:p>
        </w:tc>
        <w:tc>
          <w:tcPr>
            <w:tcW w:w="134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$832,642,000</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20030NED9 /</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15, 2029</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4.090%</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FIT1</w:t>
            </w:r>
          </w:p>
        </w:tc>
        <w:tc>
          <w:tcPr>
            <w:tcW w:w="9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+20</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$1,006.15</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3.875% U.S.</w:t>
            </w: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by the Company</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US20030NED93</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11</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4.250%</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Notes due 2030 issued</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$1,500,000,000</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20030NCU3 /</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15, 2029</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4.173%</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FIT1</w:t>
            </w:r>
          </w:p>
        </w:tc>
        <w:tc>
          <w:tcPr>
            <w:tcW w:w="9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+35</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$989.26</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3.875% U.S.</w:t>
            </w: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by the Company</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US20030NCU37</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3.400%</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Notes due 2030 issued</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$1,600,000,000</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20030NDG3 /</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30, 2031</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4.173%</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FIT1</w:t>
            </w:r>
          </w:p>
        </w:tc>
        <w:tc>
          <w:tcPr>
            <w:tcW w:w="9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+30</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$962.64</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3.875% U.S.</w:t>
            </w: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by the Company</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US20030NDG34</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2.650%</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Notes due 2030 issued</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$1,600,000,000</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20030NDA6 /</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30, 2031</w:t>
            </w:r>
          </w:p>
        </w:tc>
        <w:tc>
          <w:tcPr>
            <w:tcW w:w="122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4.173%</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FIT1</w:t>
            </w:r>
          </w:p>
        </w:tc>
        <w:tc>
          <w:tcPr>
            <w:tcW w:w="9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+30</w:t>
            </w:r>
          </w:p>
        </w:tc>
        <w:tc>
          <w:tcPr>
            <w:tcW w:w="13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$939.11</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3.875% U.S.</w:t>
            </w: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by the Company</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US20030NDA63</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Treasury due</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April 30, 2031</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40" w:hanging="332"/>
        <w:spacing w:after="0" w:line="272" w:lineRule="auto"/>
        <w:tabs>
          <w:tab w:leader="none" w:pos="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satisfaction or waiver by the Issuers of the conditions of the Offers described in the Offer to Purchase, if the Consideration Cap Condition is not satisfied with respect to all series of Notes, we will accept Notes for purchase in the order of their respective Acceptance Priority Level specified in this table (each, an “Acceptance Priority Level,” with 1 being the highest Acceptance Priority Level and 13 being the lowest Acceptance Priority Level). It is possible that a series of Notes with a particular Acceptance Priority Level will not be accepted for purchase even if one or more series with a higher or lower Acceptance Priority Level are accepted for purchase.</w:t>
      </w:r>
    </w:p>
    <w:p>
      <w:pPr>
        <w:spacing w:after="0" w:line="185" w:lineRule="exact"/>
        <w:rPr>
          <w:rFonts w:ascii="Times New Roman" w:cs="Times New Roman" w:eastAsia="Times New Roman" w:hAnsi="Times New Roman"/>
          <w:sz w:val="16"/>
          <w:szCs w:val="16"/>
          <w:color w:val="auto"/>
        </w:rPr>
      </w:pPr>
    </w:p>
    <w:p>
      <w:pPr>
        <w:ind w:left="340" w:right="80" w:hanging="332"/>
        <w:spacing w:after="0" w:line="298" w:lineRule="auto"/>
        <w:tabs>
          <w:tab w:leader="none" w:pos="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representation is made by the Issuers as to the correctness or accuracy of the CUSIP numbers or ISINs listed in the Offer to Purchase or printed on the Notes. They are provided solely for convenience.</w:t>
      </w:r>
    </w:p>
    <w:p>
      <w:pPr>
        <w:spacing w:after="0" w:line="162" w:lineRule="exact"/>
        <w:rPr>
          <w:rFonts w:ascii="Times New Roman" w:cs="Times New Roman" w:eastAsia="Times New Roman" w:hAnsi="Times New Roman"/>
          <w:sz w:val="16"/>
          <w:szCs w:val="16"/>
          <w:color w:val="auto"/>
        </w:rPr>
      </w:pPr>
    </w:p>
    <w:p>
      <w:pPr>
        <w:ind w:left="340" w:right="40" w:hanging="332"/>
        <w:spacing w:after="0" w:line="276" w:lineRule="auto"/>
        <w:tabs>
          <w:tab w:leader="none" w:pos="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consideration for each series of Notes (such consideration, the “</w:t>
      </w:r>
      <w:r>
        <w:rPr>
          <w:rFonts w:ascii="Times New Roman" w:cs="Times New Roman" w:eastAsia="Times New Roman" w:hAnsi="Times New Roman"/>
          <w:sz w:val="16"/>
          <w:szCs w:val="16"/>
          <w:b w:val="1"/>
          <w:bCs w:val="1"/>
          <w:color w:val="auto"/>
        </w:rPr>
        <w:t>Total Consideration</w:t>
      </w:r>
      <w:r>
        <w:rPr>
          <w:rFonts w:ascii="Times New Roman" w:cs="Times New Roman" w:eastAsia="Times New Roman" w:hAnsi="Times New Roman"/>
          <w:sz w:val="16"/>
          <w:szCs w:val="16"/>
          <w:color w:val="auto"/>
        </w:rPr>
        <w:t>”) payable per each $1,000 principal amount of such series of Notes validly tendered for purchase has been based on the applicable fixed spread (as specified in this table, the “</w:t>
      </w:r>
      <w:r>
        <w:rPr>
          <w:rFonts w:ascii="Times New Roman" w:cs="Times New Roman" w:eastAsia="Times New Roman" w:hAnsi="Times New Roman"/>
          <w:sz w:val="16"/>
          <w:szCs w:val="16"/>
          <w:b w:val="1"/>
          <w:bCs w:val="1"/>
          <w:color w:val="auto"/>
        </w:rPr>
        <w:t>Fixed Spread</w:t>
      </w:r>
      <w:r>
        <w:rPr>
          <w:rFonts w:ascii="Times New Roman" w:cs="Times New Roman" w:eastAsia="Times New Roman" w:hAnsi="Times New Roman"/>
          <w:sz w:val="16"/>
          <w:szCs w:val="16"/>
          <w:color w:val="auto"/>
        </w:rPr>
        <w:t>”) for such series of Notes, plus the applicable yield (the “</w:t>
      </w:r>
      <w:r>
        <w:rPr>
          <w:rFonts w:ascii="Times New Roman" w:cs="Times New Roman" w:eastAsia="Times New Roman" w:hAnsi="Times New Roman"/>
          <w:sz w:val="16"/>
          <w:szCs w:val="16"/>
          <w:b w:val="1"/>
          <w:bCs w:val="1"/>
          <w:color w:val="auto"/>
        </w:rPr>
        <w:t>Reference Yield</w:t>
      </w:r>
      <w:r>
        <w:rPr>
          <w:rFonts w:ascii="Times New Roman" w:cs="Times New Roman" w:eastAsia="Times New Roman" w:hAnsi="Times New Roman"/>
          <w:sz w:val="16"/>
          <w:szCs w:val="16"/>
          <w:color w:val="auto"/>
        </w:rPr>
        <w:t>”) based on the bid-side price of the applicable U.S. Treasury reference security as specified in this table (as applicable to each such series of Notes, the “</w:t>
      </w:r>
      <w:r>
        <w:rPr>
          <w:rFonts w:ascii="Times New Roman" w:cs="Times New Roman" w:eastAsia="Times New Roman" w:hAnsi="Times New Roman"/>
          <w:sz w:val="16"/>
          <w:szCs w:val="16"/>
          <w:b w:val="1"/>
          <w:bCs w:val="1"/>
          <w:color w:val="auto"/>
        </w:rPr>
        <w:t>Reference Security</w:t>
      </w:r>
      <w:r>
        <w:rPr>
          <w:rFonts w:ascii="Times New Roman" w:cs="Times New Roman" w:eastAsia="Times New Roman" w:hAnsi="Times New Roman"/>
          <w:sz w:val="16"/>
          <w:szCs w:val="16"/>
          <w:color w:val="auto"/>
        </w:rPr>
        <w:t>”) as quoted on the applicable Bloomberg page (with respect to each Reference</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21" w:right="359" w:bottom="1440" w:gutter="0" w:footer="0" w:header="0"/>
        </w:sectPr>
      </w:pPr>
    </w:p>
    <w:bookmarkStart w:id="6" w:name="page7"/>
    <w:bookmarkEnd w:id="6"/>
    <w:p>
      <w:pPr>
        <w:ind w:left="340" w:right="200"/>
        <w:spacing w:after="0" w:line="282" w:lineRule="auto"/>
        <w:rPr>
          <w:sz w:val="20"/>
          <w:szCs w:val="20"/>
          <w:color w:val="auto"/>
        </w:rPr>
      </w:pPr>
      <w:r>
        <w:rPr>
          <w:rFonts w:ascii="Times New Roman" w:cs="Times New Roman" w:eastAsia="Times New Roman" w:hAnsi="Times New Roman"/>
          <w:sz w:val="16"/>
          <w:szCs w:val="16"/>
          <w:color w:val="auto"/>
        </w:rPr>
        <w:t>Security, the “</w:t>
      </w:r>
      <w:r>
        <w:rPr>
          <w:rFonts w:ascii="Times New Roman" w:cs="Times New Roman" w:eastAsia="Times New Roman" w:hAnsi="Times New Roman"/>
          <w:sz w:val="16"/>
          <w:szCs w:val="16"/>
          <w:b w:val="1"/>
          <w:bCs w:val="1"/>
          <w:color w:val="auto"/>
        </w:rPr>
        <w:t>Bloomberg Reference Page</w:t>
      </w:r>
      <w:r>
        <w:rPr>
          <w:rFonts w:ascii="Times New Roman" w:cs="Times New Roman" w:eastAsia="Times New Roman" w:hAnsi="Times New Roman"/>
          <w:sz w:val="16"/>
          <w:szCs w:val="16"/>
          <w:color w:val="auto"/>
        </w:rPr>
        <w:t>”) as of 2:00 p.m. (Eastern time) today, June 2, 2026. The formula for determining the Total Consideration is set forth on Annex A to the Offer to Purchase. See “Description of the Offers—Determination of the Total Consideration” in the Offer to Purchase. The Total Consideration does not include the applicable Accrued Coupon Payment (as defined below), which will be payable in cash in addition to the applicable Total Consideration.</w:t>
      </w:r>
    </w:p>
    <w:p>
      <w:pPr>
        <w:spacing w:after="0" w:line="1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Offers will expire at 5:00 p.m. (Eastern time) today, June 2, 2026, unless extended or earlier terminated (such date and time with respect to an Offer, as the same may be extended with respect to such Offer,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Notes tendered for purchase may be validly withdrawn at any time at or prior to 5:00 p.m. (Eastern time) today, June 2, 2026 (such date and time with respect to an Offer, as the same may be extended with respect to such Offer, the “</w:t>
      </w:r>
      <w:r>
        <w:rPr>
          <w:rFonts w:ascii="Times New Roman" w:cs="Times New Roman" w:eastAsia="Times New Roman" w:hAnsi="Times New Roman"/>
          <w:sz w:val="18"/>
          <w:szCs w:val="18"/>
          <w:b w:val="1"/>
          <w:bCs w:val="1"/>
          <w:color w:val="auto"/>
        </w:rPr>
        <w:t>Withdrawal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For Holders who deliver a Notice of Guaranteed Delivery and all other required documentation at or prior to the Expiration Date, upon the terms and subject to the conditions set forth in the Tender Offer Documents, the deadline to validly tender Notes using the Guaranteed Delivery Procedures (as defined in the Offer to Purchase) is expected to be 5:00 p.m. (Eastern time) on June 4, 2026, the second business day after the Expiration Date, unless extended with respect to any Offer (the “</w:t>
      </w:r>
      <w:r>
        <w:rPr>
          <w:rFonts w:ascii="Times New Roman" w:cs="Times New Roman" w:eastAsia="Times New Roman" w:hAnsi="Times New Roman"/>
          <w:sz w:val="18"/>
          <w:szCs w:val="18"/>
          <w:b w:val="1"/>
          <w:bCs w:val="1"/>
          <w:color w:val="auto"/>
        </w:rPr>
        <w:t>Guaranteed Delivery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Provided that all conditions to the Offers have been satisfied or waived by the Issuers by the Expiration Date, the Issuers will pay the Total Consideration in respect of all Notes validly tendered and not validly withdrawn at or prior to the Expiration Date (and accepted for purchase by the Issuers) on the “Settlement Date,” which is expected to be June 5, 2026, the third business day after the Expiration Date and the first business day after the Guaranteed Delivery Date, unless extended by the Issuers with respect to any Offer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Offer to Purchase, Holders whose Notes are accepted by the Issuers for purchase in the Offers will receive the applicable Total Consideration specified in the table above for each $1,000 principal amount of such Notes in cash on the Settlement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applicable Total Consideration, Holders whose Notes are accepted by the Issuers for purchase pursuant to an Offer will receive a cash payment equal to the accrued and unpaid interest on such Notes from and including the immediately preceding interest payment date for such Notes to, but excluding, the Settlement Date (the “</w:t>
      </w:r>
      <w:r>
        <w:rPr>
          <w:rFonts w:ascii="Times New Roman" w:cs="Times New Roman" w:eastAsia="Times New Roman" w:hAnsi="Times New Roman"/>
          <w:sz w:val="18"/>
          <w:szCs w:val="18"/>
          <w:b w:val="1"/>
          <w:bCs w:val="1"/>
          <w:color w:val="auto"/>
        </w:rPr>
        <w:t>Accrued Coupon Payment</w:t>
      </w:r>
      <w:r>
        <w:rPr>
          <w:rFonts w:ascii="Times New Roman" w:cs="Times New Roman" w:eastAsia="Times New Roman" w:hAnsi="Times New Roman"/>
          <w:sz w:val="18"/>
          <w:szCs w:val="18"/>
          <w:color w:val="auto"/>
        </w:rPr>
        <w:t>”). Interest will cease to accrue on the Settlement Date for all Notes accepted for purchase in the Offers. Under no circumstances will any interest be payable because of any delay in the transmission of funds to Holders by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or its participants.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Issuers’ obligation to complete an Offer with respect to a particular series of Notes validly tendered is conditioned on the satisfaction of conditions described in the Offer to Purchase, including that the aggregate Total Consideration payable for all Notes purchased in the Offers (the “</w:t>
      </w:r>
      <w:r>
        <w:rPr>
          <w:rFonts w:ascii="Times New Roman" w:cs="Times New Roman" w:eastAsia="Times New Roman" w:hAnsi="Times New Roman"/>
          <w:sz w:val="18"/>
          <w:szCs w:val="18"/>
          <w:b w:val="1"/>
          <w:bCs w:val="1"/>
          <w:color w:val="auto"/>
        </w:rPr>
        <w:t>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 Amount</w:t>
      </w:r>
      <w:r>
        <w:rPr>
          <w:rFonts w:ascii="Times New Roman" w:cs="Times New Roman" w:eastAsia="Times New Roman" w:hAnsi="Times New Roman"/>
          <w:sz w:val="18"/>
          <w:szCs w:val="18"/>
          <w:color w:val="auto"/>
        </w:rPr>
        <w:t>”) not exceed $3,750,000,000 (the “</w:t>
      </w:r>
      <w:r>
        <w:rPr>
          <w:rFonts w:ascii="Times New Roman" w:cs="Times New Roman" w:eastAsia="Times New Roman" w:hAnsi="Times New Roman"/>
          <w:sz w:val="18"/>
          <w:szCs w:val="18"/>
          <w:b w:val="1"/>
          <w:bCs w:val="1"/>
          <w:color w:val="auto"/>
        </w:rPr>
        <w:t>Consideration Cap Amount</w:t>
      </w:r>
      <w:r>
        <w:rPr>
          <w:rFonts w:ascii="Times New Roman" w:cs="Times New Roman" w:eastAsia="Times New Roman" w:hAnsi="Times New Roman"/>
          <w:sz w:val="18"/>
          <w:szCs w:val="18"/>
          <w:color w:val="auto"/>
        </w:rPr>
        <w:t>”), and on the Consideration Cap Amount being sufficient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Total Consideration for all validly tendered and not validly withdrawn Notes of such series (after accounting for all validly tendered Notes that have a higher Acceptance Priority Level) (the “</w:t>
      </w:r>
      <w:r>
        <w:rPr>
          <w:rFonts w:ascii="Times New Roman" w:cs="Times New Roman" w:eastAsia="Times New Roman" w:hAnsi="Times New Roman"/>
          <w:sz w:val="18"/>
          <w:szCs w:val="18"/>
          <w:b w:val="1"/>
          <w:bCs w:val="1"/>
          <w:color w:val="auto"/>
        </w:rPr>
        <w:t>Consideration Cap Condition</w:t>
      </w:r>
      <w:r>
        <w:rPr>
          <w:rFonts w:ascii="Times New Roman" w:cs="Times New Roman" w:eastAsia="Times New Roman" w:hAnsi="Times New Roman"/>
          <w:sz w:val="18"/>
          <w:szCs w:val="18"/>
          <w:color w:val="auto"/>
        </w:rPr>
        <w:t>”). Each Issuer reserves the right, but is under no obligation, to increase or waive the Consideration Cap Amount, in its sole discretion subject to applicable law, with or without extending the Withdrawal Date. No assurance can be given that the Issuers will increase or waive the Consideration Cap Amount. If Holders tender more Notes in the Offers than they expect to be accepted for purchase based on the Consideration Cap Amount and the Issuers subsequently accept more than such Holders expected of such Notes tendered as a result of an increase of the Consideration Cap Amount, such Holders may not be able to withdraw any of their previously tendered Notes. Accordingly, Holders should not tender any Notes that they do not wish to be accepted for purchase.</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The Issuers have retained Morgan Stanley &amp; Co. LLC and Wells Fargo Securities, LLC to act as dealer managers (the “</w:t>
      </w:r>
      <w:r>
        <w:rPr>
          <w:rFonts w:ascii="Times New Roman" w:cs="Times New Roman" w:eastAsia="Times New Roman" w:hAnsi="Times New Roman"/>
          <w:sz w:val="18"/>
          <w:szCs w:val="18"/>
          <w:b w:val="1"/>
          <w:bCs w:val="1"/>
          <w:color w:val="auto"/>
        </w:rPr>
        <w:t>Dealer Managers</w:t>
      </w:r>
      <w:r>
        <w:rPr>
          <w:rFonts w:ascii="Times New Roman" w:cs="Times New Roman" w:eastAsia="Times New Roman" w:hAnsi="Times New Roman"/>
          <w:sz w:val="18"/>
          <w:szCs w:val="18"/>
          <w:color w:val="auto"/>
        </w:rPr>
        <w:t>”) for the Offers.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regarding the terms and conditions for the Offers should be directed to:</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238"/>
        </w:trPr>
        <w:tc>
          <w:tcPr>
            <w:tcW w:w="414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Morgan Stanley</w:t>
            </w:r>
          </w:p>
        </w:tc>
        <w:tc>
          <w:tcPr>
            <w:tcW w:w="456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Wells Fargo Securities</w:t>
            </w:r>
          </w:p>
        </w:tc>
      </w:tr>
      <w:tr>
        <w:trPr>
          <w:trHeight w:val="417"/>
        </w:trPr>
        <w:tc>
          <w:tcPr>
            <w:tcW w:w="414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Morgan Stanley &amp; Co. LLC</w:t>
            </w:r>
          </w:p>
        </w:tc>
        <w:tc>
          <w:tcPr>
            <w:tcW w:w="45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Wells Fargo Securities, LLC</w:t>
            </w:r>
          </w:p>
        </w:tc>
      </w:tr>
      <w:tr>
        <w:trPr>
          <w:trHeight w:val="253"/>
        </w:trPr>
        <w:tc>
          <w:tcPr>
            <w:tcW w:w="4140" w:type="dxa"/>
            <w:vAlign w:val="bottom"/>
          </w:tcPr>
          <w:p>
            <w:pPr>
              <w:jc w:val="center"/>
              <w:ind w:right="1190"/>
              <w:spacing w:after="0" w:line="252" w:lineRule="exact"/>
              <w:rPr>
                <w:sz w:val="20"/>
                <w:szCs w:val="20"/>
                <w:color w:val="auto"/>
              </w:rPr>
            </w:pPr>
            <w:r>
              <w:rPr>
                <w:rFonts w:ascii="Times New Roman" w:cs="Times New Roman" w:eastAsia="Times New Roman" w:hAnsi="Times New Roman"/>
                <w:sz w:val="18"/>
                <w:szCs w:val="18"/>
                <w:color w:val="auto"/>
                <w:w w:val="97"/>
              </w:rPr>
              <w:t>1585 Broadway, 6</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18"/>
                <w:szCs w:val="18"/>
                <w:color w:val="auto"/>
                <w:w w:val="97"/>
              </w:rPr>
              <w:t xml:space="preserve"> Floor</w:t>
            </w:r>
          </w:p>
        </w:tc>
        <w:tc>
          <w:tcPr>
            <w:tcW w:w="4560" w:type="dxa"/>
            <w:vAlign w:val="bottom"/>
          </w:tcPr>
          <w:p>
            <w:pPr>
              <w:jc w:val="center"/>
              <w:ind w:left="1170"/>
              <w:spacing w:after="0" w:line="252" w:lineRule="exact"/>
              <w:rPr>
                <w:sz w:val="20"/>
                <w:szCs w:val="20"/>
                <w:color w:val="auto"/>
              </w:rPr>
            </w:pPr>
            <w:r>
              <w:rPr>
                <w:rFonts w:ascii="Times New Roman" w:cs="Times New Roman" w:eastAsia="Times New Roman" w:hAnsi="Times New Roman"/>
                <w:sz w:val="18"/>
                <w:szCs w:val="18"/>
                <w:color w:val="auto"/>
                <w:w w:val="98"/>
              </w:rPr>
              <w:t>550 South Tryon Street, 5</w:t>
            </w:r>
            <w:r>
              <w:rPr>
                <w:rFonts w:ascii="Times New Roman" w:cs="Times New Roman" w:eastAsia="Times New Roman" w:hAnsi="Times New Roman"/>
                <w:sz w:val="29"/>
                <w:szCs w:val="29"/>
                <w:color w:val="auto"/>
                <w:w w:val="98"/>
                <w:vertAlign w:val="superscript"/>
              </w:rPr>
              <w:t>th</w:t>
            </w:r>
            <w:r>
              <w:rPr>
                <w:rFonts w:ascii="Times New Roman" w:cs="Times New Roman" w:eastAsia="Times New Roman" w:hAnsi="Times New Roman"/>
                <w:sz w:val="18"/>
                <w:szCs w:val="18"/>
                <w:color w:val="auto"/>
                <w:w w:val="98"/>
              </w:rPr>
              <w:t xml:space="preserve"> Floor</w:t>
            </w:r>
          </w:p>
        </w:tc>
      </w:tr>
      <w:tr>
        <w:trPr>
          <w:trHeight w:val="216"/>
        </w:trPr>
        <w:tc>
          <w:tcPr>
            <w:tcW w:w="414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New York 10036</w:t>
            </w:r>
          </w:p>
        </w:tc>
        <w:tc>
          <w:tcPr>
            <w:tcW w:w="45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Charlotte, North Carolina 28202</w:t>
            </w:r>
          </w:p>
        </w:tc>
      </w:tr>
      <w:tr>
        <w:trPr>
          <w:trHeight w:val="216"/>
        </w:trPr>
        <w:tc>
          <w:tcPr>
            <w:tcW w:w="4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Toll Free: (800) 624-1808</w:t>
            </w:r>
          </w:p>
        </w:tc>
        <w:tc>
          <w:tcPr>
            <w:tcW w:w="45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Toll Free: (866) 309-6316</w:t>
            </w:r>
          </w:p>
        </w:tc>
      </w:tr>
      <w:tr>
        <w:trPr>
          <w:trHeight w:val="216"/>
        </w:trPr>
        <w:tc>
          <w:tcPr>
            <w:tcW w:w="414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Collect: (212) 761-1057</w:t>
            </w:r>
          </w:p>
        </w:tc>
        <w:tc>
          <w:tcPr>
            <w:tcW w:w="45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Collect: (704) 410-4235</w:t>
            </w:r>
          </w:p>
        </w:tc>
      </w:tr>
      <w:tr>
        <w:trPr>
          <w:trHeight w:val="216"/>
        </w:trPr>
        <w:tc>
          <w:tcPr>
            <w:tcW w:w="414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Email: LMNY@morganstanley.com</w:t>
            </w:r>
          </w:p>
        </w:tc>
        <w:tc>
          <w:tcPr>
            <w:tcW w:w="456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Email: liabilitymanagement@wellsfargo.com</w:t>
            </w:r>
          </w:p>
        </w:tc>
      </w:tr>
      <w:tr>
        <w:trPr>
          <w:trHeight w:val="234"/>
        </w:trPr>
        <w:tc>
          <w:tcPr>
            <w:tcW w:w="4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Attention: Liability Management Group</w:t>
            </w:r>
          </w:p>
        </w:tc>
        <w:tc>
          <w:tcPr>
            <w:tcW w:w="456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Attention: Liability Management Group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Bondholder Services Corporation is acting as the Information and Tender Agent for the Offers. Questions or requests for assistance related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Offers or for additional copies of the Offer to Purchase may be directed 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Bondholder Services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Offers Website</w:t>
      </w:r>
      <w:r>
        <w:rPr>
          <w:rFonts w:ascii="Times New Roman" w:cs="Times New Roman" w:eastAsia="Times New Roman" w:hAnsi="Times New Roman"/>
          <w:sz w:val="18"/>
          <w:szCs w:val="18"/>
          <w:color w:val="auto"/>
        </w:rPr>
        <w:t>: https://gbsc-usa.com/comcast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 Broadway - Suite 404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call</w:t>
      </w:r>
      <w:r>
        <w:rPr>
          <w:rFonts w:ascii="Times New Roman" w:cs="Times New Roman" w:eastAsia="Times New Roman" w:hAnsi="Times New Roman"/>
          <w:sz w:val="18"/>
          <w:szCs w:val="18"/>
          <w:color w:val="auto"/>
        </w:rPr>
        <w:t>: (212) 430-3774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others call Toll Free</w:t>
      </w:r>
      <w:r>
        <w:rPr>
          <w:rFonts w:ascii="Times New Roman" w:cs="Times New Roman" w:eastAsia="Times New Roman" w:hAnsi="Times New Roman"/>
          <w:sz w:val="18"/>
          <w:szCs w:val="18"/>
          <w:color w:val="auto"/>
        </w:rPr>
        <w:t>: (855) 654-2015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also contact your broker, dealer, commercial bank, trust company or other nominee for assistance concerning the Offers. The Tender Offer Documents can be accessed at the following link: https://gbsc-usa.com/comcast.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 Issuer terminates any of its Offers with respect to one or more series of Notes, it will give prompt notice to the Information and Tender Agent, and all Notes tendered pursuant to such terminated Offer will be returned promptly to the tendering Holders thereof. With effect from such termination, any Notes blocked in DTC will be released.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Notes are advised to check with each bank, securities broker or other intermediary through which they hold Notes as to when such intermediary would need to receive instructions from a beneficial owner in order for that Holder to be able to participate in, or withdraw their instruction to participate in the Offers before the deadlines specified herein and in the Offer to Purchase. The deadlines set by any such intermediary and DTC for the submission and withdrawal of tender instructions will also be earlier than the relevant deadlines specified herein and in the Offer to Purchase.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and Distribution Restrictions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news release is for informational purposes only. This news release is not an offer to purchase or a solicitation of an offer to sell any Notes or any other securities of the Issuers or any of its subsidiaries. The Offers are being made solely pursuant to the Offer to Purchase and the related Notice of Guaranteed Delivery. The Offers are not being made to Holders of Notes in any jurisdiction in which the making or acceptance thereof would not be in compliance with the securities, “blue sky” or other laws of such jurisdiction. In any jurisdiction in which the securities or “blue sky” laws require the Offers to be made by a licensed broker or dealer, the Offers will be deemed to have been made on behalf of the Issuers by the Dealer Managers or one or more registered brokers or dealers that are licensed under the laws of such</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ind w:right="240"/>
        <w:spacing w:after="0" w:line="282" w:lineRule="auto"/>
        <w:rPr>
          <w:sz w:val="20"/>
          <w:szCs w:val="20"/>
          <w:color w:val="auto"/>
        </w:rPr>
      </w:pPr>
      <w:r>
        <w:rPr>
          <w:rFonts w:ascii="Times New Roman" w:cs="Times New Roman" w:eastAsia="Times New Roman" w:hAnsi="Times New Roman"/>
          <w:sz w:val="18"/>
          <w:szCs w:val="18"/>
          <w:color w:val="auto"/>
        </w:rPr>
        <w:t>jurisdiction. None of the Issuers, the Information and Tender Agent or the Dealer Managers, nor any of their affiliates, makes any recommendation as to whether Holders should tender or refrain from tendering all or any portion of their Notes in response to the Offers.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 action has been or will be taken in any jurisdiction that would permit the possession, circulation or distribution of either this news release, the Offer to Purchase or any material relating to the Issuers or the Notes in any jurisdiction where action for that purpose is required. Accordingly, neither this news release, the Offer to Purchase nor any other offering material or advertisements in connection with the Offers may be distributed or published, in or from any such country or jurisdiction, except in compliance with any applicable rules or regulations of any such country or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Comcast Corporation</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includes statements that may constitute forward-looking statements about, among other things, the terms and timing for completion of the Offers, including the acceptance for purchase of Notes validly tendered, the Consideration Cap Amount, the expected Expiration Date and Settlement Date.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significant tax liability if the separation of Versant is not tax-free; laws and regulations; adverse decisions in litigation or governmental investigations;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 Ryvicker (215) 286-4781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Kearns (215) 286-4794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Khoury (215) 286-7408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Demming (215) 286-8011</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5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2026-06-02T15:38:37Z</dcterms:created>
  <dcterms:modified xsi:type="dcterms:W3CDTF">2026-06-02T15:38:37Z</dcterms:modified>
</cp:coreProperties>
</file>