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11-K</w:t>
      </w:r>
    </w:p>
    <w:p>
      <w:pPr>
        <w:spacing w:after="0" w:line="180"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ANNUAL REPORT</w:t>
      </w:r>
    </w:p>
    <w:p>
      <w:pPr>
        <w:spacing w:after="0" w:line="180" w:lineRule="exact"/>
        <w:rPr>
          <w:sz w:val="24"/>
          <w:szCs w:val="24"/>
          <w:color w:val="auto"/>
        </w:rPr>
      </w:pPr>
    </w:p>
    <w:p>
      <w:pPr>
        <w:jc w:val="right"/>
        <w:ind w:right="5139"/>
        <w:spacing w:after="0"/>
        <w:rPr>
          <w:sz w:val="20"/>
          <w:szCs w:val="20"/>
          <w:color w:val="auto"/>
        </w:rPr>
      </w:pPr>
      <w:r>
        <w:rPr>
          <w:rFonts w:ascii="Courier New" w:cs="Courier New" w:eastAsia="Courier New" w:hAnsi="Courier New"/>
          <w:sz w:val="15"/>
          <w:szCs w:val="15"/>
          <w:color w:val="auto"/>
        </w:rPr>
        <w:t>Pursuant to Section 15(d) of the</w:t>
      </w:r>
    </w:p>
    <w:p>
      <w:pPr>
        <w:spacing w:after="0" w:line="5" w:lineRule="exact"/>
        <w:rPr>
          <w:sz w:val="24"/>
          <w:szCs w:val="24"/>
          <w:color w:val="auto"/>
        </w:rPr>
      </w:pPr>
    </w:p>
    <w:p>
      <w:pPr>
        <w:jc w:val="right"/>
        <w:ind w:right="5139"/>
        <w:spacing w:after="0"/>
        <w:rPr>
          <w:sz w:val="20"/>
          <w:szCs w:val="20"/>
          <w:color w:val="auto"/>
        </w:rPr>
      </w:pPr>
      <w:r>
        <w:rPr>
          <w:rFonts w:ascii="Courier New" w:cs="Courier New" w:eastAsia="Courier New" w:hAnsi="Courier New"/>
          <w:sz w:val="15"/>
          <w:szCs w:val="15"/>
          <w:color w:val="auto"/>
        </w:rPr>
        <w:t>Securities Exchange Act of 1934</w:t>
      </w:r>
    </w:p>
    <w:p>
      <w:pPr>
        <w:spacing w:after="0" w:line="354"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[Logo Omitted]</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COMCAST CORPORATION</w:t>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1620" w:right="3139" w:hanging="809"/>
        <w:spacing w:after="0" w:line="247" w:lineRule="auto"/>
        <w:tabs>
          <w:tab w:leader="none" w:pos="1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 For the fiscal year ended December 31, 2002.</w:t>
      </w:r>
    </w:p>
    <w:p>
      <w:pPr>
        <w:spacing w:after="0" w:line="174" w:lineRule="exact"/>
        <w:rPr>
          <w:sz w:val="24"/>
          <w:szCs w:val="24"/>
          <w:color w:val="auto"/>
        </w:rPr>
      </w:pPr>
    </w:p>
    <w:p>
      <w:pPr>
        <w:ind w:left="3540"/>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TRANSITION REPORT PURSUANT TO SECTION 15(d) OF THE</w:t>
      </w:r>
    </w:p>
    <w:p>
      <w:pPr>
        <w:spacing w:after="0" w:line="5"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SECURITIES EXCHANGE ACT OF 1934.</w:t>
      </w:r>
    </w:p>
    <w:p>
      <w:pPr>
        <w:spacing w:after="0" w:line="5"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For the transition period from _________ to ________</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000-50093</w:t>
      </w:r>
    </w:p>
    <w:p>
      <w:pPr>
        <w:spacing w:after="0" w:line="5"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right="3419" w:firstLine="1636"/>
        <w:spacing w:after="0" w:line="247"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17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LONG TERM SAVINGS PLAN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(formerly the AT&amp;T Broadband Long Term Savings Plan)</w:t>
      </w:r>
    </w:p>
    <w:p>
      <w:pPr>
        <w:spacing w:after="0" w:line="180" w:lineRule="exact"/>
        <w:rPr>
          <w:sz w:val="24"/>
          <w:szCs w:val="24"/>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175"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1500 Market Street</w:t>
      </w:r>
    </w:p>
    <w:p>
      <w:pPr>
        <w:spacing w:after="0" w:line="5"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Long Term Savings Plan</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5" w:lineRule="exact"/>
        <w:rPr>
          <w:sz w:val="24"/>
          <w:szCs w:val="24"/>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as of December 31, 2002 and 2001 and for the Year Ended December 31, 2002; Supplemental Schedule as of December 31, 2002; Independent Auditors' Report; and Report of Independent Accountants</w:t>
      </w:r>
    </w:p>
    <w:p>
      <w:pPr>
        <w:sectPr>
          <w:pgSz w:w="11900" w:h="16838" w:orient="portrait"/>
          <w:cols w:equalWidth="0" w:num="1">
            <w:col w:w="10219"/>
          </w:cols>
          <w:pgMar w:left="240" w:top="40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TERM SAVINGS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8800"/>
        <w:spacing w:after="0"/>
        <w:rPr>
          <w:sz w:val="20"/>
          <w:szCs w:val="20"/>
          <w:color w:val="auto"/>
        </w:rPr>
      </w:pPr>
      <w:r>
        <w:rPr>
          <w:rFonts w:ascii="Courier New" w:cs="Courier New" w:eastAsia="Courier New" w:hAnsi="Courier New"/>
          <w:sz w:val="15"/>
          <w:szCs w:val="15"/>
          <w:color w:val="auto"/>
        </w:rPr>
        <w:t>Page</w:t>
      </w:r>
    </w:p>
    <w:p>
      <w:pPr>
        <w:spacing w:after="0" w:line="354" w:lineRule="exact"/>
        <w:rPr>
          <w:sz w:val="20"/>
          <w:szCs w:val="20"/>
          <w:color w:val="auto"/>
        </w:rPr>
      </w:pPr>
    </w:p>
    <w:p>
      <w:pPr>
        <w:spacing w:after="0"/>
        <w:tabs>
          <w:tab w:leader="none" w:pos="898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3"/>
          <w:szCs w:val="13"/>
          <w:color w:val="auto"/>
        </w:rPr>
        <w:t>1</w:t>
      </w:r>
    </w:p>
    <w:p>
      <w:pPr>
        <w:spacing w:after="0" w:line="180" w:lineRule="exact"/>
        <w:rPr>
          <w:sz w:val="20"/>
          <w:szCs w:val="20"/>
          <w:color w:val="auto"/>
        </w:rPr>
      </w:pPr>
    </w:p>
    <w:p>
      <w:pPr>
        <w:spacing w:after="0"/>
        <w:tabs>
          <w:tab w:leader="none" w:pos="8980" w:val="left"/>
        </w:tabs>
        <w:rPr>
          <w:sz w:val="20"/>
          <w:szCs w:val="20"/>
          <w:color w:val="auto"/>
        </w:rPr>
      </w:pPr>
      <w:r>
        <w:rPr>
          <w:rFonts w:ascii="Courier New" w:cs="Courier New" w:eastAsia="Courier New" w:hAnsi="Courier New"/>
          <w:sz w:val="15"/>
          <w:szCs w:val="15"/>
          <w:color w:val="auto"/>
        </w:rPr>
        <w:t>REPORT OF INDEPENDENT ACCOUNTANTS</w:t>
      </w:r>
      <w:r>
        <w:rPr>
          <w:sz w:val="20"/>
          <w:szCs w:val="20"/>
          <w:color w:val="auto"/>
        </w:rPr>
        <w:tab/>
      </w:r>
      <w:r>
        <w:rPr>
          <w:rFonts w:ascii="Courier New" w:cs="Courier New" w:eastAsia="Courier New" w:hAnsi="Courier New"/>
          <w:sz w:val="13"/>
          <w:szCs w:val="13"/>
          <w:color w:val="auto"/>
        </w:rPr>
        <w:t>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260"/>
        <w:spacing w:after="0"/>
        <w:tabs>
          <w:tab w:leader="none" w:pos="8980" w:val="left"/>
        </w:tabs>
        <w:rPr>
          <w:sz w:val="20"/>
          <w:szCs w:val="20"/>
          <w:color w:val="auto"/>
        </w:rPr>
      </w:pPr>
      <w:r>
        <w:rPr>
          <w:rFonts w:ascii="Courier New" w:cs="Courier New" w:eastAsia="Courier New" w:hAnsi="Courier New"/>
          <w:sz w:val="15"/>
          <w:szCs w:val="15"/>
          <w:color w:val="auto"/>
        </w:rPr>
        <w:t>Statement of Net Assets Available for Benefits as of December 31, 2002 and 2001</w:t>
      </w:r>
      <w:r>
        <w:rPr>
          <w:sz w:val="20"/>
          <w:szCs w:val="20"/>
          <w:color w:val="auto"/>
        </w:rPr>
        <w:tab/>
      </w:r>
      <w:r>
        <w:rPr>
          <w:rFonts w:ascii="Courier New" w:cs="Courier New" w:eastAsia="Courier New" w:hAnsi="Courier New"/>
          <w:sz w:val="13"/>
          <w:szCs w:val="13"/>
          <w:color w:val="auto"/>
        </w:rPr>
        <w:t>3</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Statement of Changes in Net Assets Available for Benefits for the Year Ended</w:t>
      </w:r>
    </w:p>
    <w:p>
      <w:pPr>
        <w:spacing w:after="0" w:line="5" w:lineRule="exact"/>
        <w:rPr>
          <w:sz w:val="20"/>
          <w:szCs w:val="20"/>
          <w:color w:val="auto"/>
        </w:rPr>
      </w:pPr>
    </w:p>
    <w:p>
      <w:pPr>
        <w:ind w:left="440"/>
        <w:spacing w:after="0"/>
        <w:tabs>
          <w:tab w:leader="none" w:pos="8980" w:val="left"/>
        </w:tabs>
        <w:rPr>
          <w:sz w:val="20"/>
          <w:szCs w:val="20"/>
          <w:color w:val="auto"/>
        </w:rPr>
      </w:pPr>
      <w:r>
        <w:rPr>
          <w:rFonts w:ascii="Courier New" w:cs="Courier New" w:eastAsia="Courier New" w:hAnsi="Courier New"/>
          <w:sz w:val="15"/>
          <w:szCs w:val="15"/>
          <w:color w:val="auto"/>
        </w:rPr>
        <w:t>December 31, 2002</w:t>
      </w:r>
      <w:r>
        <w:rPr>
          <w:sz w:val="20"/>
          <w:szCs w:val="20"/>
          <w:color w:val="auto"/>
        </w:rPr>
        <w:tab/>
      </w:r>
      <w:r>
        <w:rPr>
          <w:rFonts w:ascii="Courier New" w:cs="Courier New" w:eastAsia="Courier New" w:hAnsi="Courier New"/>
          <w:sz w:val="13"/>
          <w:szCs w:val="13"/>
          <w:color w:val="auto"/>
        </w:rPr>
        <w:t>4</w:t>
      </w:r>
    </w:p>
    <w:p>
      <w:pPr>
        <w:spacing w:after="0" w:line="180" w:lineRule="exact"/>
        <w:rPr>
          <w:sz w:val="20"/>
          <w:szCs w:val="20"/>
          <w:color w:val="auto"/>
        </w:rPr>
      </w:pPr>
    </w:p>
    <w:p>
      <w:pPr>
        <w:ind w:left="260"/>
        <w:spacing w:after="0"/>
        <w:tabs>
          <w:tab w:leader="none" w:pos="8980" w:val="left"/>
        </w:tabs>
        <w:rPr>
          <w:sz w:val="20"/>
          <w:szCs w:val="20"/>
          <w:color w:val="auto"/>
        </w:rPr>
      </w:pPr>
      <w:r>
        <w:rPr>
          <w:rFonts w:ascii="Courier New" w:cs="Courier New" w:eastAsia="Courier New" w:hAnsi="Courier New"/>
          <w:sz w:val="15"/>
          <w:szCs w:val="15"/>
          <w:color w:val="auto"/>
        </w:rPr>
        <w:t>Notes to Financial Statements</w:t>
      </w:r>
      <w:r>
        <w:rPr>
          <w:sz w:val="20"/>
          <w:szCs w:val="20"/>
          <w:color w:val="auto"/>
        </w:rPr>
        <w:tab/>
      </w:r>
      <w:r>
        <w:rPr>
          <w:rFonts w:ascii="Courier New" w:cs="Courier New" w:eastAsia="Courier New" w:hAnsi="Courier New"/>
          <w:sz w:val="13"/>
          <w:szCs w:val="13"/>
          <w:color w:val="auto"/>
        </w:rPr>
        <w:t>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Schedule H, Line 4i - Schedule of Assets Held for Investment Purposes</w:t>
      </w:r>
    </w:p>
    <w:p>
      <w:pPr>
        <w:spacing w:after="0" w:line="5" w:lineRule="exact"/>
        <w:rPr>
          <w:sz w:val="20"/>
          <w:szCs w:val="20"/>
          <w:color w:val="auto"/>
        </w:rPr>
      </w:pPr>
    </w:p>
    <w:p>
      <w:pPr>
        <w:ind w:left="440"/>
        <w:spacing w:after="0"/>
        <w:tabs>
          <w:tab w:leader="none" w:pos="8880" w:val="left"/>
        </w:tabs>
        <w:rPr>
          <w:sz w:val="20"/>
          <w:szCs w:val="20"/>
          <w:color w:val="auto"/>
        </w:rPr>
      </w:pPr>
      <w:r>
        <w:rPr>
          <w:rFonts w:ascii="Courier New" w:cs="Courier New" w:eastAsia="Courier New" w:hAnsi="Courier New"/>
          <w:sz w:val="15"/>
          <w:szCs w:val="15"/>
          <w:color w:val="auto"/>
        </w:rPr>
        <w:t>as of December 31, 2002</w:t>
      </w:r>
      <w:r>
        <w:rPr>
          <w:sz w:val="20"/>
          <w:szCs w:val="20"/>
          <w:color w:val="auto"/>
        </w:rPr>
        <w:tab/>
      </w:r>
      <w:r>
        <w:rPr>
          <w:rFonts w:ascii="Courier New" w:cs="Courier New" w:eastAsia="Courier New" w:hAnsi="Courier New"/>
          <w:sz w:val="15"/>
          <w:szCs w:val="15"/>
          <w:color w:val="auto"/>
        </w:rPr>
        <w:t>10</w:t>
      </w:r>
    </w:p>
    <w:p>
      <w:pPr>
        <w:spacing w:after="0" w:line="180" w:lineRule="exact"/>
        <w:rPr>
          <w:sz w:val="20"/>
          <w:szCs w:val="20"/>
          <w:color w:val="auto"/>
        </w:rPr>
      </w:pPr>
    </w:p>
    <w:p>
      <w:pPr>
        <w:spacing w:after="0"/>
        <w:tabs>
          <w:tab w:leader="none" w:pos="8880" w:val="left"/>
        </w:tabs>
        <w:rPr>
          <w:sz w:val="20"/>
          <w:szCs w:val="20"/>
          <w:color w:val="auto"/>
        </w:rPr>
      </w:pPr>
      <w:r>
        <w:rPr>
          <w:rFonts w:ascii="Courier New" w:cs="Courier New" w:eastAsia="Courier New" w:hAnsi="Courier New"/>
          <w:sz w:val="15"/>
          <w:szCs w:val="15"/>
          <w:color w:val="auto"/>
        </w:rPr>
        <w:t>INDEPENDENT AUDITORS' CONSENT</w:t>
      </w:r>
      <w:r>
        <w:rPr>
          <w:sz w:val="20"/>
          <w:szCs w:val="20"/>
          <w:color w:val="auto"/>
        </w:rPr>
        <w:tab/>
      </w:r>
      <w:r>
        <w:rPr>
          <w:rFonts w:ascii="Courier New" w:cs="Courier New" w:eastAsia="Courier New" w:hAnsi="Courier New"/>
          <w:sz w:val="15"/>
          <w:szCs w:val="15"/>
          <w:color w:val="auto"/>
        </w:rPr>
        <w:t>11</w:t>
      </w:r>
    </w:p>
    <w:p>
      <w:pPr>
        <w:spacing w:after="0" w:line="180" w:lineRule="exact"/>
        <w:rPr>
          <w:sz w:val="20"/>
          <w:szCs w:val="20"/>
          <w:color w:val="auto"/>
        </w:rPr>
      </w:pPr>
    </w:p>
    <w:p>
      <w:pPr>
        <w:spacing w:after="0"/>
        <w:tabs>
          <w:tab w:leader="none" w:pos="8880" w:val="left"/>
        </w:tabs>
        <w:rPr>
          <w:sz w:val="20"/>
          <w:szCs w:val="20"/>
          <w:color w:val="auto"/>
        </w:rPr>
      </w:pPr>
      <w:r>
        <w:rPr>
          <w:rFonts w:ascii="Courier New" w:cs="Courier New" w:eastAsia="Courier New" w:hAnsi="Courier New"/>
          <w:sz w:val="15"/>
          <w:szCs w:val="15"/>
          <w:color w:val="auto"/>
        </w:rPr>
        <w:t>INDEPENDENT ACCOUNTANTS' CONSENT</w:t>
      </w:r>
      <w:r>
        <w:rPr>
          <w:sz w:val="20"/>
          <w:szCs w:val="20"/>
          <w:color w:val="auto"/>
        </w:rPr>
        <w:tab/>
      </w:r>
      <w:r>
        <w:rPr>
          <w:rFonts w:ascii="Courier New" w:cs="Courier New" w:eastAsia="Courier New" w:hAnsi="Courier New"/>
          <w:sz w:val="15"/>
          <w:szCs w:val="15"/>
          <w:color w:val="auto"/>
        </w:rPr>
        <w:t>12</w:t>
      </w:r>
    </w:p>
    <w:p>
      <w:pPr>
        <w:spacing w:after="0" w:line="180" w:lineRule="exact"/>
        <w:rPr>
          <w:sz w:val="20"/>
          <w:szCs w:val="20"/>
          <w:color w:val="auto"/>
        </w:rPr>
      </w:pPr>
    </w:p>
    <w:p>
      <w:pPr>
        <w:spacing w:after="0"/>
        <w:tabs>
          <w:tab w:leader="none" w:pos="88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13</w:t>
      </w:r>
    </w:p>
    <w:p>
      <w:pPr>
        <w:sectPr>
          <w:pgSz w:w="11900" w:h="16838" w:orient="portrait"/>
          <w:cols w:equalWidth="0" w:num="1">
            <w:col w:w="10219"/>
          </w:cols>
          <w:pgMar w:left="240" w:top="13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Administrator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Holdings, Inc. Long Term Savings Plan: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have audited the accompanying statement of net assets available for benefits of the Comcast Cable Communications Holdings, Inc. Long Term Savings Plan (formerly the AT&amp;T Broadband Long Term Savings Plan, the "Plan"), as of December 31, 2002, and the related statement of changes in net assets available for benefits for the year then ended. These financial statements are the responsibility of the Plan's management. Our responsibility is to express an opinion on these financial statements based on our audit.</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available for benefits of the Plan as of December 31, 2002, and the changes in net assets available for benefits for the year then ended in conformity with accounting principles generally accepted in the United States of America.</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Our audit was conducted for the purpose of forming an opinion on the basic financial statements taken as a whole. The supplemental schedule of Assets Held for Investment Purposes as of December 31, 2002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Such supplemental schedule has been subjected to the auditing procedures applied in our audit of the basic 2002 financial statements and, in our opinion, is fairly stated in all material respects in relation to the basic financial statements taken as a whole.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13, 2003</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167" w:right="1440" w:bottom="1440" w:gutter="0" w:footer="0" w:header="0"/>
        </w:sectPr>
      </w:pPr>
    </w:p>
    <w:bookmarkStart w:id="3" w:name="page4"/>
    <w:bookmarkEnd w:id="3"/>
    <w:p>
      <w:pPr>
        <w:ind w:left="218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Administrator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Holdings, Inc. Long Term Savings Plan: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our opinion, the accompanying statement of net assets available for benefits presents fairly, in all material respects, the net assets available for benefits of the Comcast Cable Communications Holdings, Inc. Long Term Savings Plan, (formerly the AT&amp;T Broadband Long Term Savings Plan, the "Plan") at December 31, 2001 in conformity with accounting principles generally accepted in the United States of America. This financial statement is the responsibility of the Plan's management; our responsibility is to express an opinion on this financial statement based on our audit. We conducted our audit of this statement in accordance with auditing standards generally accepted in the United States of America, which require that we plan and perform the audit to obtain reasonable assurance about whether the financial statement is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TERM SAVINGS PLAN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NET ASSETS AVAILABLE FOR BENEFITS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 AND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Group Trust</w:t>
            </w:r>
          </w:p>
        </w:tc>
        <w:tc>
          <w:tcPr>
            <w:tcW w:w="19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$ 1,184,515</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903,754</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9,381</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Loans receivable from participants</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41,656</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48,490</w:t>
            </w:r>
          </w:p>
        </w:tc>
      </w:tr>
      <w:tr>
        <w:trPr>
          <w:trHeight w:val="175"/>
        </w:trPr>
        <w:tc>
          <w:tcPr>
            <w:tcW w:w="4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ind w:left="1000"/>
              <w:spacing w:after="0"/>
              <w:rPr>
                <w:sz w:val="20"/>
                <w:szCs w:val="20"/>
                <w:color w:val="auto"/>
              </w:rPr>
            </w:pPr>
            <w:r>
              <w:rPr>
                <w:rFonts w:ascii="Courier New" w:cs="Courier New" w:eastAsia="Courier New" w:hAnsi="Courier New"/>
                <w:sz w:val="15"/>
                <w:szCs w:val="15"/>
                <w:color w:val="auto"/>
              </w:rPr>
              <w:t>Total investments</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945,410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1,242,386</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INTERFUND RECEIVABLES</w:t>
            </w:r>
          </w:p>
        </w:tc>
        <w:tc>
          <w:tcPr>
            <w:tcW w:w="19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1,634</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DIVIDENDS AND INTEREST RECEIVABLE</w:t>
            </w:r>
          </w:p>
        </w:tc>
        <w:tc>
          <w:tcPr>
            <w:tcW w:w="19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669</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 RECEIVABLES</w:t>
            </w:r>
          </w:p>
        </w:tc>
        <w:tc>
          <w:tcPr>
            <w:tcW w:w="19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4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$ 945,410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$ 1,244,695</w:t>
            </w:r>
          </w:p>
        </w:tc>
      </w:tr>
      <w:tr>
        <w:trPr>
          <w:trHeight w:val="175"/>
        </w:trPr>
        <w:tc>
          <w:tcPr>
            <w:tcW w:w="4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4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INTERFUND PAYABLES</w:t>
            </w:r>
          </w:p>
        </w:tc>
        <w:tc>
          <w:tcPr>
            <w:tcW w:w="19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$ 1,634</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9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1,335</w:t>
            </w:r>
          </w:p>
        </w:tc>
      </w:tr>
      <w:tr>
        <w:trPr>
          <w:trHeight w:val="175"/>
        </w:trPr>
        <w:tc>
          <w:tcPr>
            <w:tcW w:w="4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9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2,969</w:t>
            </w:r>
          </w:p>
        </w:tc>
      </w:tr>
      <w:tr>
        <w:trPr>
          <w:trHeight w:val="175"/>
        </w:trPr>
        <w:tc>
          <w:tcPr>
            <w:tcW w:w="4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$ 945,410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$ 1,241,726</w:t>
            </w:r>
          </w:p>
        </w:tc>
      </w:tr>
      <w:tr>
        <w:trPr>
          <w:trHeight w:val="175"/>
        </w:trPr>
        <w:tc>
          <w:tcPr>
            <w:tcW w:w="43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TERM SAVINGS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CHANGE IN NET ASSETS ATTRIBUTED TO:</w:t>
            </w:r>
          </w:p>
        </w:tc>
        <w:tc>
          <w:tcPr>
            <w:tcW w:w="1460" w:type="dxa"/>
            <w:vAlign w:val="bottom"/>
          </w:tcPr>
          <w:p>
            <w:pPr>
              <w:spacing w:after="0"/>
              <w:rPr>
                <w:sz w:val="14"/>
                <w:szCs w:val="14"/>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460" w:type="dxa"/>
            <w:vAlign w:val="bottom"/>
          </w:tcPr>
          <w:p>
            <w:pPr>
              <w:spacing w:after="0"/>
              <w:rPr>
                <w:sz w:val="15"/>
                <w:szCs w:val="15"/>
                <w:color w:val="auto"/>
              </w:rPr>
            </w:pP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Net depreciation in fair value of investments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(295,793)</w:t>
            </w: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Dividends and interest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12,754</w:t>
            </w: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Interest on loans to participants</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3,072</w:t>
            </w:r>
          </w:p>
        </w:tc>
      </w:tr>
      <w:tr>
        <w:trPr>
          <w:trHeight w:val="175"/>
        </w:trPr>
        <w:tc>
          <w:tcPr>
            <w:tcW w:w="554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(279,967)</w:t>
            </w:r>
          </w:p>
        </w:tc>
      </w:tr>
      <w:tr>
        <w:trPr>
          <w:trHeight w:val="175"/>
        </w:trPr>
        <w:tc>
          <w:tcPr>
            <w:tcW w:w="554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Contributions:</w:t>
            </w:r>
          </w:p>
        </w:tc>
        <w:tc>
          <w:tcPr>
            <w:tcW w:w="1460" w:type="dxa"/>
            <w:vAlign w:val="bottom"/>
          </w:tcPr>
          <w:p>
            <w:pPr>
              <w:spacing w:after="0"/>
              <w:rPr>
                <w:sz w:val="24"/>
                <w:szCs w:val="24"/>
                <w:color w:val="auto"/>
              </w:rPr>
            </w:pP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Participant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48,724</w:t>
            </w: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Company</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85,126</w:t>
            </w: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Rollover</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3,630</w:t>
            </w: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Transfers of participants' balances from other plans</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24,321</w:t>
            </w:r>
          </w:p>
        </w:tc>
      </w:tr>
      <w:tr>
        <w:trPr>
          <w:trHeight w:val="175"/>
        </w:trPr>
        <w:tc>
          <w:tcPr>
            <w:tcW w:w="554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4"/>
                <w:szCs w:val="24"/>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161,801</w:t>
            </w:r>
          </w:p>
        </w:tc>
      </w:tr>
      <w:tr>
        <w:trPr>
          <w:trHeight w:val="175"/>
        </w:trPr>
        <w:tc>
          <w:tcPr>
            <w:tcW w:w="554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Deductions:</w:t>
            </w:r>
          </w:p>
        </w:tc>
        <w:tc>
          <w:tcPr>
            <w:tcW w:w="1460" w:type="dxa"/>
            <w:vAlign w:val="bottom"/>
          </w:tcPr>
          <w:p>
            <w:pPr>
              <w:spacing w:after="0"/>
              <w:rPr>
                <w:sz w:val="24"/>
                <w:szCs w:val="24"/>
                <w:color w:val="auto"/>
              </w:rPr>
            </w:pP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Distributions to participants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(177,801)</w:t>
            </w:r>
          </w:p>
        </w:tc>
      </w:tr>
      <w:tr>
        <w:trPr>
          <w:trHeight w:val="175"/>
        </w:trPr>
        <w:tc>
          <w:tcPr>
            <w:tcW w:w="554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Administrative expenses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(349)</w:t>
            </w:r>
          </w:p>
        </w:tc>
      </w:tr>
      <w:tr>
        <w:trPr>
          <w:trHeight w:val="175"/>
        </w:trPr>
        <w:tc>
          <w:tcPr>
            <w:tcW w:w="554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(178,150)</w:t>
            </w:r>
          </w:p>
        </w:tc>
      </w:tr>
      <w:tr>
        <w:trPr>
          <w:trHeight w:val="175"/>
        </w:trPr>
        <w:tc>
          <w:tcPr>
            <w:tcW w:w="554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DECREASE IN NET ASSETS AVAILABLE FOR BENEFITS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(296,316)</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BEGINNING OF YEAR</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1,241,726</w:t>
            </w:r>
          </w:p>
        </w:tc>
      </w:tr>
      <w:tr>
        <w:trPr>
          <w:trHeight w:val="175"/>
        </w:trPr>
        <w:tc>
          <w:tcPr>
            <w:tcW w:w="554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END OF YEAR</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$ 945,410</w:t>
            </w:r>
          </w:p>
        </w:tc>
      </w:tr>
    </w:tbl>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6" w:name="page7"/>
    <w:bookmarkEnd w:id="6"/>
    <w:p>
      <w:pPr>
        <w:ind w:left="7"/>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LONG TERM SAVINGS PLAN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7" w:hanging="547"/>
        <w:spacing w:after="0"/>
        <w:tabs>
          <w:tab w:leader="none" w:pos="5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9"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November 18, 2002, the Comcast Cable Communications Holdings, Inc. Long Term Savings Plan, (the "Plan") was renamed from the AT&amp;T Broadband Long Term Savings Plan. The Plan is a defined contribution plan which allows eligible employees of Comcast Cable Communications Holdings, Inc. (formerly AT&amp;T Broadband Corp., the "Company" or the "Plan Administrator") to set aside a portion of their salary on a pre-tax and after tax basis, and to encourage participants to save on a long-term basis by matching a portion of such deferral with employer contributions as determined by the Plan. The Plan participated in a master trust (the "Group Trust") for the investment of the pooled assets of various funds through November 18, 2002 (see Note 8). Each participating plan had an undivided interest in the Group Trust. As a result of the Broadband acquisition described below, the Plan assets held in the Group Trust were removed from such trust and were directly invested into the available investment options.</w:t>
      </w:r>
    </w:p>
    <w:p>
      <w:pPr>
        <w:spacing w:after="0" w:line="183"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18, 2002, Comcast Corporation ("Comcast") completed the acquisition of AT&amp;T Corp.'s ("AT&amp;T") broadband business ("Broadband") which resulted in the combination of Comcast Holdings Corporation ("Comcast Holdings") and Broadband. Concurrent with the closing of the Broadband acquisition, shareholders of Comcast Holdings received shares of Comcast common stock in exchange for corresponding shares of Comcast Holdings common stock based on an exchange ratio of 1 to 1 (the "Reorganization"). Upon completion of the Broadband acquisition and the Reorganization, Comcast Holdings and the Company are wholly owned subsidiaries of Comcast, with Comcast Holdings as the predecessor to Comcast.</w:t>
      </w:r>
    </w:p>
    <w:p>
      <w:pPr>
        <w:spacing w:after="0" w:line="181"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25, 2002, a portion of the AT&amp;T Mergers &amp; Acquisitions Retirement Savings Plan merged into the Plan. Net assets of approximately $23.1 million were transferred into the Plan and were recorded as transfers of participants' balances from other plans on the statement of changes in net assets available for benefits.</w:t>
      </w:r>
    </w:p>
    <w:p>
      <w:pPr>
        <w:spacing w:after="0" w:line="177"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4, 2002, the TKR Company Defined Contribution Plan was merged into the Plan. Net assets of approximately $1.2 million were transferred into the Plan and were recorded as transfers of participants' balances from other plans on the statement of changes in net assets available for benefits.</w:t>
      </w:r>
    </w:p>
    <w:p>
      <w:pPr>
        <w:spacing w:after="0" w:line="177"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employees hired on or after January 1, 2001 through September 30, 2001 were automatically enrolled in the Plan after completing one month of service. Eligible employees hired before January 1, 2001 or after September 30, 2001 must use one of the participant initiated enrollment methods to participate in the Plan. All participants may invest their contribution in one or more of the thirty (30) different funds, in 10% increments.</w:t>
      </w:r>
    </w:p>
    <w:p>
      <w:pPr>
        <w:spacing w:after="0" w:line="179"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2002, employee contributions of up to 50% of compensation may be authorized (prior to that date, contributions of up to 16% of compensation were authorized) subject to certain limits imposed by the Internal Revenue Code ("IRC"). A participant may designate contributions as pre-tax contributions or after-tax contributions. All pre-tax contributions, after-tax contributions and earnings thereon are immediately vested and are not subject to forfeiture. Pre-tax contributions may be made up to the Internal Revenue Service ("IRS") limit of $11,000 in 2002. The Company will contribute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817" w:right="1440" w:bottom="1440" w:gutter="0" w:footer="0" w:header="0"/>
        </w:sectPr>
      </w:pPr>
    </w:p>
    <w:bookmarkStart w:id="7" w:name="page8"/>
    <w:bookmarkEnd w:id="7"/>
    <w:p>
      <w:pPr>
        <w:ind w:left="547" w:right="2959"/>
        <w:spacing w:after="0" w:line="246" w:lineRule="auto"/>
        <w:rPr>
          <w:sz w:val="20"/>
          <w:szCs w:val="20"/>
          <w:color w:val="auto"/>
        </w:rPr>
      </w:pPr>
      <w:r>
        <w:rPr>
          <w:rFonts w:ascii="Courier New" w:cs="Courier New" w:eastAsia="Courier New" w:hAnsi="Courier New"/>
          <w:sz w:val="15"/>
          <w:szCs w:val="15"/>
          <w:color w:val="auto"/>
        </w:rPr>
        <w:t>amount equal to 75% of the sum of the pre-tax and after-tax contributions up to the first 8% of compensation (see Note 11). Effective October 1, 2001, an employee hired on or after such date must complete six months of service before he or she is eligible for Company contributions (see Note 11). Company contributions are invested in accordance with the participant's elected investment direction. Effective November 18, 2002, the existing balances of all participants became 100% vested. Generally, a participant becomes vested in Company contributions as follows:</w:t>
      </w:r>
    </w:p>
    <w:p>
      <w:pPr>
        <w:spacing w:after="0" w:line="354"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Vesting</w:t>
            </w:r>
          </w:p>
        </w:tc>
      </w:tr>
      <w:tr>
        <w:trPr>
          <w:trHeight w:val="175"/>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Years of Service</w:t>
            </w: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350"/>
        </w:trPr>
        <w:tc>
          <w:tcPr>
            <w:tcW w:w="860" w:type="dxa"/>
            <w:vAlign w:val="bottom"/>
          </w:tcPr>
          <w:p>
            <w:pPr>
              <w:spacing w:after="0"/>
              <w:rPr>
                <w:sz w:val="20"/>
                <w:szCs w:val="20"/>
                <w:color w:val="auto"/>
              </w:rPr>
            </w:pPr>
            <w:r>
              <w:rPr>
                <w:rFonts w:ascii="Courier New" w:cs="Courier New" w:eastAsia="Courier New" w:hAnsi="Courier New"/>
                <w:sz w:val="15"/>
                <w:szCs w:val="15"/>
                <w:color w:val="auto"/>
              </w:rPr>
              <w:t>Less than</w:t>
            </w:r>
          </w:p>
        </w:tc>
        <w:tc>
          <w:tcPr>
            <w:tcW w:w="178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3</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3 or more</w:t>
            </w:r>
          </w:p>
        </w:tc>
        <w:tc>
          <w:tcPr>
            <w:tcW w:w="17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547" w:right="2959"/>
        <w:spacing w:after="0" w:line="246" w:lineRule="auto"/>
        <w:rPr>
          <w:sz w:val="20"/>
          <w:szCs w:val="20"/>
          <w:color w:val="auto"/>
        </w:rPr>
      </w:pPr>
      <w:r>
        <w:rPr>
          <w:rFonts w:ascii="Courier New" w:cs="Courier New" w:eastAsia="Courier New" w:hAnsi="Courier New"/>
          <w:sz w:val="15"/>
          <w:szCs w:val="15"/>
          <w:color w:val="auto"/>
        </w:rPr>
        <w:t>Loans are available to all participants in an amount not less than $1,000, up to a maximum of the lesser of $50,000 minus the participant's highest outstanding loan balance in the last twelve (12) months or 50% of the participant's vested account balance. Upon default, participants are considered to have received a distribution and are subject to income taxes on the distributed amount. Loan transactions are treated as a transfer to (from) the investment fund from (to) the Participant Loan Account. The term of the loan shall not exceed fifty-six (56) months. The loans are collateralized by the balance in the participant's account and bear interest at prime rate determined monthly by the Plan administrator. Interest rates are fixed for the term of the loan. Interest rates on participant loans outstanding at December 31, 2002 range from 4.25 percent to 11.5 percent. Principal and interest are paid through payroll deductions or participant initiated payments.</w:t>
      </w:r>
    </w:p>
    <w:p>
      <w:pPr>
        <w:spacing w:after="0" w:line="183" w:lineRule="exact"/>
        <w:rPr>
          <w:sz w:val="20"/>
          <w:szCs w:val="20"/>
          <w:color w:val="auto"/>
        </w:rPr>
      </w:pPr>
    </w:p>
    <w:p>
      <w:pPr>
        <w:jc w:val="both"/>
        <w:ind w:left="547" w:right="3039"/>
        <w:spacing w:after="0" w:line="246" w:lineRule="auto"/>
        <w:rPr>
          <w:sz w:val="20"/>
          <w:szCs w:val="20"/>
          <w:color w:val="auto"/>
        </w:rPr>
      </w:pPr>
      <w:r>
        <w:rPr>
          <w:rFonts w:ascii="Courier New" w:cs="Courier New" w:eastAsia="Courier New" w:hAnsi="Courier New"/>
          <w:sz w:val="15"/>
          <w:szCs w:val="15"/>
          <w:color w:val="auto"/>
        </w:rPr>
        <w:t>When a participant terminates employment, the entire vested amount in the participant's account will be distributed in a single payment as directed by the participant, if the amount to be distributed is less than $5,000.</w:t>
      </w:r>
    </w:p>
    <w:p>
      <w:pPr>
        <w:spacing w:after="0" w:line="2" w:lineRule="exact"/>
        <w:rPr>
          <w:sz w:val="20"/>
          <w:szCs w:val="20"/>
          <w:color w:val="auto"/>
        </w:rPr>
      </w:pPr>
    </w:p>
    <w:p>
      <w:pPr>
        <w:ind w:left="547" w:right="2959"/>
        <w:spacing w:after="0" w:line="246" w:lineRule="auto"/>
        <w:rPr>
          <w:sz w:val="20"/>
          <w:szCs w:val="20"/>
          <w:color w:val="auto"/>
        </w:rPr>
      </w:pPr>
      <w:r>
        <w:rPr>
          <w:rFonts w:ascii="Courier New" w:cs="Courier New" w:eastAsia="Courier New" w:hAnsi="Courier New"/>
          <w:sz w:val="15"/>
          <w:szCs w:val="15"/>
          <w:color w:val="auto"/>
        </w:rPr>
        <w:t>However, if the amount to be distributed exceeds $5,000, and the participant does not request the distribution, the participant's account shall remain in the Plan and may be distributed at the participant's request, as a minimum required distribution when the participant attains age 70 1/2, or upon the participant's death, whichever is earlier. When a participant dies, the participant's beneficiary or beneficiaries may elect to receive their share of the participant's account balance as a single payment or, if the beneficiary is a surviving spouse, as a transfer to a Plan account in his or her own name.</w:t>
      </w:r>
    </w:p>
    <w:p>
      <w:pPr>
        <w:spacing w:after="0" w:line="180" w:lineRule="exact"/>
        <w:rPr>
          <w:sz w:val="20"/>
          <w:szCs w:val="20"/>
          <w:color w:val="auto"/>
        </w:rPr>
      </w:pPr>
    </w:p>
    <w:p>
      <w:pPr>
        <w:ind w:left="547" w:right="2959"/>
        <w:spacing w:after="0" w:line="247" w:lineRule="auto"/>
        <w:rPr>
          <w:sz w:val="20"/>
          <w:szCs w:val="20"/>
          <w:color w:val="auto"/>
        </w:rPr>
      </w:pPr>
      <w:r>
        <w:rPr>
          <w:rFonts w:ascii="Courier New" w:cs="Courier New" w:eastAsia="Courier New" w:hAnsi="Courier New"/>
          <w:sz w:val="15"/>
          <w:szCs w:val="15"/>
          <w:color w:val="auto"/>
        </w:rPr>
        <w:t>Amounts contributed by the Company which are forfeited by a participant as a result of the participant's separation from service prior to becoming 100% vested may be used to reduce the Company's required contributions.</w:t>
      </w:r>
    </w:p>
    <w:p>
      <w:pPr>
        <w:spacing w:after="0" w:line="174" w:lineRule="exact"/>
        <w:rPr>
          <w:sz w:val="20"/>
          <w:szCs w:val="20"/>
          <w:color w:val="auto"/>
        </w:rPr>
      </w:pPr>
    </w:p>
    <w:p>
      <w:pPr>
        <w:ind w:left="547" w:right="3139"/>
        <w:spacing w:after="0" w:line="247" w:lineRule="auto"/>
        <w:rPr>
          <w:sz w:val="20"/>
          <w:szCs w:val="20"/>
          <w:color w:val="auto"/>
        </w:rPr>
      </w:pPr>
      <w:r>
        <w:rPr>
          <w:rFonts w:ascii="Courier New" w:cs="Courier New" w:eastAsia="Courier New" w:hAnsi="Courier New"/>
          <w:sz w:val="15"/>
          <w:szCs w:val="15"/>
          <w:color w:val="auto"/>
        </w:rPr>
        <w:t>For a complete description of the Plan, participants should refer to the Plan Prospectus. The Plan is subject to the provisions of the Employee Retirement Income Security Act of 1974 ("ERISA").</w:t>
      </w:r>
    </w:p>
    <w:p>
      <w:pPr>
        <w:spacing w:after="0" w:line="174" w:lineRule="exact"/>
        <w:rPr>
          <w:sz w:val="20"/>
          <w:szCs w:val="20"/>
          <w:color w:val="auto"/>
        </w:rPr>
      </w:pPr>
    </w:p>
    <w:p>
      <w:pPr>
        <w:ind w:left="547" w:hanging="547"/>
        <w:spacing w:after="0"/>
        <w:tabs>
          <w:tab w:leader="none" w:pos="5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POLICIES</w:t>
      </w:r>
    </w:p>
    <w:p>
      <w:pPr>
        <w:spacing w:after="0" w:line="179" w:lineRule="exact"/>
        <w:rPr>
          <w:rFonts w:ascii="Courier New" w:cs="Courier New" w:eastAsia="Courier New" w:hAnsi="Courier New"/>
          <w:sz w:val="15"/>
          <w:szCs w:val="15"/>
          <w:color w:val="auto"/>
        </w:rPr>
      </w:pPr>
    </w:p>
    <w:p>
      <w:pPr>
        <w:ind w:left="54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Accounting - The financial statements of the Plan are prepared under the accrual method of accounting.</w:t>
      </w:r>
    </w:p>
    <w:p>
      <w:pPr>
        <w:spacing w:after="0" w:line="17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Benefits - Benefits are recorded when paid.</w:t>
      </w:r>
    </w:p>
    <w:p>
      <w:pPr>
        <w:spacing w:after="0" w:line="179"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of Investments - Income and assets of the Group Trust were allocated to the Plan based on participant balances. The net asset value of the Group Trust was calculated by Fidelity Management Trust Company ("FMTC" or the "Trustee"). The Trustee determines the value of the underlying assets in the investment manager portfolios taking into account values supplied by a generally accepted pricing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42" w:right="1440" w:bottom="1440" w:gutter="0" w:footer="0" w:header="0"/>
        </w:sectPr>
      </w:pPr>
    </w:p>
    <w:bookmarkStart w:id="8" w:name="page9"/>
    <w:bookmarkEnd w:id="8"/>
    <w:p>
      <w:pPr>
        <w:ind w:left="547" w:right="2959"/>
        <w:spacing w:after="0" w:line="246" w:lineRule="auto"/>
        <w:rPr>
          <w:sz w:val="20"/>
          <w:szCs w:val="20"/>
          <w:color w:val="auto"/>
        </w:rPr>
      </w:pPr>
      <w:r>
        <w:rPr>
          <w:rFonts w:ascii="Courier New" w:cs="Courier New" w:eastAsia="Courier New" w:hAnsi="Courier New"/>
          <w:sz w:val="15"/>
          <w:szCs w:val="15"/>
          <w:color w:val="auto"/>
        </w:rPr>
        <w:t>or quotation service or quotations furnished by one or more reputable sources, such as securities brokers, dealers or investment bankers, mutual fund administrators, values of comparable property, appraisals or other relevant information. Investments in securities listed on national stock exchanges are carried at fair value determined on the basis of the last published sales price per share on December 31, as reported on the Composite Tape, or, if no sales were made on that date, at the last published sales price on the next preceding day on which sales were made. Securities traded in over-the-counter markets are carried at fair value based on the last bid prices or closing prices on December 31, as listed in published sources if available or, if not available, from other sources considered reliable. Contracts with insurance companies and financial institutions, which are fully benefit responsive, are carried at contract value (representing contributions made under the contracts plus accumulated interest at the contract rates). All other investments are carried at the fair value at the close of business on December 31. Participant loans receivable are valued at cost which approximates fair value. Participant loans were not part of the Group Trust.</w:t>
      </w:r>
    </w:p>
    <w:p>
      <w:pPr>
        <w:spacing w:after="0" w:line="186" w:lineRule="exact"/>
        <w:rPr>
          <w:sz w:val="20"/>
          <w:szCs w:val="20"/>
          <w:color w:val="auto"/>
        </w:rPr>
      </w:pPr>
    </w:p>
    <w:p>
      <w:pPr>
        <w:ind w:left="547" w:right="2959"/>
        <w:spacing w:after="0" w:line="247" w:lineRule="auto"/>
        <w:rPr>
          <w:sz w:val="20"/>
          <w:szCs w:val="20"/>
          <w:color w:val="auto"/>
        </w:rPr>
      </w:pPr>
      <w:r>
        <w:rPr>
          <w:rFonts w:ascii="Courier New" w:cs="Courier New" w:eastAsia="Courier New" w:hAnsi="Courier New"/>
          <w:sz w:val="15"/>
          <w:szCs w:val="15"/>
          <w:color w:val="auto"/>
        </w:rPr>
        <w:t>Purchases and Sales of Investments - Purchases and sales of securities are recorded as of the trade dates.</w:t>
      </w:r>
    </w:p>
    <w:p>
      <w:pPr>
        <w:spacing w:after="0" w:line="175" w:lineRule="exact"/>
        <w:rPr>
          <w:sz w:val="20"/>
          <w:szCs w:val="20"/>
          <w:color w:val="auto"/>
        </w:rPr>
      </w:pPr>
    </w:p>
    <w:p>
      <w:pPr>
        <w:jc w:val="both"/>
        <w:ind w:left="547" w:right="3139"/>
        <w:spacing w:after="0" w:line="247" w:lineRule="auto"/>
        <w:rPr>
          <w:sz w:val="20"/>
          <w:szCs w:val="20"/>
          <w:color w:val="auto"/>
        </w:rPr>
      </w:pPr>
      <w:r>
        <w:rPr>
          <w:rFonts w:ascii="Courier New" w:cs="Courier New" w:eastAsia="Courier New" w:hAnsi="Courier New"/>
          <w:sz w:val="15"/>
          <w:szCs w:val="15"/>
          <w:color w:val="auto"/>
        </w:rPr>
        <w:t>Investment Income - Dividend income is recorded on securities held as of the ex-dividend dates. Interest income is recorded on the accrual basis.</w:t>
      </w:r>
    </w:p>
    <w:p>
      <w:pPr>
        <w:spacing w:after="0" w:line="175" w:lineRule="exact"/>
        <w:rPr>
          <w:sz w:val="20"/>
          <w:szCs w:val="20"/>
          <w:color w:val="auto"/>
        </w:rPr>
      </w:pPr>
    </w:p>
    <w:p>
      <w:pPr>
        <w:ind w:left="547" w:right="3319"/>
        <w:spacing w:after="0" w:line="246" w:lineRule="auto"/>
        <w:rPr>
          <w:sz w:val="20"/>
          <w:szCs w:val="20"/>
          <w:color w:val="auto"/>
        </w:rPr>
      </w:pPr>
      <w:r>
        <w:rPr>
          <w:rFonts w:ascii="Courier New" w:cs="Courier New" w:eastAsia="Courier New" w:hAnsi="Courier New"/>
          <w:sz w:val="15"/>
          <w:szCs w:val="15"/>
          <w:color w:val="auto"/>
        </w:rPr>
        <w:t>Net Appreciation (Depreciation) in the Fair Value of Investments - The Plan presents in the statement of changes in net assets available for benefits the net appreciation (depreciation) in the fair value of investments, which consist of the realized gains or losses and the unrealized appreciation (depreciation) on those investments.</w:t>
      </w:r>
    </w:p>
    <w:p>
      <w:pPr>
        <w:spacing w:after="0" w:line="178" w:lineRule="exact"/>
        <w:rPr>
          <w:sz w:val="20"/>
          <w:szCs w:val="20"/>
          <w:color w:val="auto"/>
        </w:rPr>
      </w:pPr>
    </w:p>
    <w:p>
      <w:pPr>
        <w:ind w:left="547" w:right="3039"/>
        <w:spacing w:after="0" w:line="246"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178" w:lineRule="exact"/>
        <w:rPr>
          <w:sz w:val="20"/>
          <w:szCs w:val="20"/>
          <w:color w:val="auto"/>
        </w:rPr>
      </w:pPr>
    </w:p>
    <w:p>
      <w:pPr>
        <w:ind w:left="547" w:right="2959"/>
        <w:spacing w:after="0" w:line="246" w:lineRule="auto"/>
        <w:rPr>
          <w:sz w:val="20"/>
          <w:szCs w:val="20"/>
          <w:color w:val="auto"/>
        </w:rPr>
      </w:pPr>
      <w:r>
        <w:rPr>
          <w:rFonts w:ascii="Courier New" w:cs="Courier New" w:eastAsia="Courier New" w:hAnsi="Courier New"/>
          <w:sz w:val="15"/>
          <w:szCs w:val="15"/>
          <w:color w:val="auto"/>
        </w:rPr>
        <w:t>Risks and Uncertainties - Investments are exposed to various risks, such as interest rate, market and credit. Due to the level of risk associated with certain investment securities and the level of uncertainty related to changes in the value of investment securities, it is at least reasonably possible that changes in risks in the near term would materially affect participants' account balances and the amounts reported in the statement of net assets available for benefits and the statement of changes in net assets available for benefits.</w:t>
      </w:r>
    </w:p>
    <w:p>
      <w:pPr>
        <w:spacing w:after="0" w:line="180" w:lineRule="exact"/>
        <w:rPr>
          <w:sz w:val="20"/>
          <w:szCs w:val="20"/>
          <w:color w:val="auto"/>
        </w:rPr>
      </w:pPr>
    </w:p>
    <w:p>
      <w:pPr>
        <w:ind w:left="547" w:hanging="547"/>
        <w:spacing w:after="0"/>
        <w:tabs>
          <w:tab w:leader="none" w:pos="5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w:t>
      </w:r>
    </w:p>
    <w:p>
      <w:pPr>
        <w:spacing w:after="0" w:line="179"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IRS has determined and informed the Company by a letter dated October 1, 1999, that the Plan and related trust are designed in accordance with applicable sections of the IRC. The Plan has been amended since receiving the determination letter. Although the Company filed a new determination letter application with the IRS on February 28, 2002, a response has not yet been received. However, the Plan Administrator believes that the Plan is designed and is currently being operated in compliance with the applicable requirements of the IRC. Therefore, no provision for income taxes has been included in the Plan's financial statements.</w:t>
      </w:r>
    </w:p>
    <w:p>
      <w:pPr>
        <w:spacing w:after="0" w:line="180"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INVESTMENT RISK</w:t>
      </w:r>
    </w:p>
    <w:p>
      <w:pPr>
        <w:spacing w:after="0" w:line="179" w:lineRule="exact"/>
        <w:rPr>
          <w:rFonts w:ascii="Courier New" w:cs="Courier New" w:eastAsia="Courier New" w:hAnsi="Courier New"/>
          <w:sz w:val="15"/>
          <w:szCs w:val="15"/>
          <w:color w:val="auto"/>
        </w:rPr>
      </w:pPr>
    </w:p>
    <w:p>
      <w:pPr>
        <w:ind w:left="54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 participants' accounts are exposed to market risk in the event of a significant decline in the value of certain equity securities.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817" w:right="1440" w:bottom="1440" w:gutter="0" w:footer="0" w:header="0"/>
        </w:sectPr>
      </w:pPr>
    </w:p>
    <w:bookmarkStart w:id="9" w:name="page10"/>
    <w:bookmarkEnd w:id="9"/>
    <w:p>
      <w:pPr>
        <w:ind w:left="547" w:hanging="547"/>
        <w:spacing w:after="0"/>
        <w:tabs>
          <w:tab w:leader="none" w:pos="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spacing w:after="0" w:line="179" w:lineRule="exact"/>
        <w:rPr>
          <w:rFonts w:ascii="Courier New" w:cs="Courier New" w:eastAsia="Courier New" w:hAnsi="Courier New"/>
          <w:sz w:val="15"/>
          <w:szCs w:val="15"/>
          <w:color w:val="auto"/>
        </w:rPr>
      </w:pPr>
    </w:p>
    <w:p>
      <w:pPr>
        <w:ind w:left="5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it has not expressed any intent to do so, the Company has the right under the Plan to discontinue its contributions at any time and to terminate the Plan subject to the provisions of ERISA (see Note 11). In the event of Plan termination, the Plan provides that the net assets are to be distributed to participating employees in amounts equal to their respective interests in such assets.</w:t>
      </w:r>
    </w:p>
    <w:p>
      <w:pPr>
        <w:spacing w:after="0" w:line="178"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EXPENSES</w:t>
      </w:r>
    </w:p>
    <w:p>
      <w:pPr>
        <w:spacing w:after="0" w:line="179"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 participants share the recordkeeping, accounting, and other administrative costs of the Plan with the Company. Brokerage, investment manager and trustee fees are paid by the Plan, and are primarily reflected in the calculation of a fund's net asset value per unit.</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9" w:lineRule="exact"/>
        <w:rPr>
          <w:rFonts w:ascii="Courier New" w:cs="Courier New" w:eastAsia="Courier New" w:hAnsi="Courier New"/>
          <w:sz w:val="15"/>
          <w:szCs w:val="15"/>
          <w:color w:val="auto"/>
        </w:rPr>
      </w:pPr>
    </w:p>
    <w:p>
      <w:pPr>
        <w:ind w:left="54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November 18, 2002, the AT&amp;T Stock Fund was frozen and any existing investment election directed to this fund was directed to the Broadband Stable Value Fund.</w:t>
      </w:r>
    </w:p>
    <w:p>
      <w:pPr>
        <w:spacing w:after="0" w:line="174" w:lineRule="exact"/>
        <w:rPr>
          <w:rFonts w:ascii="Courier New" w:cs="Courier New" w:eastAsia="Courier New" w:hAnsi="Courier New"/>
          <w:sz w:val="15"/>
          <w:szCs w:val="15"/>
          <w:color w:val="auto"/>
        </w:rPr>
      </w:pPr>
    </w:p>
    <w:p>
      <w:pPr>
        <w:ind w:left="5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investments that represent 5 percent or more of Plan's net assets (in thousands, except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12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350"/>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Fidelity Magellan Fund, 821,057 shares</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$ 64,831</w:t>
            </w:r>
          </w:p>
        </w:tc>
        <w:tc>
          <w:tcPr>
            <w:tcW w:w="13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Investments in Group Trust</w:t>
            </w:r>
          </w:p>
        </w:tc>
        <w:tc>
          <w:tcPr>
            <w:tcW w:w="14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1,184,515</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Liberty Media</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Stock Fund, 31,591,816 shares (see Note 11)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155,748</w:t>
            </w:r>
          </w:p>
        </w:tc>
        <w:tc>
          <w:tcPr>
            <w:tcW w:w="136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Comcast Class</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A Common Stock, 13,157,562 shares</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103,550</w:t>
            </w:r>
          </w:p>
        </w:tc>
        <w:tc>
          <w:tcPr>
            <w:tcW w:w="1360" w:type="dxa"/>
            <w:vAlign w:val="bottom"/>
          </w:tcPr>
          <w:p>
            <w:pPr>
              <w:spacing w:after="0"/>
              <w:rPr>
                <w:sz w:val="15"/>
                <w:szCs w:val="15"/>
                <w:color w:val="auto"/>
              </w:rPr>
            </w:pPr>
          </w:p>
        </w:tc>
      </w:tr>
      <w:tr>
        <w:trPr>
          <w:trHeight w:val="175"/>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Broadband Stable Value Fund, 196,609,185 shares (see Note 11)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196,609</w:t>
            </w:r>
          </w:p>
        </w:tc>
        <w:tc>
          <w:tcPr>
            <w:tcW w:w="1360" w:type="dxa"/>
            <w:vAlign w:val="bottom"/>
          </w:tcPr>
          <w:p>
            <w:pPr>
              <w:spacing w:after="0"/>
              <w:rPr>
                <w:sz w:val="15"/>
                <w:szCs w:val="15"/>
                <w:color w:val="auto"/>
              </w:rPr>
            </w:pPr>
          </w:p>
        </w:tc>
      </w:tr>
      <w:tr>
        <w:trPr>
          <w:trHeight w:val="175"/>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AT&amp;T Stock Fund, 38,774,609 shares</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67,856</w:t>
            </w:r>
          </w:p>
        </w:tc>
        <w:tc>
          <w:tcPr>
            <w:tcW w:w="136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S&amp;P 500 Index</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Fund, 10,535,987 shares</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74,700</w:t>
            </w:r>
          </w:p>
        </w:tc>
        <w:tc>
          <w:tcPr>
            <w:tcW w:w="136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Asset All STR</w:t>
            </w:r>
          </w:p>
        </w:tc>
        <w:tc>
          <w:tcPr>
            <w:tcW w:w="4680" w:type="dxa"/>
            <w:vAlign w:val="bottom"/>
          </w:tcPr>
          <w:p>
            <w:pPr>
              <w:ind w:left="140"/>
              <w:spacing w:after="0"/>
              <w:rPr>
                <w:sz w:val="20"/>
                <w:szCs w:val="20"/>
                <w:color w:val="auto"/>
              </w:rPr>
            </w:pPr>
            <w:r>
              <w:rPr>
                <w:rFonts w:ascii="Courier New" w:cs="Courier New" w:eastAsia="Courier New" w:hAnsi="Courier New"/>
                <w:sz w:val="15"/>
                <w:szCs w:val="15"/>
                <w:color w:val="auto"/>
              </w:rPr>
              <w:t>Growth, 4,327,659 shares</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71,103</w:t>
            </w:r>
          </w:p>
        </w:tc>
        <w:tc>
          <w:tcPr>
            <w:tcW w:w="1360" w:type="dxa"/>
            <w:vAlign w:val="bottom"/>
          </w:tcPr>
          <w:p>
            <w:pPr>
              <w:spacing w:after="0"/>
              <w:rPr>
                <w:sz w:val="15"/>
                <w:szCs w:val="15"/>
                <w:color w:val="auto"/>
              </w:rPr>
            </w:pPr>
          </w:p>
        </w:tc>
      </w:tr>
    </w:tbl>
    <w:p>
      <w:pPr>
        <w:spacing w:after="0" w:line="354" w:lineRule="exact"/>
        <w:rPr>
          <w:sz w:val="20"/>
          <w:szCs w:val="20"/>
          <w:color w:val="auto"/>
        </w:rPr>
      </w:pPr>
    </w:p>
    <w:p>
      <w:pPr>
        <w:ind w:left="547" w:hanging="547"/>
        <w:spacing w:after="0"/>
        <w:tabs>
          <w:tab w:leader="none" w:pos="5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TRUST INVESTMENTS</w:t>
      </w:r>
    </w:p>
    <w:p>
      <w:pPr>
        <w:spacing w:after="0" w:line="179" w:lineRule="exact"/>
        <w:rPr>
          <w:rFonts w:ascii="Courier New" w:cs="Courier New" w:eastAsia="Courier New" w:hAnsi="Courier New"/>
          <w:sz w:val="15"/>
          <w:szCs w:val="15"/>
          <w:color w:val="auto"/>
        </w:rPr>
      </w:pPr>
    </w:p>
    <w:p>
      <w:pPr>
        <w:ind w:left="54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the investments in the Group Trust held by FMTC at December 31, 2001 (dollars in thousands). The investments were removed from the Group Trust on November 18, 2002 (see Note 1).</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Type of Group Trust Investments</w:t>
            </w:r>
          </w:p>
        </w:tc>
        <w:tc>
          <w:tcPr>
            <w:tcW w:w="4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3180" w:type="dxa"/>
            <w:vAlign w:val="bottom"/>
          </w:tcPr>
          <w:p>
            <w:pPr>
              <w:spacing w:after="0"/>
              <w:rPr>
                <w:sz w:val="15"/>
                <w:szCs w:val="15"/>
                <w:color w:val="auto"/>
              </w:rPr>
            </w:pPr>
          </w:p>
        </w:tc>
        <w:tc>
          <w:tcPr>
            <w:tcW w:w="4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Asset Allocation Strategies</w:t>
            </w:r>
          </w:p>
        </w:tc>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$ 664,756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Index Funds</w:t>
            </w:r>
          </w:p>
        </w:tc>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322,792</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AT&amp;T Custom Funds</w:t>
            </w:r>
          </w:p>
        </w:tc>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3,989,842</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2,660,141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Stock Funds</w:t>
            </w:r>
          </w:p>
        </w:tc>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2,154,884</w:t>
            </w:r>
          </w:p>
        </w:tc>
      </w:tr>
      <w:tr>
        <w:trPr>
          <w:trHeight w:val="175"/>
        </w:trPr>
        <w:tc>
          <w:tcPr>
            <w:tcW w:w="3180" w:type="dxa"/>
            <w:vAlign w:val="bottom"/>
          </w:tcPr>
          <w:p>
            <w:pPr>
              <w:spacing w:after="0"/>
              <w:rPr>
                <w:sz w:val="15"/>
                <w:szCs w:val="15"/>
                <w:color w:val="auto"/>
              </w:rPr>
            </w:pPr>
          </w:p>
        </w:tc>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 Group Trust Investments</w:t>
            </w:r>
          </w:p>
        </w:tc>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$ 9,792,415</w:t>
            </w:r>
          </w:p>
        </w:tc>
      </w:tr>
      <w:tr>
        <w:trPr>
          <w:trHeight w:val="175"/>
        </w:trPr>
        <w:tc>
          <w:tcPr>
            <w:tcW w:w="3180" w:type="dxa"/>
            <w:vAlign w:val="bottom"/>
          </w:tcPr>
          <w:p>
            <w:pPr>
              <w:spacing w:after="0"/>
              <w:rPr>
                <w:sz w:val="15"/>
                <w:szCs w:val="15"/>
                <w:color w:val="auto"/>
              </w:rPr>
            </w:pPr>
          </w:p>
        </w:tc>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874"/>
        </w:trPr>
        <w:tc>
          <w:tcPr>
            <w:tcW w:w="3180" w:type="dxa"/>
            <w:vAlign w:val="bottom"/>
          </w:tcPr>
          <w:p>
            <w:pPr>
              <w:spacing w:after="0"/>
              <w:rPr>
                <w:sz w:val="24"/>
                <w:szCs w:val="24"/>
                <w:color w:val="auto"/>
              </w:rPr>
            </w:pPr>
          </w:p>
        </w:tc>
        <w:tc>
          <w:tcPr>
            <w:tcW w:w="4620" w:type="dxa"/>
            <w:vAlign w:val="bottom"/>
          </w:tcPr>
          <w:p>
            <w:pPr>
              <w:jc w:val="right"/>
              <w:ind w:right="4104"/>
              <w:spacing w:after="0"/>
              <w:rPr>
                <w:sz w:val="20"/>
                <w:szCs w:val="20"/>
                <w:color w:val="auto"/>
              </w:rPr>
            </w:pPr>
            <w:r>
              <w:rPr>
                <w:rFonts w:ascii="Courier New" w:cs="Courier New" w:eastAsia="Courier New" w:hAnsi="Courier New"/>
                <w:sz w:val="15"/>
                <w:szCs w:val="15"/>
                <w:color w:val="auto"/>
              </w:rPr>
              <w:t>8</w:t>
            </w:r>
          </w:p>
        </w:tc>
      </w:tr>
    </w:tbl>
    <w:p>
      <w:pPr>
        <w:sectPr>
          <w:pgSz w:w="11900" w:h="16838" w:orient="portrait"/>
          <w:cols w:equalWidth="0" w:num="1">
            <w:col w:w="10226"/>
          </w:cols>
          <w:pgMar w:left="233" w:top="643" w:right="1440" w:bottom="1440" w:gutter="0" w:footer="0" w:header="0"/>
        </w:sectPr>
      </w:pPr>
    </w:p>
    <w:bookmarkStart w:id="10" w:name="page11"/>
    <w:bookmarkEnd w:id="10"/>
    <w:p>
      <w:pPr>
        <w:spacing w:after="0" w:line="7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Allocation of Group Trust Investments</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5"/>
                <w:szCs w:val="15"/>
                <w:color w:val="auto"/>
              </w:rPr>
            </w:pPr>
          </w:p>
        </w:tc>
      </w:tr>
      <w:tr>
        <w:trPr>
          <w:trHeight w:val="175"/>
        </w:trPr>
        <w:tc>
          <w:tcPr>
            <w:tcW w:w="630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AT&amp;T Long Term Savings Plan for Management Employees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72.9679</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AT&amp;T Long Term Savings and Security Plan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14.7674</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AT&amp;T Retirement Savings and Profit Sharing Plan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0.0812</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AT&amp;T of Puerto Rico, Inc. Long Term Savings Plan for Management</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Employees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0.0705</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AT&amp;T of Puerto Rico, Inc. Long Term Savings and Security Plan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0.0167</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Comcast Cable Communications Holdings, Inc. Long Term Savings Plan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12.0963</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7" w:hanging="547"/>
        <w:spacing w:after="0"/>
        <w:tabs>
          <w:tab w:leader="none" w:pos="5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AND PARTY-IN-INTEREST</w:t>
      </w:r>
    </w:p>
    <w:p>
      <w:pPr>
        <w:spacing w:after="0" w:line="179" w:lineRule="exact"/>
        <w:rPr>
          <w:rFonts w:ascii="Courier New" w:cs="Courier New" w:eastAsia="Courier New" w:hAnsi="Courier New"/>
          <w:sz w:val="15"/>
          <w:szCs w:val="15"/>
          <w:color w:val="auto"/>
        </w:rPr>
      </w:pPr>
    </w:p>
    <w:p>
      <w:pPr>
        <w:ind w:left="5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Plan investments are shares of mutual funds managed by Fidelity Management and Research ("FMR"), the parent of FMTC. FMTC is the trustee as defined by the Plan and, therefore, these transactions qualify as party-in-interest.</w:t>
      </w:r>
    </w:p>
    <w:p>
      <w:pPr>
        <w:spacing w:after="0" w:line="177"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Plan invests in shares of Comcast Class A common stock, which qualifies as a related party transaction. AT&amp;T Corp. stock qualified as a related party transaction until Comcast's acquisition of Broadband on November 18, 2002 (see Note 1).</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FINANCIAL STATEMENTS TO FORM 5500</w:t>
      </w:r>
    </w:p>
    <w:p>
      <w:pPr>
        <w:spacing w:after="0" w:line="180" w:lineRule="exact"/>
        <w:rPr>
          <w:sz w:val="20"/>
          <w:szCs w:val="20"/>
          <w:color w:val="auto"/>
        </w:rPr>
      </w:pPr>
    </w:p>
    <w:p>
      <w:pPr>
        <w:jc w:val="both"/>
        <w:ind w:left="547" w:right="2959"/>
        <w:spacing w:after="0" w:line="247" w:lineRule="auto"/>
        <w:rPr>
          <w:sz w:val="20"/>
          <w:szCs w:val="20"/>
          <w:color w:val="auto"/>
        </w:rPr>
      </w:pPr>
      <w:r>
        <w:rPr>
          <w:rFonts w:ascii="Courier New" w:cs="Courier New" w:eastAsia="Courier New" w:hAnsi="Courier New"/>
          <w:sz w:val="15"/>
          <w:szCs w:val="15"/>
          <w:color w:val="auto"/>
        </w:rPr>
        <w:t>The following is a reconciliation of benefits paid to participants per the financial statements to Form 5500 for the year ended December 31, 2002 (in thousands of dollars):</w:t>
      </w:r>
    </w:p>
    <w:p>
      <w:pPr>
        <w:spacing w:after="0" w:line="1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80" w:type="dxa"/>
            <w:vAlign w:val="bottom"/>
          </w:tcPr>
          <w:p>
            <w:pPr>
              <w:ind w:left="620"/>
              <w:spacing w:after="0"/>
              <w:rPr>
                <w:sz w:val="20"/>
                <w:szCs w:val="20"/>
                <w:color w:val="auto"/>
              </w:rPr>
            </w:pPr>
            <w:r>
              <w:rPr>
                <w:rFonts w:ascii="Courier New" w:cs="Courier New" w:eastAsia="Courier New" w:hAnsi="Courier New"/>
                <w:sz w:val="15"/>
                <w:szCs w:val="15"/>
                <w:color w:val="auto"/>
              </w:rPr>
              <w:t>Distributions to participants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$ 177,801</w:t>
            </w:r>
          </w:p>
        </w:tc>
      </w:tr>
      <w:tr>
        <w:trPr>
          <w:trHeight w:val="175"/>
        </w:trPr>
        <w:tc>
          <w:tcPr>
            <w:tcW w:w="5580" w:type="dxa"/>
            <w:vAlign w:val="bottom"/>
          </w:tcPr>
          <w:p>
            <w:pPr>
              <w:ind w:left="620"/>
              <w:spacing w:after="0"/>
              <w:rPr>
                <w:sz w:val="20"/>
                <w:szCs w:val="20"/>
                <w:color w:val="auto"/>
              </w:rPr>
            </w:pPr>
            <w:r>
              <w:rPr>
                <w:rFonts w:ascii="Courier New" w:cs="Courier New" w:eastAsia="Courier New" w:hAnsi="Courier New"/>
                <w:sz w:val="15"/>
                <w:szCs w:val="15"/>
                <w:color w:val="auto"/>
              </w:rPr>
              <w:t>Less:  Amounts allocated to withdrawing participants</w:t>
            </w:r>
          </w:p>
        </w:tc>
        <w:tc>
          <w:tcPr>
            <w:tcW w:w="1140" w:type="dxa"/>
            <w:vAlign w:val="bottom"/>
          </w:tcPr>
          <w:p>
            <w:pPr>
              <w:spacing w:after="0"/>
              <w:rPr>
                <w:sz w:val="15"/>
                <w:szCs w:val="15"/>
                <w:color w:val="auto"/>
              </w:rPr>
            </w:pPr>
          </w:p>
        </w:tc>
      </w:tr>
      <w:tr>
        <w:trPr>
          <w:trHeight w:val="175"/>
        </w:trPr>
        <w:tc>
          <w:tcPr>
            <w:tcW w:w="5580" w:type="dxa"/>
            <w:vAlign w:val="bottom"/>
          </w:tcPr>
          <w:p>
            <w:pPr>
              <w:ind w:left="720"/>
              <w:spacing w:after="0"/>
              <w:rPr>
                <w:sz w:val="20"/>
                <w:szCs w:val="20"/>
                <w:color w:val="auto"/>
              </w:rPr>
            </w:pPr>
            <w:r>
              <w:rPr>
                <w:rFonts w:ascii="Courier New" w:cs="Courier New" w:eastAsia="Courier New" w:hAnsi="Courier New"/>
                <w:sz w:val="15"/>
                <w:szCs w:val="15"/>
                <w:color w:val="auto"/>
              </w:rPr>
              <w:t>at December 31, 2001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r>
      <w:tr>
        <w:trPr>
          <w:trHeight w:val="175"/>
        </w:trPr>
        <w:tc>
          <w:tcPr>
            <w:tcW w:w="55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Benefits paid to participants per the Form 5500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$ 177,443</w:t>
            </w:r>
          </w:p>
        </w:tc>
      </w:tr>
      <w:tr>
        <w:trPr>
          <w:trHeight w:val="175"/>
        </w:trPr>
        <w:tc>
          <w:tcPr>
            <w:tcW w:w="55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547" w:right="2959"/>
        <w:spacing w:after="0" w:line="247" w:lineRule="auto"/>
        <w:rPr>
          <w:sz w:val="20"/>
          <w:szCs w:val="20"/>
          <w:color w:val="auto"/>
        </w:rPr>
      </w:pPr>
      <w:r>
        <w:rPr>
          <w:rFonts w:ascii="Courier New" w:cs="Courier New" w:eastAsia="Courier New" w:hAnsi="Courier New"/>
          <w:sz w:val="15"/>
          <w:szCs w:val="15"/>
          <w:color w:val="auto"/>
        </w:rPr>
        <w:t>Amounts allocated to withdrawing participants are recorded on Form 5500 for benefit claims that have been processed and approved for payment prior to December 31, but not yet paid as of that date.</w:t>
      </w:r>
    </w:p>
    <w:p>
      <w:pPr>
        <w:spacing w:after="0" w:line="174" w:lineRule="exact"/>
        <w:rPr>
          <w:sz w:val="20"/>
          <w:szCs w:val="20"/>
          <w:color w:val="auto"/>
        </w:rPr>
      </w:pPr>
    </w:p>
    <w:p>
      <w:pPr>
        <w:ind w:left="547" w:hanging="547"/>
        <w:spacing w:after="0"/>
        <w:tabs>
          <w:tab w:leader="none" w:pos="5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9" w:lineRule="exact"/>
        <w:rPr>
          <w:rFonts w:ascii="Courier New" w:cs="Courier New" w:eastAsia="Courier New" w:hAnsi="Courier New"/>
          <w:sz w:val="15"/>
          <w:szCs w:val="15"/>
          <w:color w:val="auto"/>
        </w:rPr>
      </w:pPr>
    </w:p>
    <w:p>
      <w:pPr>
        <w:ind w:left="5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2003, the Plan was amended to remove after tax contributions to the Plan and the Company matching contribution was changed to be 100% of the first 6% of an eligible employees compensation except for certain bargaining unit employees.</w:t>
      </w:r>
    </w:p>
    <w:p>
      <w:pPr>
        <w:spacing w:after="0" w:line="177" w:lineRule="exact"/>
        <w:rPr>
          <w:rFonts w:ascii="Courier New" w:cs="Courier New" w:eastAsia="Courier New" w:hAnsi="Courier New"/>
          <w:sz w:val="15"/>
          <w:szCs w:val="15"/>
          <w:color w:val="auto"/>
        </w:rPr>
      </w:pPr>
    </w:p>
    <w:p>
      <w:pPr>
        <w:ind w:left="5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17, 2003 and February 10, 2003 the balances in AT&amp;T Wireless Stock Fund and Liberty Media Stock Fund, respectively, were liquidated and reinvested in the Broadband Stable Value Fund.</w:t>
      </w:r>
    </w:p>
    <w:p>
      <w:pPr>
        <w:spacing w:after="0" w:line="174" w:lineRule="exact"/>
        <w:rPr>
          <w:rFonts w:ascii="Courier New" w:cs="Courier New" w:eastAsia="Courier New" w:hAnsi="Courier New"/>
          <w:sz w:val="15"/>
          <w:szCs w:val="15"/>
          <w:color w:val="auto"/>
        </w:rPr>
      </w:pPr>
    </w:p>
    <w:p>
      <w:pPr>
        <w:ind w:left="54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July 1, 2003, the assets of the Plan will be merged into the Comcast Corporation Retirement-Investment Plan which was amended on February 26, 2003 to reflect this merger.</w:t>
      </w:r>
    </w:p>
    <w:p>
      <w:pPr>
        <w:spacing w:after="0" w:line="34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1440" w:right="1440" w:bottom="1440" w:gutter="0" w:footer="0" w:header="0"/>
        </w:sectPr>
      </w:pPr>
    </w:p>
    <w:bookmarkStart w:id="11" w:name="page12"/>
    <w:bookmarkEnd w:id="11"/>
    <w:p>
      <w:pPr>
        <w:ind w:left="8260"/>
        <w:spacing w:after="0"/>
        <w:rPr>
          <w:sz w:val="20"/>
          <w:szCs w:val="20"/>
          <w:color w:val="auto"/>
        </w:rPr>
      </w:pPr>
      <w:r>
        <w:rPr>
          <w:rFonts w:ascii="Courier New" w:cs="Courier New" w:eastAsia="Courier New" w:hAnsi="Courier New"/>
          <w:sz w:val="15"/>
          <w:szCs w:val="15"/>
          <w:color w:val="auto"/>
        </w:rPr>
        <w:t>FEIN#: 27-0000798</w:t>
      </w:r>
    </w:p>
    <w:p>
      <w:pPr>
        <w:spacing w:after="0" w:line="5" w:lineRule="exact"/>
        <w:rPr>
          <w:sz w:val="20"/>
          <w:szCs w:val="20"/>
          <w:color w:val="auto"/>
        </w:rPr>
      </w:pPr>
    </w:p>
    <w:p>
      <w:pPr>
        <w:ind w:left="8260"/>
        <w:spacing w:after="0"/>
        <w:rPr>
          <w:sz w:val="20"/>
          <w:szCs w:val="20"/>
          <w:color w:val="auto"/>
        </w:rPr>
      </w:pPr>
      <w:r>
        <w:rPr>
          <w:rFonts w:ascii="Courier New" w:cs="Courier New" w:eastAsia="Courier New" w:hAnsi="Courier New"/>
          <w:sz w:val="15"/>
          <w:szCs w:val="15"/>
          <w:color w:val="auto"/>
        </w:rPr>
        <w:t>Plan#: 020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TERM SAVINGS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H, Line 4i - SCHEDULE OF ASSETS HELD FOR INVESTMENT PURPOSES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28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Description of Investment</w:t>
            </w:r>
          </w:p>
        </w:tc>
        <w:tc>
          <w:tcPr>
            <w:tcW w:w="1180" w:type="dxa"/>
            <w:vAlign w:val="bottom"/>
          </w:tcPr>
          <w:p>
            <w:pPr>
              <w:spacing w:after="0"/>
              <w:rPr>
                <w:sz w:val="14"/>
                <w:szCs w:val="14"/>
                <w:color w:val="auto"/>
              </w:rPr>
            </w:pPr>
          </w:p>
        </w:tc>
      </w:tr>
      <w:tr>
        <w:trPr>
          <w:trHeight w:val="175"/>
        </w:trPr>
        <w:tc>
          <w:tcPr>
            <w:tcW w:w="6800" w:type="dxa"/>
            <w:vAlign w:val="bottom"/>
          </w:tcPr>
          <w:p>
            <w:pPr>
              <w:spacing w:after="0"/>
              <w:rPr>
                <w:sz w:val="15"/>
                <w:szCs w:val="15"/>
                <w:color w:val="auto"/>
              </w:rPr>
            </w:pPr>
          </w:p>
        </w:tc>
        <w:tc>
          <w:tcPr>
            <w:tcW w:w="28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Including Maturity Date,</w:t>
            </w:r>
          </w:p>
        </w:tc>
        <w:tc>
          <w:tcPr>
            <w:tcW w:w="1180" w:type="dxa"/>
            <w:vAlign w:val="bottom"/>
          </w:tcPr>
          <w:p>
            <w:pPr>
              <w:jc w:val="center"/>
              <w:ind w:left="304"/>
              <w:spacing w:after="0"/>
              <w:rPr>
                <w:sz w:val="20"/>
                <w:szCs w:val="20"/>
                <w:color w:val="auto"/>
              </w:rPr>
            </w:pPr>
            <w:r>
              <w:rPr>
                <w:rFonts w:ascii="Courier New" w:cs="Courier New" w:eastAsia="Courier New" w:hAnsi="Courier New"/>
                <w:sz w:val="15"/>
                <w:szCs w:val="15"/>
                <w:color w:val="auto"/>
              </w:rPr>
              <w:t>Fair or</w:t>
            </w:r>
          </w:p>
        </w:tc>
      </w:tr>
      <w:tr>
        <w:trPr>
          <w:trHeight w:val="175"/>
        </w:trPr>
        <w:tc>
          <w:tcPr>
            <w:tcW w:w="6800" w:type="dxa"/>
            <w:vAlign w:val="bottom"/>
          </w:tcPr>
          <w:p>
            <w:pPr>
              <w:ind w:left="1000"/>
              <w:spacing w:after="0"/>
              <w:rPr>
                <w:sz w:val="20"/>
                <w:szCs w:val="20"/>
                <w:color w:val="auto"/>
              </w:rPr>
            </w:pPr>
            <w:r>
              <w:rPr>
                <w:rFonts w:ascii="Courier New" w:cs="Courier New" w:eastAsia="Courier New" w:hAnsi="Courier New"/>
                <w:sz w:val="15"/>
                <w:szCs w:val="15"/>
                <w:color w:val="auto"/>
              </w:rPr>
              <w:t>Identity of Issue, Borrower, Lessor or</w:t>
            </w:r>
          </w:p>
        </w:tc>
        <w:tc>
          <w:tcPr>
            <w:tcW w:w="28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Rate of Interest,</w:t>
            </w:r>
          </w:p>
        </w:tc>
        <w:tc>
          <w:tcPr>
            <w:tcW w:w="1180" w:type="dxa"/>
            <w:vAlign w:val="bottom"/>
          </w:tcPr>
          <w:p>
            <w:pPr>
              <w:jc w:val="center"/>
              <w:ind w:left="304"/>
              <w:spacing w:after="0"/>
              <w:rPr>
                <w:sz w:val="20"/>
                <w:szCs w:val="20"/>
                <w:color w:val="auto"/>
              </w:rPr>
            </w:pPr>
            <w:r>
              <w:rPr>
                <w:rFonts w:ascii="Courier New" w:cs="Courier New" w:eastAsia="Courier New" w:hAnsi="Courier New"/>
                <w:sz w:val="15"/>
                <w:szCs w:val="15"/>
                <w:color w:val="auto"/>
              </w:rPr>
              <w:t>Current</w:t>
            </w:r>
          </w:p>
        </w:tc>
      </w:tr>
      <w:tr>
        <w:trPr>
          <w:trHeight w:val="175"/>
        </w:trPr>
        <w:tc>
          <w:tcPr>
            <w:tcW w:w="6800" w:type="dxa"/>
            <w:vAlign w:val="bottom"/>
          </w:tcPr>
          <w:p>
            <w:pPr>
              <w:ind w:left="2180"/>
              <w:spacing w:after="0"/>
              <w:rPr>
                <w:sz w:val="20"/>
                <w:szCs w:val="20"/>
                <w:color w:val="auto"/>
              </w:rPr>
            </w:pPr>
            <w:r>
              <w:rPr>
                <w:rFonts w:ascii="Courier New" w:cs="Courier New" w:eastAsia="Courier New" w:hAnsi="Courier New"/>
                <w:sz w:val="15"/>
                <w:szCs w:val="15"/>
                <w:color w:val="auto"/>
              </w:rPr>
              <w:t>Similar Party</w:t>
            </w:r>
          </w:p>
        </w:tc>
        <w:tc>
          <w:tcPr>
            <w:tcW w:w="28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Par or Maturity Value</w:t>
            </w:r>
          </w:p>
        </w:tc>
        <w:tc>
          <w:tcPr>
            <w:tcW w:w="118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7"/>
              </w:rPr>
              <w:t>Value</w:t>
            </w:r>
          </w:p>
        </w:tc>
      </w:tr>
      <w:tr>
        <w:trPr>
          <w:trHeight w:val="350"/>
        </w:trPr>
        <w:tc>
          <w:tcPr>
            <w:tcW w:w="6800" w:type="dxa"/>
            <w:vAlign w:val="bottom"/>
          </w:tcPr>
          <w:p>
            <w:pPr>
              <w:spacing w:after="0"/>
              <w:rPr>
                <w:sz w:val="20"/>
                <w:szCs w:val="20"/>
                <w:color w:val="auto"/>
              </w:rPr>
            </w:pPr>
            <w:r>
              <w:rPr>
                <w:rFonts w:ascii="Courier New" w:cs="Courier New" w:eastAsia="Courier New" w:hAnsi="Courier New"/>
                <w:sz w:val="15"/>
                <w:szCs w:val="15"/>
                <w:color w:val="auto"/>
              </w:rPr>
              <w:t>Brokeragelink</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3,798,773</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$ 3,799</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Broadband Stable Value Fund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196,609,185</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196,609</w:t>
            </w:r>
          </w:p>
        </w:tc>
      </w:tr>
      <w:tr>
        <w:trPr>
          <w:trHeight w:val="175"/>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(bearing interest of 1.35% - 7.14% with maturities</w:t>
            </w: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generally from 2004-2007)</w:t>
            </w: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Janus Overseas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352,024</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5,382</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TRP Mid Cap Growth</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278,379</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8,641</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TRP SM Cap Growth</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448,688</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9,647</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Janus Worldwide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255,201</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8,199</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Pimco Total Return Inst.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687,621</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7,337</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LM Value Trust FI CL</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42,916</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1,851</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Vanguard US Growth ADM</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173,336</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5,411</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Vanguard Windsor II ADM</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189,603</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Asset All STR Growth</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306,170</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4,923</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Asset All STR Bal</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4,327,659</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71,103</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Asset All STR Inc</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154,505</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2,576</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US Bond Market Index</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1,131,552</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15,106</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S&amp;P 500 Index Fund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10,535,987</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74,700</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Total US Stock Market Index</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204,803</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1,505</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Extended US Stock Market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127,528</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1,029</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International Stock Market Index</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106,077</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665</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Comcast Class A Common Stock Fund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13,157,562</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103,550</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Liberty Media Stock Fund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31,591,816</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155,748</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AT&amp;T Wireless Stock Fund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8,250,421</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20,874</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AT&amp;T Stock Fund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38,774,609</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67,856</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Fidelity Magellan</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821,057</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64,831</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Fidelity Equity Income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296,122</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11,747</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Fidelity Low PR Stk</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792,909</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19,958</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Fidelity Diverse Intl</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1,127,493</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19,348</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Fidelity DIVD Growth</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464,099</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10,359</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Fidelity High Income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526,322</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5"/>
        </w:trPr>
        <w:tc>
          <w:tcPr>
            <w:tcW w:w="6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903,754</w:t>
            </w:r>
          </w:p>
        </w:tc>
      </w:tr>
      <w:tr>
        <w:trPr>
          <w:trHeight w:val="175"/>
        </w:trPr>
        <w:tc>
          <w:tcPr>
            <w:tcW w:w="6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Participant loans receivable (at cost, which approximates fair value)</w:t>
            </w: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(bearing interest of 4.25% - 11.5% and maturing from 2003 through 2007)</w:t>
            </w: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41,656</w:t>
            </w:r>
          </w:p>
        </w:tc>
      </w:tr>
      <w:tr>
        <w:trPr>
          <w:trHeight w:val="175"/>
        </w:trPr>
        <w:tc>
          <w:tcPr>
            <w:tcW w:w="6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$ 945,410</w:t>
      </w:r>
    </w:p>
    <w:p>
      <w:pPr>
        <w:spacing w:after="0" w:line="5"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0"/>
          </w:cols>
          <w:pgMar w:left="240" w:top="817" w:right="13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Registration Statement No. 333-101295 of Comcast Corporation on Form S-8 of our report dated June 13, 2003, appearing in this Annual Report on Form 11-K of the Comcast Cable Communications Holdings, Inc. Long Term Savings Plan for the year ended December 31, 2002.</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27, 2003</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INDEPENDENT ACCOUNTANTS' CONSENT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hereby consent to the incorporation by reference in Registration Statement No. 333-101295 of Comcast Corporation on Form S-8 of our report dated June 17, 2002 relating to the statement of net assets available for benefits as of December 31, 2001, appearing in this Annual Report on Form 11-K of the Comcast Cable Communications Holdings, Inc. Long Term Savings Plan for the year ended December 31, 2002.</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27, 2003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92" w:right="1440" w:bottom="1440" w:gutter="0" w:footer="0" w:header="0"/>
        </w:sectPr>
      </w:pPr>
    </w:p>
    <w:bookmarkStart w:id="14" w:name="page15"/>
    <w:bookmarkEnd w:id="14"/>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COMCAST CABLE COMMUNICATIONS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HOLDINGS, INC. LONG TERM SAVINGS PLAN</w:t>
      </w:r>
    </w:p>
    <w:p>
      <w:pPr>
        <w:sectPr>
          <w:pgSz w:w="11900" w:h="16838" w:orient="portrait"/>
          <w:cols w:equalWidth="0" w:num="1">
            <w:col w:w="10219"/>
          </w:cols>
          <w:pgMar w:left="240" w:top="817" w:right="1440" w:bottom="1440" w:gutter="0" w:footer="0" w:header="0"/>
        </w:sectPr>
      </w:pP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ectPr>
          <w:pgSz w:w="11900" w:h="16838" w:orient="portrait"/>
          <w:cols w:equalWidth="0" w:num="2">
            <w:col w:w="3440" w:space="28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2003</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Lawrence J. Salva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Lawrence J. Salva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w:t>
      </w:r>
    </w:p>
    <w:p>
      <w:pPr>
        <w:spacing w:after="0" w:line="200" w:lineRule="exact"/>
        <w:rPr>
          <w:sz w:val="20"/>
          <w:szCs w:val="20"/>
          <w:color w:val="auto"/>
        </w:rPr>
      </w:pPr>
    </w:p>
    <w:p>
      <w:pPr>
        <w:sectPr>
          <w:pgSz w:w="11900" w:h="16838" w:orient="portrait"/>
          <w:cols w:equalWidth="0" w:num="3">
            <w:col w:w="2460" w:space="720"/>
            <w:col w:w="260" w:space="280"/>
            <w:col w:w="6499"/>
          </w:cols>
          <w:pgMar w:left="240" w:top="8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sectPr>
      <w:pgSz w:w="11900" w:h="16838" w:orient="portrait"/>
      <w:cols w:equalWidth="0" w:num="1">
        <w:col w:w="10219"/>
      </w:cols>
      <w:pgMar w:left="240" w:top="8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8"/>
    </w:lvl>
  </w:abstractNum>
  <w:abstractNum w:abstractNumId="6">
    <w:nsid w:val="79E2A9E3"/>
    <w:multiLevelType w:val="hybridMultilevel"/>
    <w:lvl w:ilvl="0">
      <w:lvlJc w:val="left"/>
      <w:lvlText w:val="%1."/>
      <w:numFmt w:val="decimal"/>
      <w:start w:val="9"/>
    </w:lvl>
  </w:abstractNum>
  <w:abstractNum w:abstractNumId="7">
    <w:nsid w:val="7545E14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2019-12-15T07:03:14Z</dcterms:created>
  <dcterms:modified xsi:type="dcterms:W3CDTF">2019-12-15T07:03:14Z</dcterms:modified>
</cp:coreProperties>
</file>