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333-266390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31, 2022</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0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COMCAST CORPORATION</w:t>
            </w:r>
          </w:p>
        </w:tc>
      </w:tr>
      <w:tr>
        <w:trPr>
          <w:trHeight w:val="410"/>
        </w:trPr>
        <w:tc>
          <w:tcPr>
            <w:tcW w:w="3120" w:type="dxa"/>
            <w:vAlign w:val="bottom"/>
          </w:tcPr>
          <w:p>
            <w:pPr>
              <w:spacing w:after="0"/>
              <w:rPr>
                <w:sz w:val="24"/>
                <w:szCs w:val="24"/>
                <w:color w:val="auto"/>
              </w:rPr>
            </w:pPr>
          </w:p>
        </w:tc>
        <w:tc>
          <w:tcPr>
            <w:tcW w:w="8000" w:type="dxa"/>
            <w:vAlign w:val="bottom"/>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$750,000,000 5.250% NOTES DUE 2025</w:t>
            </w:r>
          </w:p>
        </w:tc>
      </w:tr>
      <w:tr>
        <w:trPr>
          <w:trHeight w:val="216"/>
        </w:trPr>
        <w:tc>
          <w:tcPr>
            <w:tcW w:w="3120" w:type="dxa"/>
            <w:vAlign w:val="bottom"/>
          </w:tcPr>
          <w:p>
            <w:pPr>
              <w:spacing w:after="0"/>
              <w:rPr>
                <w:sz w:val="18"/>
                <w:szCs w:val="18"/>
                <w:color w:val="auto"/>
              </w:rPr>
            </w:pPr>
          </w:p>
        </w:tc>
        <w:tc>
          <w:tcPr>
            <w:tcW w:w="8000" w:type="dxa"/>
            <w:vAlign w:val="bottom"/>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$750,000,000 5.350% NOTES DUE 2027</w:t>
            </w:r>
          </w:p>
        </w:tc>
      </w:tr>
      <w:tr>
        <w:trPr>
          <w:trHeight w:val="238"/>
        </w:trPr>
        <w:tc>
          <w:tcPr>
            <w:tcW w:w="3120" w:type="dxa"/>
            <w:vAlign w:val="bottom"/>
          </w:tcPr>
          <w:p>
            <w:pPr>
              <w:spacing w:after="0"/>
              <w:rPr>
                <w:sz w:val="20"/>
                <w:szCs w:val="20"/>
                <w:color w:val="auto"/>
              </w:rPr>
            </w:pPr>
          </w:p>
        </w:tc>
        <w:tc>
          <w:tcPr>
            <w:tcW w:w="80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$1,000,000,000 5.500% NOTES DUE 2032</w:t>
            </w:r>
          </w:p>
        </w:tc>
      </w:tr>
      <w:tr>
        <w:trPr>
          <w:trHeight w:val="432"/>
        </w:trPr>
        <w:tc>
          <w:tcPr>
            <w:tcW w:w="3120" w:type="dxa"/>
            <w:vAlign w:val="bottom"/>
          </w:tcPr>
          <w:p>
            <w:pPr>
              <w:spacing w:after="0"/>
              <w:rPr>
                <w:sz w:val="24"/>
                <w:szCs w:val="24"/>
                <w:color w:val="auto"/>
              </w:rPr>
            </w:pPr>
          </w:p>
        </w:tc>
        <w:tc>
          <w:tcPr>
            <w:tcW w:w="80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54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Issue of Securities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5.250% Notes due 2025</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5.350% Notes due 2027</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5.500% Notes due 2032</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$2,000 and multiples of $1,000 in excess thereof</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 Company intends to use the net proceeds from the offering for the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refinancing of outstanding debt, including Comcast Cable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Communications Holdings Inc.’s 9.455% notes due November 15, 2022</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($1.07 billion principal amount outstanding as of the date hereof) and Sky</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plc’s 3.125% notes due November 26, 2022 ($800 million principal</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amount outstanding as of the date hereof), and for general corporate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purposes. Affiliates of certain of the underwriters may be holders of the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9.455% notes due November 15, 2022 and the 3.125% notes due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November 26, 2022, and accordingly, may receive a portion of the net</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proceeds from this offering.</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Indenture</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9"/>
              </w:rPr>
              <w:t>Indenture dated as of September 18, 2013 by and among the Company, the</w:t>
            </w:r>
          </w:p>
        </w:tc>
      </w:tr>
      <w:tr>
        <w:trPr>
          <w:trHeight w:val="212"/>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 as trustee</w:t>
            </w:r>
          </w:p>
        </w:tc>
      </w:tr>
      <w:tr>
        <w:trPr>
          <w:trHeight w:val="220"/>
        </w:trPr>
        <w:tc>
          <w:tcPr>
            <w:tcW w:w="3120" w:type="dxa"/>
            <w:vAlign w:val="bottom"/>
          </w:tcPr>
          <w:p>
            <w:pPr>
              <w:spacing w:after="0"/>
              <w:rPr>
                <w:sz w:val="19"/>
                <w:szCs w:val="19"/>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of November 17, 2015 by and among the Company, the guarantors named</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therein and the Trustee and as further amended by the Second</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Supplemental Indenture dated as of July 29, 2022 by and among the</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Company, the guarantors named therein and the Trustee.</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59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r>
              <w:rPr>
                <w:rFonts w:ascii="Times New Roman" w:cs="Times New Roman" w:eastAsia="Times New Roman" w:hAnsi="Times New Roman"/>
                <w:sz w:val="29"/>
                <w:szCs w:val="29"/>
                <w:color w:val="auto"/>
                <w:vertAlign w:val="superscript"/>
              </w:rPr>
              <w:t>1</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Moody’s: A3; S&amp;P: A-; Fitch: A-</w:t>
            </w:r>
          </w:p>
        </w:tc>
      </w:tr>
      <w:tr>
        <w:trPr>
          <w:trHeight w:val="29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BofA Securities,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071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780" w:hanging="124"/>
        <w:spacing w:after="0"/>
        <w:tabs>
          <w:tab w:leader="none" w:pos="780" w:val="left"/>
        </w:tabs>
        <w:numPr>
          <w:ilvl w:val="0"/>
          <w:numId w:val="1"/>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5.250% Notes Due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Investment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S.p.A.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A. Ramirez &amp;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2022 (T+5)</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Investing in the notes involves certain risks. See “Item 1A-Risk Factors” beginning on page 22 of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2025 (the “</w:t>
      </w:r>
      <w:r>
        <w:rPr>
          <w:rFonts w:ascii="Times New Roman" w:cs="Times New Roman" w:eastAsia="Times New Roman" w:hAnsi="Times New Roman"/>
          <w:sz w:val="18"/>
          <w:szCs w:val="18"/>
          <w:b w:val="1"/>
          <w:bCs w:val="1"/>
          <w:color w:val="auto"/>
        </w:rPr>
        <w:t>2025 Maturity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5.250% per annum, accruing from November 7, 2022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and November 7, commencing May 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4.250% due October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99-13+ / 4.460%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bps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680" w:space="720"/>
            <w:col w:w="5600"/>
          </w:cols>
          <w:pgMar w:left="320" w:top="648"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5.350% Notes Due 2027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5.260%</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may redeem the 5.250% Notes due 2025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on a semi-annual basis (assuming a 360-day year consisting of twelve 30-day months) at the Treasury Rate (as defined below) plus 15 basis points, less (b) interest accrued to the date of redemption, and (2) 100% of the principal amount of the 5.250% Notes due 2025 to be redeemed, plus, in either case, accrued and unpaid interest thereon to the redemption date.</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5.250% Notes due 2025 may be issued. The 5.250% Notes due 2025 and any additional 5.250% Notes due 2025 that may be issued may be treated as a single series for all purposes under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20030N DZ1 / US20030NDZ15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99.973% plus accrued interest, if any, from November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0.200%</w:t>
      </w:r>
    </w:p>
    <w:p>
      <w:pPr>
        <w:spacing w:after="0" w:line="22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99.773% per $1,000 principal amount of 5.250% Notes due 2025; $748,297,500 total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2027</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5.350% per annum, accruing from November 7, 2022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and November 15, commencing May 15,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4.125% due October 31,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99-12¾ / 4.260%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bps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5.360%</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October 15, 2027 (one (1) month prior to the maturity date of the 5.350% Notes due 2027) (the “</w:t>
      </w:r>
      <w:r>
        <w:rPr>
          <w:rFonts w:ascii="Times New Roman" w:cs="Times New Roman" w:eastAsia="Times New Roman" w:hAnsi="Times New Roman"/>
          <w:sz w:val="18"/>
          <w:szCs w:val="18"/>
          <w:b w:val="1"/>
          <w:bCs w:val="1"/>
          <w:color w:val="auto"/>
        </w:rPr>
        <w:t>2027 Par Call Date</w:t>
      </w:r>
      <w:r>
        <w:rPr>
          <w:rFonts w:ascii="Times New Roman" w:cs="Times New Roman" w:eastAsia="Times New Roman" w:hAnsi="Times New Roman"/>
          <w:sz w:val="18"/>
          <w:szCs w:val="18"/>
          <w:color w:val="auto"/>
        </w:rPr>
        <w:t>”), the Company may redeem the 5.350% Notes due 2027 at its option, in whole or in part, at any time and from time to time, at a redemption price (expressed as a percentage of the principal amount and rounded to three decimal places) equal to the greater of:</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48" w:right="4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5.500% Notes Due 2032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right="20" w:firstLine="8"/>
        <w:spacing w:after="0" w:line="254"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that the 5.350% Notes due 2027 matured on the 2027 Par Call Date) on a semi-annual basis (assuming a 360-day year consisting of twelve 30-day months) at the Treasury Rate (as defined below) plus 20 basis points, less (b) interest accrued to the date of redemption, and (2) 100% of the principal amount of the 5.350% Notes due 2027 to be redeemed, plus, in either case, accrued and unpaid interest thereon to the redemption date.</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or after the 2027 Par Call Date, the Company may redeem the 5.350% Notes due 2027, in whole or in part, at any time and from time to time, at a redemption price equal to 100% of the principal amount of the 5.350% Notes due 2027 being redeemed plus accrued and unpaid interest thereon to the redemption date.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5.350% Notes due 2027 may be issued. The 5.350% Notes due 2027 and any additional 5.350% Notes due 2027 that may be issued may be treated as a single series for all purposes under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20030N EA5 / US20030NEA54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99.955% of principal amount plus accrued interest, if any, from November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0.250%</w:t>
      </w:r>
    </w:p>
    <w:p>
      <w:pPr>
        <w:spacing w:after="0" w:line="22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99.705% per $1,000 principal amount of 5.350% Notes due 2027; $747,787,500 total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2032</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5.500% per annum, accruing from November 7, 2022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and November 15, commencing May 15,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2.750% due August 15, 2032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89-10+ / 4.083%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bps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5.583%</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Prior to August 15, 2032 (three (3) months prior to the maturity date of the 5.500% Notes due 2032) (the “</w:t>
      </w:r>
      <w:r>
        <w:rPr>
          <w:rFonts w:ascii="Times New Roman" w:cs="Times New Roman" w:eastAsia="Times New Roman" w:hAnsi="Times New Roman"/>
          <w:sz w:val="18"/>
          <w:szCs w:val="18"/>
          <w:b w:val="1"/>
          <w:bCs w:val="1"/>
          <w:color w:val="auto"/>
        </w:rPr>
        <w:t>2032 Par Call Date</w:t>
      </w:r>
      <w:r>
        <w:rPr>
          <w:rFonts w:ascii="Times New Roman" w:cs="Times New Roman" w:eastAsia="Times New Roman" w:hAnsi="Times New Roman"/>
          <w:sz w:val="18"/>
          <w:szCs w:val="18"/>
          <w:color w:val="auto"/>
        </w:rPr>
        <w:t>”; the 2027 Par Call Date and the 2032 Par Call Date, each, a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Company may redeem the 5.500% Notes due 2032 at its option, in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48" w:right="459" w:bottom="1440" w:gutter="0" w:footer="0" w:header="0"/>
        </w:sectPr>
      </w:pPr>
    </w:p>
    <w:bookmarkStart w:id="4" w:name="page5"/>
    <w:bookmarkEnd w:id="4"/>
    <w:p>
      <w:pPr>
        <w:ind w:left="5400" w:right="80"/>
        <w:spacing w:after="0" w:line="253" w:lineRule="auto"/>
        <w:rPr>
          <w:sz w:val="20"/>
          <w:szCs w:val="20"/>
          <w:color w:val="auto"/>
        </w:rPr>
      </w:pPr>
      <w:r>
        <w:rPr>
          <w:rFonts w:ascii="Times New Roman" w:cs="Times New Roman" w:eastAsia="Times New Roman" w:hAnsi="Times New Roman"/>
          <w:sz w:val="18"/>
          <w:szCs w:val="18"/>
          <w:color w:val="auto"/>
        </w:rPr>
        <w:t>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5.500% Notes due 2032 matured on the 2032 Par Call Date) on a semi-annual basis (assuming a 360-day year consisting of twelve 30-day months) at the Treasury Rate (as defined below) plus 25 basis points, less (b) interest accrued to the date of redemption, and (2) 100% of the principal amount of the 5.500% Notes due 2032 to be redeemed, plus, in either case, accrued and unpaid interest thereon to the redemption date.</w:t>
      </w:r>
    </w:p>
    <w:p>
      <w:pPr>
        <w:spacing w:after="0" w:line="19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On or after the 2032 Par Call Date, the Company may redeem the 5.500%</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Notes due 2032, in whole or in part, at any time and from time to time, at 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5.500% Notes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due 2032 being redeemed plus accrued and unpaid interest thereon to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 date.</w:t>
      </w:r>
    </w:p>
    <w:p>
      <w:pPr>
        <w:sectPr>
          <w:pgSz w:w="11900" w:h="16838" w:orient="portrait"/>
          <w:cols w:equalWidth="0" w:num="1">
            <w:col w:w="11180"/>
          </w:cols>
          <w:pgMar w:left="320" w:top="648" w:right="3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5.500% Notes due 2032 may be issued. The 5.500% Notes due 2032 and any additional 5.500% Notes due 2032 that may be issued may be treated as a single series for all purposes under the Indenture.</w:t>
      </w:r>
    </w:p>
    <w:p>
      <w:pPr>
        <w:spacing w:after="0" w:line="176"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20030N EB3 / US20030NEB38</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99.368% plus accrued interest, if any, from November 7, 2022</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0.400%</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98.968% per $1,000 principal amount of 5.500% Notes due 2032; $989,680,000 total</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“Treasury Rate” used for Optional Redemptions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2025 Maturity Date or the applicable Par Call Date, as applicable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2025 Maturity Date or the applicable Par Call Date, as applicable, on a straight-line basis (using the actual number of days) using such yields and rounding the result to three decimal places; or (3) if there is no such Treasury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type w:val="continuous"/>
        </w:sectPr>
      </w:pPr>
    </w:p>
    <w:bookmarkStart w:id="5" w:name="page6"/>
    <w:bookmarkEnd w:id="5"/>
    <w:p>
      <w:pPr>
        <w:ind w:right="220"/>
        <w:spacing w:after="0" w:line="266" w:lineRule="auto"/>
        <w:rPr>
          <w:sz w:val="20"/>
          <w:szCs w:val="20"/>
          <w:color w:val="auto"/>
        </w:rPr>
      </w:pPr>
      <w:r>
        <w:rPr>
          <w:rFonts w:ascii="Times New Roman" w:cs="Times New Roman" w:eastAsia="Times New Roman" w:hAnsi="Times New Roman"/>
          <w:sz w:val="18"/>
          <w:szCs w:val="18"/>
          <w:color w:val="auto"/>
        </w:rPr>
        <w:t>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2025 Maturity Date or the relevant Par Call Date, as applicable. If there is no United States Treasury security maturing on the 2025 Maturity Date or the applicable Par Call Date, as applicable, but there are two or more United States Treasury securities with a maturity date equally distant from the 2025 Maturity Date or the applicable Par Call Date, as applicable, one with a maturity date preceding such 2025 Maturity Date or Par Call Date, as applicable, and one with a maturity date following such 2025 Maturity Date or Par Call Date, as applicable, the Company shall select the United States Treasury security with a maturity date preceding the 2025 Maturity Date or the applicable Par Call Date, as applicable. If there are two or more United States Treasury securities maturing on the 2025 Maturity Date or the applicable Par Call Date, as applicable,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 w:name="page7"/>
    <w:bookmarkEnd w:id="6"/>
    <w:p>
      <w:pPr>
        <w:ind w:firstLine="324"/>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November 7, 2022,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Alternatively, the issuer, any underwriter or any dealer participating in the offering will arrange to send you the prospectus if you request it by calling Citigroup Global Markets Inc. at 1-800-831-9146, J.P. Morgan Securities LLC collect at 1-212-834-4533 and TD Securities (USA) LLC at 1-855-495-9846.</w:t>
      </w:r>
    </w:p>
    <w:p>
      <w:pPr>
        <w:spacing w:after="0" w:line="179"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2022-10-31T17:14:06Z</dcterms:created>
  <dcterms:modified xsi:type="dcterms:W3CDTF">2022-10-31T17:14:06Z</dcterms:modified>
</cp:coreProperties>
</file>