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_______________</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Pursuant to Section 13 or 15(d) of</w:t>
      </w:r>
    </w:p>
    <w:p>
      <w:pPr>
        <w:ind w:left="232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April 24, 1996</w:t>
      </w:r>
    </w:p>
    <w:p>
      <w:pPr>
        <w:ind w:left="1800"/>
        <w:spacing w:after="0" w:line="238" w:lineRule="auto"/>
        <w:rPr>
          <w:sz w:val="20"/>
          <w:szCs w:val="20"/>
          <w:color w:val="auto"/>
        </w:rPr>
      </w:pPr>
      <w:r>
        <w:rPr>
          <w:rFonts w:ascii="Courier New" w:cs="Courier New" w:eastAsia="Courier New" w:hAnsi="Courier New"/>
          <w:sz w:val="18"/>
          <w:szCs w:val="18"/>
          <w:color w:val="auto"/>
        </w:rPr>
        <w:t>___________________________________________</w:t>
      </w:r>
    </w:p>
    <w:p>
      <w:pPr>
        <w:ind w:left="1580"/>
        <w:spacing w:after="0"/>
        <w:rPr>
          <w:sz w:val="20"/>
          <w:szCs w:val="20"/>
          <w:color w:val="auto"/>
        </w:rPr>
      </w:pPr>
      <w:r>
        <w:rPr>
          <w:rFonts w:ascii="Courier New" w:cs="Courier New" w:eastAsia="Courier New" w:hAnsi="Courier New"/>
          <w:sz w:val="18"/>
          <w:szCs w:val="18"/>
          <w:color w:val="auto"/>
        </w:rPr>
        <w:t>Date of Report (Date of earliest event reported)</w:t>
      </w:r>
    </w:p>
    <w:p>
      <w:pPr>
        <w:spacing w:after="0" w:line="200" w:lineRule="exact"/>
        <w:rPr>
          <w:sz w:val="24"/>
          <w:szCs w:val="24"/>
          <w:color w:val="auto"/>
        </w:rPr>
      </w:pPr>
    </w:p>
    <w:p>
      <w:pPr>
        <w:spacing w:after="0" w:line="203"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COMCAST CORPORATION</w:t>
      </w:r>
    </w:p>
    <w:p>
      <w:pPr>
        <w:ind w:left="1800"/>
        <w:spacing w:after="0" w:line="238" w:lineRule="auto"/>
        <w:rPr>
          <w:sz w:val="20"/>
          <w:szCs w:val="20"/>
          <w:color w:val="auto"/>
        </w:rPr>
      </w:pPr>
      <w:r>
        <w:rPr>
          <w:rFonts w:ascii="Courier New" w:cs="Courier New" w:eastAsia="Courier New" w:hAnsi="Courier New"/>
          <w:sz w:val="18"/>
          <w:szCs w:val="18"/>
          <w:color w:val="auto"/>
        </w:rPr>
        <w:t>___________________________________________</w:t>
      </w:r>
    </w:p>
    <w:p>
      <w:pPr>
        <w:spacing w:after="0" w:line="5"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2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PENNSYLVANIA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of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0-6983</w:t>
      </w:r>
    </w:p>
    <w:p>
      <w:pPr>
        <w:spacing w:after="0" w:line="238" w:lineRule="auto"/>
        <w:rPr>
          <w:sz w:val="20"/>
          <w:szCs w:val="20"/>
          <w:color w:val="auto"/>
        </w:rPr>
      </w:pPr>
      <w:r>
        <w:rPr>
          <w:rFonts w:ascii="Courier New" w:cs="Courier New" w:eastAsia="Courier New" w:hAnsi="Courier New"/>
          <w:sz w:val="18"/>
          <w:szCs w:val="18"/>
          <w:color w:val="auto"/>
        </w:rPr>
        <w:t>_______________________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23-1709202</w:t>
      </w:r>
    </w:p>
    <w:p>
      <w:pPr>
        <w:spacing w:after="0" w:line="238" w:lineRule="auto"/>
        <w:rPr>
          <w:sz w:val="20"/>
          <w:szCs w:val="20"/>
          <w:color w:val="auto"/>
        </w:rPr>
      </w:pPr>
      <w:r>
        <w:rPr>
          <w:rFonts w:ascii="Courier New" w:cs="Courier New" w:eastAsia="Courier New" w:hAnsi="Courier New"/>
          <w:sz w:val="18"/>
          <w:szCs w:val="18"/>
          <w:color w:val="auto"/>
        </w:rPr>
        <w:t>_____________________</w:t>
      </w:r>
    </w:p>
    <w:p>
      <w:pPr>
        <w:ind w:left="32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16" w:lineRule="exact"/>
        <w:rPr>
          <w:sz w:val="24"/>
          <w:szCs w:val="24"/>
          <w:color w:val="auto"/>
        </w:rPr>
      </w:pPr>
    </w:p>
    <w:p>
      <w:pPr>
        <w:sectPr>
          <w:pgSz w:w="11900" w:h="16838" w:orient="portrait"/>
          <w:cols w:equalWidth="0" w:num="3">
            <w:col w:w="2960" w:space="200"/>
            <w:col w:w="2540" w:space="200"/>
            <w:col w:w="4319"/>
          </w:cols>
          <w:pgMar w:left="240" w:top="447" w:right="1440" w:bottom="0" w:gutter="0" w:footer="0" w:header="0"/>
          <w:type w:val="continuous"/>
        </w:sect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1500 Market Street</w:t>
      </w:r>
    </w:p>
    <w:p>
      <w:pPr>
        <w:ind w:left="1480"/>
        <w:spacing w:after="0" w:line="238" w:lineRule="auto"/>
        <w:rPr>
          <w:sz w:val="20"/>
          <w:szCs w:val="20"/>
          <w:color w:val="auto"/>
        </w:rPr>
      </w:pPr>
      <w:r>
        <w:rPr>
          <w:rFonts w:ascii="Courier New" w:cs="Courier New" w:eastAsia="Courier New" w:hAnsi="Courier New"/>
          <w:sz w:val="18"/>
          <w:szCs w:val="18"/>
          <w:color w:val="auto"/>
        </w:rPr>
        <w:t>Philadelphia, PA</w:t>
      </w:r>
    </w:p>
    <w:p>
      <w:pPr>
        <w:ind w:left="420"/>
        <w:spacing w:after="0"/>
        <w:rPr>
          <w:sz w:val="20"/>
          <w:szCs w:val="20"/>
          <w:color w:val="auto"/>
        </w:rPr>
      </w:pPr>
      <w:r>
        <w:rPr>
          <w:rFonts w:ascii="Courier New" w:cs="Courier New" w:eastAsia="Courier New" w:hAnsi="Courier New"/>
          <w:sz w:val="18"/>
          <w:szCs w:val="18"/>
          <w:color w:val="auto"/>
        </w:rPr>
        <w:t>_______________________________________</w:t>
      </w:r>
    </w:p>
    <w:p>
      <w:pPr>
        <w:spacing w:after="0" w:line="3"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19102-2148</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4640" w:space="640"/>
            <w:col w:w="4939"/>
          </w:cols>
          <w:pgMar w:left="240" w:top="447" w:right="1440" w:bottom="0" w:gutter="0" w:footer="0" w:header="0"/>
          <w:type w:val="continuous"/>
        </w:sectPr>
      </w:pPr>
    </w:p>
    <w:p>
      <w:pPr>
        <w:spacing w:after="0" w:line="221" w:lineRule="exact"/>
        <w:rPr>
          <w:sz w:val="24"/>
          <w:szCs w:val="24"/>
          <w:color w:val="auto"/>
        </w:rPr>
      </w:pPr>
    </w:p>
    <w:p>
      <w:pPr>
        <w:ind w:left="4020" w:hanging="641"/>
        <w:spacing w:after="0"/>
        <w:tabs>
          <w:tab w:leader="none" w:pos="40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665-1700</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w:t>
      </w:r>
    </w:p>
    <w:p>
      <w:pPr>
        <w:ind w:left="1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spacing w:after="0" w:line="207" w:lineRule="exact"/>
        <w:rPr>
          <w:sz w:val="24"/>
          <w:szCs w:val="24"/>
          <w:color w:val="auto"/>
        </w:rPr>
      </w:pPr>
    </w:p>
    <w:p>
      <w:pPr>
        <w:ind w:right="1999" w:firstLine="1580"/>
        <w:spacing w:after="0" w:line="238" w:lineRule="auto"/>
        <w:rPr>
          <w:sz w:val="20"/>
          <w:szCs w:val="20"/>
          <w:color w:val="auto"/>
        </w:rPr>
      </w:pPr>
      <w:r>
        <w:rPr>
          <w:rFonts w:ascii="Courier New" w:cs="Courier New" w:eastAsia="Courier New" w:hAnsi="Courier New"/>
          <w:sz w:val="18"/>
          <w:szCs w:val="18"/>
          <w:color w:val="auto"/>
        </w:rPr>
        <w:t>In March 1996, Comcast Corporation (the "Company") entered into definitive agreements through which it will ultimately acquire (the "Acquisition") a 66% interest in Philadelphia Flyers Limited Partnership, a Pennsylvania limited partnership ("PFLP"), the assets of which, upon consummation of the Acquisition will consist of (i) the National Basketball Association ("NBA") franchise to own and operate the Philadelphia 76ers basketball team, and related assets (the "Sixers"), (ii) the National Hockey League ("NHL") franchise to own and operate the Philadelphia Flyers hockey team, and related assets, which PFLP currently owns (the "Flyers") and (iii) leasehold interests in and development rights related to the land underlying the CoreStates Spectrum and the CoreStates Center, which are two adjacent arenas located in Philadelphia, Pennsylvania, and other adjacent parcels of land (collectively, the "Arenas"). The remaining 34% of PFLP will be owned by a group (the "Minority Group") represented by Mr. Edward M. Snider ("Snider"), the current majority owner of PFLP and the Arenas. A company owned by Snider will manage PFLP after the consummation of the Acquisition.</w:t>
      </w:r>
    </w:p>
    <w:p>
      <w:pPr>
        <w:spacing w:after="0" w:line="208" w:lineRule="exact"/>
        <w:rPr>
          <w:sz w:val="24"/>
          <w:szCs w:val="24"/>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On April 24, 1996, the Company completed the first step of the Acquisition by purchasing the Sixers from Mr. Harold Katz for $125 million in cash plus assumed net liabilities of approximately $11 million through a partnership controlled by the Company. Mr. Pat Croce owns an indirect minority interest in the partnership that purchased the Sixers.</w:t>
      </w:r>
    </w:p>
    <w:p>
      <w:pPr>
        <w:spacing w:after="0" w:line="209" w:lineRule="exact"/>
        <w:rPr>
          <w:sz w:val="24"/>
          <w:szCs w:val="24"/>
          <w:color w:val="auto"/>
        </w:rPr>
      </w:pPr>
    </w:p>
    <w:p>
      <w:pPr>
        <w:ind w:right="1999" w:firstLine="1580"/>
        <w:spacing w:after="0" w:line="271" w:lineRule="auto"/>
        <w:rPr>
          <w:sz w:val="20"/>
          <w:szCs w:val="20"/>
          <w:color w:val="auto"/>
        </w:rPr>
      </w:pPr>
      <w:r>
        <w:rPr>
          <w:rFonts w:ascii="Courier New" w:cs="Courier New" w:eastAsia="Courier New" w:hAnsi="Courier New"/>
          <w:sz w:val="16"/>
          <w:szCs w:val="16"/>
          <w:color w:val="auto"/>
        </w:rPr>
        <w:t>To complete the Acquisition, the Company will contribute its interest in the Sixers and exchange $15 million in cash plus approximately 5.2 million shares of the Company's Class A Special Common Stock (the "Common Stock"), or, at the option of certain members of the Minority Group, 5% convertible preferred stock of the Company (the "Preferred Stock") convertible into approximately 4.2 million shares of Common Stock, or an equivalent combination of Common Stock and Preferred Stock, for a 66% interest in PFLP. At the same time, Snider will cause all of the Minority Group's interests in the Arenas to be contributed to PFLP for a 34% interest in PFLP. In</w:t>
      </w:r>
    </w:p>
    <w:p>
      <w:pPr>
        <w:sectPr>
          <w:pgSz w:w="11900" w:h="16838" w:orient="portrait"/>
          <w:cols w:equalWidth="0" w:num="1">
            <w:col w:w="10219"/>
          </w:cols>
          <w:pgMar w:left="240" w:top="447" w:right="1440" w:bottom="0" w:gutter="0" w:footer="0" w:header="0"/>
          <w:type w:val="continuous"/>
        </w:sectPr>
      </w:pPr>
    </w:p>
    <w:bookmarkStart w:id="1" w:name="page2"/>
    <w:bookmarkEnd w:id="1"/>
    <w:p>
      <w:pPr>
        <w:ind w:right="2099"/>
        <w:spacing w:after="0" w:line="273" w:lineRule="auto"/>
        <w:rPr>
          <w:sz w:val="20"/>
          <w:szCs w:val="20"/>
          <w:color w:val="auto"/>
        </w:rPr>
      </w:pPr>
      <w:r>
        <w:rPr>
          <w:rFonts w:ascii="Courier New" w:cs="Courier New" w:eastAsia="Courier New" w:hAnsi="Courier New"/>
          <w:sz w:val="16"/>
          <w:szCs w:val="16"/>
          <w:color w:val="auto"/>
        </w:rPr>
        <w:t>connection with the Acquisition, PFLP will assume the outstanding liabilities relating to the Sixers and the Arenas, including a mortgage obligation of approximately $155 million. The closing of the Acquisition is expected to occur during the second or third quarter of 1996, and is subject to certain approvals, including approvals of the NBA and NHL, and other conditions.</w:t>
      </w:r>
    </w:p>
    <w:p>
      <w:pPr>
        <w:spacing w:after="0" w:line="185" w:lineRule="exact"/>
        <w:rPr>
          <w:sz w:val="20"/>
          <w:szCs w:val="20"/>
          <w:color w:val="auto"/>
        </w:rPr>
      </w:pPr>
    </w:p>
    <w:p>
      <w:pPr>
        <w:ind w:right="2099" w:firstLine="1580"/>
        <w:spacing w:after="0" w:line="237" w:lineRule="auto"/>
        <w:rPr>
          <w:sz w:val="20"/>
          <w:szCs w:val="20"/>
          <w:color w:val="auto"/>
        </w:rPr>
      </w:pPr>
      <w:r>
        <w:rPr>
          <w:rFonts w:ascii="Courier New" w:cs="Courier New" w:eastAsia="Courier New" w:hAnsi="Courier New"/>
          <w:sz w:val="18"/>
          <w:szCs w:val="18"/>
          <w:color w:val="auto"/>
        </w:rPr>
        <w:t>The Company used existing cash to purchase its interest in the Sixers and plans to use existing cash to fund the cash portion of its investment in PFLP. The Company anticipates that it will account for its interest in PFLP under the equity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1580"/>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COMCAST CORPORATION</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9, 1996</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LAWRENCE S. SMITH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Lawrence S. Smith</w:t>
      </w:r>
    </w:p>
    <w:p>
      <w:pPr>
        <w:ind w:left="200"/>
        <w:spacing w:after="0" w:line="238" w:lineRule="auto"/>
        <w:rPr>
          <w:sz w:val="20"/>
          <w:szCs w:val="20"/>
          <w:color w:val="auto"/>
        </w:rPr>
      </w:pPr>
      <w:r>
        <w:rPr>
          <w:rFonts w:ascii="Courier New" w:cs="Courier New" w:eastAsia="Courier New" w:hAnsi="Courier New"/>
          <w:sz w:val="18"/>
          <w:szCs w:val="18"/>
          <w:color w:val="auto"/>
        </w:rPr>
        <w:t>Executive Vice President</w:t>
      </w:r>
    </w:p>
    <w:p>
      <w:pPr>
        <w:ind w:left="200"/>
        <w:spacing w:after="0"/>
        <w:rPr>
          <w:sz w:val="20"/>
          <w:szCs w:val="20"/>
          <w:color w:val="auto"/>
        </w:rPr>
      </w:pPr>
      <w:r>
        <w:rPr>
          <w:rFonts w:ascii="Courier New" w:cs="Courier New" w:eastAsia="Courier New" w:hAnsi="Courier New"/>
          <w:sz w:val="18"/>
          <w:szCs w:val="18"/>
          <w:color w:val="auto"/>
        </w:rPr>
        <w:t>(Chief Accounting Officer)</w:t>
      </w:r>
    </w:p>
    <w:sectPr>
      <w:pgSz w:w="11900" w:h="16838" w:orient="portrait"/>
      <w:cols w:equalWidth="0" w:num="4">
        <w:col w:w="540" w:space="200"/>
        <w:col w:w="2660" w:space="720"/>
        <w:col w:w="200" w:space="220"/>
        <w:col w:w="567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15"/>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2019-12-12T23:09:38Z</dcterms:created>
  <dcterms:modified xsi:type="dcterms:W3CDTF">2019-12-12T23:09:38Z</dcterms:modified>
</cp:coreProperties>
</file>