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8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gridSpan w:val="2"/>
            <w:vMerge w:val="restart"/>
          </w:tcPr>
          <w:p>
            <w:pPr>
              <w:jc w:val="center"/>
              <w:ind w:left="27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gridSpan w:val="5"/>
            <w:vMerge w:val="restart"/>
          </w:tcPr>
          <w:p>
            <w:pPr>
              <w:jc w:val="center"/>
              <w:ind w:right="392"/>
              <w:spacing w:after="0"/>
              <w:rPr>
                <w:sz w:val="20"/>
                <w:szCs w:val="20"/>
                <w:color w:val="auto"/>
              </w:rPr>
            </w:pPr>
            <w:r>
              <w:rPr>
                <w:rFonts w:ascii="Arial" w:cs="Arial" w:eastAsia="Arial" w:hAnsi="Arial"/>
                <w:sz w:val="22"/>
                <w:szCs w:val="22"/>
                <w:color w:val="auto"/>
                <w:w w:val="91"/>
              </w:rPr>
              <w:t>Notice of Exempt Offering of Securities</w:t>
            </w: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040" w:type="dxa"/>
            <w:vAlign w:val="bottom"/>
            <w:gridSpan w:val="5"/>
            <w:vMerge w:val="continue"/>
          </w:tcPr>
          <w:p>
            <w:pPr>
              <w:spacing w:after="0"/>
              <w:rPr>
                <w:sz w:val="7"/>
                <w:szCs w:val="7"/>
                <w:color w:val="auto"/>
              </w:rPr>
            </w:pPr>
          </w:p>
        </w:tc>
        <w:tc>
          <w:tcPr>
            <w:tcW w:w="1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4"/>
            <w:vMerge w:val="restart"/>
          </w:tcPr>
          <w:p>
            <w:pPr>
              <w:ind w:left="154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4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0001166691</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AT&amp;T COMCAST CORP</w:t>
            </w:r>
          </w:p>
        </w:tc>
        <w:tc>
          <w:tcPr>
            <w:tcW w:w="880" w:type="dxa"/>
            <w:vAlign w:val="bottom"/>
          </w:tcPr>
          <w:p>
            <w:pPr>
              <w:spacing w:after="0"/>
              <w:rPr>
                <w:sz w:val="21"/>
                <w:szCs w:val="21"/>
                <w:color w:val="auto"/>
              </w:rPr>
            </w:pPr>
          </w:p>
        </w:tc>
        <w:tc>
          <w:tcPr>
            <w:tcW w:w="1880" w:type="dxa"/>
            <w:vAlign w:val="bottom"/>
            <w:gridSpan w:val="3"/>
            <w:vMerge w:val="restart"/>
          </w:tcPr>
          <w:p>
            <w:pPr>
              <w:ind w:left="26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160" w:type="dxa"/>
            <w:vAlign w:val="bottom"/>
            <w:gridSpan w:val="4"/>
            <w:vMerge w:val="continue"/>
          </w:tcPr>
          <w:p>
            <w:pPr>
              <w:spacing w:after="0"/>
              <w:rPr>
                <w:sz w:val="6"/>
                <w:szCs w:val="6"/>
                <w:color w:val="auto"/>
              </w:rPr>
            </w:pPr>
          </w:p>
        </w:tc>
        <w:tc>
          <w:tcPr>
            <w:tcW w:w="88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4"/>
          </w:tcPr>
          <w:p>
            <w:pPr>
              <w:ind w:left="54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COMCAST CORP</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40" w:type="dxa"/>
            <w:vAlign w:val="bottom"/>
            <w:gridSpan w:val="4"/>
          </w:tcPr>
          <w:p>
            <w:pPr>
              <w:ind w:left="54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40" w:type="dxa"/>
            <w:vAlign w:val="bottom"/>
            <w:gridSpan w:val="4"/>
          </w:tcPr>
          <w:p>
            <w:pPr>
              <w:ind w:left="54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vMerge w:val="restart"/>
          </w:tcPr>
          <w:p>
            <w:pPr>
              <w:ind w:left="54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340" w:type="dxa"/>
            <w:vAlign w:val="bottom"/>
            <w:gridSpan w:val="3"/>
            <w:vMerge w:val="restart"/>
          </w:tcPr>
          <w:p>
            <w:pPr>
              <w:spacing w:after="0"/>
              <w:rPr>
                <w:sz w:val="20"/>
                <w:szCs w:val="20"/>
                <w:color w:val="auto"/>
              </w:rPr>
            </w:pPr>
            <w:r>
              <w:rPr>
                <w:rFonts w:ascii="Arial" w:cs="Arial" w:eastAsia="Arial" w:hAnsi="Arial"/>
                <w:sz w:val="22"/>
                <w:szCs w:val="22"/>
                <w:color w:val="auto"/>
              </w:rPr>
              <w:t>PENNSYLVANIA</w:t>
            </w:r>
          </w:p>
        </w:tc>
        <w:tc>
          <w:tcPr>
            <w:tcW w:w="8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340" w:type="dxa"/>
            <w:vAlign w:val="bottom"/>
            <w:gridSpan w:val="3"/>
            <w:vMerge w:val="continue"/>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40" w:type="dxa"/>
            <w:vAlign w:val="bottom"/>
            <w:gridSpan w:val="4"/>
            <w:vMerge w:val="restart"/>
          </w:tcPr>
          <w:p>
            <w:pPr>
              <w:ind w:left="54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0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4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0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COMCAST CORP</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One Comcast Center</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74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040" w:type="dxa"/>
            <w:vAlign w:val="bottom"/>
            <w:gridSpan w:val="4"/>
          </w:tcPr>
          <w:p>
            <w:pPr>
              <w:ind w:left="44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2740" w:type="dxa"/>
            <w:vAlign w:val="bottom"/>
            <w:gridSpan w:val="2"/>
          </w:tcPr>
          <w:p>
            <w:pPr>
              <w:ind w:left="1120"/>
              <w:spacing w:after="0"/>
              <w:rPr>
                <w:sz w:val="20"/>
                <w:szCs w:val="20"/>
                <w:color w:val="auto"/>
              </w:rPr>
            </w:pPr>
            <w:r>
              <w:rPr>
                <w:rFonts w:ascii="Arial" w:cs="Arial" w:eastAsia="Arial" w:hAnsi="Arial"/>
                <w:sz w:val="22"/>
                <w:szCs w:val="22"/>
                <w:color w:val="auto"/>
                <w:w w:val="94"/>
              </w:rPr>
              <w:t>PENNSYLVANIA</w:t>
            </w:r>
          </w:p>
        </w:tc>
        <w:tc>
          <w:tcPr>
            <w:tcW w:w="9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19103-2838</w:t>
            </w:r>
          </w:p>
        </w:tc>
        <w:tc>
          <w:tcPr>
            <w:tcW w:w="880" w:type="dxa"/>
            <w:vAlign w:val="bottom"/>
          </w:tcPr>
          <w:p>
            <w:pPr>
              <w:spacing w:after="0"/>
              <w:rPr>
                <w:sz w:val="24"/>
                <w:szCs w:val="24"/>
                <w:color w:val="auto"/>
              </w:rPr>
            </w:pPr>
          </w:p>
        </w:tc>
        <w:tc>
          <w:tcPr>
            <w:tcW w:w="1780" w:type="dxa"/>
            <w:vAlign w:val="bottom"/>
          </w:tcPr>
          <w:p>
            <w:pPr>
              <w:ind w:left="320"/>
              <w:spacing w:after="0"/>
              <w:rPr>
                <w:sz w:val="20"/>
                <w:szCs w:val="20"/>
                <w:color w:val="auto"/>
              </w:rPr>
            </w:pPr>
            <w:r>
              <w:rPr>
                <w:rFonts w:ascii="Arial" w:cs="Arial" w:eastAsia="Arial" w:hAnsi="Arial"/>
                <w:sz w:val="22"/>
                <w:szCs w:val="22"/>
                <w:color w:val="auto"/>
              </w:rPr>
              <w:t>215-286-1700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Roberts</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Brian</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22"/>
                <w:szCs w:val="22"/>
                <w:color w:val="auto"/>
              </w:rPr>
              <w:t>L.</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Comcast Corporation</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One Comcast Center</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w w:val="99"/>
              </w:rPr>
              <w:t>PENNSYLVANIA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ind w:left="320"/>
              <w:spacing w:after="0"/>
              <w:rPr>
                <w:sz w:val="20"/>
                <w:szCs w:val="20"/>
                <w:color w:val="auto"/>
              </w:rPr>
            </w:pPr>
            <w:r>
              <w:rPr>
                <w:rFonts w:ascii="Arial" w:cs="Arial" w:eastAsia="Arial" w:hAnsi="Arial"/>
                <w:sz w:val="22"/>
                <w:szCs w:val="22"/>
                <w:color w:val="auto"/>
              </w:rPr>
              <w:t>19103-2838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0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20" w:type="dxa"/>
            <w:vAlign w:val="bottom"/>
          </w:tcPr>
          <w:p>
            <w:pPr>
              <w:ind w:left="8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4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88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14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Roberts</w:t>
            </w:r>
          </w:p>
        </w:tc>
        <w:tc>
          <w:tcPr>
            <w:tcW w:w="188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Arial" w:cs="Arial" w:eastAsia="Arial" w:hAnsi="Arial"/>
                <w:sz w:val="22"/>
                <w:szCs w:val="22"/>
                <w:color w:val="auto"/>
              </w:rPr>
              <w:t>Ralph</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22"/>
                <w:szCs w:val="22"/>
                <w:color w:val="auto"/>
              </w:rPr>
              <w:t>J.</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2300" w:type="dxa"/>
            <w:vAlign w:val="bottom"/>
            <w:gridSpan w:val="3"/>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Comcast Corporation</w:t>
            </w: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One Comcast Center</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880" w:type="dxa"/>
            <w:vAlign w:val="bottom"/>
          </w:tcPr>
          <w:p>
            <w:pPr>
              <w:spacing w:after="0"/>
              <w:rPr>
                <w:sz w:val="24"/>
                <w:szCs w:val="24"/>
                <w:color w:val="auto"/>
              </w:rPr>
            </w:pPr>
          </w:p>
        </w:tc>
        <w:tc>
          <w:tcPr>
            <w:tcW w:w="188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w w:val="99"/>
              </w:rPr>
              <w:t>PENNSYLVANIA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gridSpan w:val="2"/>
          </w:tcPr>
          <w:p>
            <w:pPr>
              <w:ind w:left="320"/>
              <w:spacing w:after="0"/>
              <w:rPr>
                <w:sz w:val="20"/>
                <w:szCs w:val="20"/>
                <w:color w:val="auto"/>
              </w:rPr>
            </w:pPr>
            <w:r>
              <w:rPr>
                <w:rFonts w:ascii="Arial" w:cs="Arial" w:eastAsia="Arial" w:hAnsi="Arial"/>
                <w:sz w:val="22"/>
                <w:szCs w:val="22"/>
                <w:color w:val="auto"/>
              </w:rPr>
              <w:t>19103-2838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40" w:type="dxa"/>
            <w:vAlign w:val="bottom"/>
            <w:gridSpan w:val="2"/>
          </w:tcPr>
          <w:p>
            <w:pPr>
              <w:spacing w:after="0"/>
              <w:rPr>
                <w:sz w:val="20"/>
                <w:szCs w:val="20"/>
                <w:color w:val="auto"/>
              </w:rPr>
            </w:pPr>
            <w:r>
              <w:rPr>
                <w:rFonts w:ascii="Arial" w:cs="Arial" w:eastAsia="Arial" w:hAnsi="Arial"/>
                <w:sz w:val="22"/>
                <w:szCs w:val="22"/>
                <w:color w:val="auto"/>
              </w:rPr>
              <w:t>Executive Officer X Director</w:t>
            </w:r>
          </w:p>
        </w:tc>
        <w:tc>
          <w:tcPr>
            <w:tcW w:w="920" w:type="dxa"/>
            <w:vAlign w:val="bottom"/>
          </w:tcPr>
          <w:p>
            <w:pPr>
              <w:ind w:left="2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Anstrom</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Decker</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Bacon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Kenneth</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Bonovitz</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Sheldon</w:t>
            </w: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Breen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Edward</w:t>
            </w: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Collins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78"/>
              </w:rPr>
              <w:t>Joseph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Cook</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Michael</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Hassell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4"/>
              </w:rPr>
              <w:t>Gerald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Honickman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Jeffrey</w:t>
            </w: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Rodin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5"/>
              </w:rPr>
              <w:t>Judith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Mestre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Eduardo</w:t>
            </w: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Angelakis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Burke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Stephen</w:t>
            </w: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Cohen</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Block</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Salva</w:t>
            </w:r>
          </w:p>
        </w:tc>
        <w:tc>
          <w:tcPr>
            <w:tcW w:w="840" w:type="dxa"/>
            <w:vAlign w:val="bottom"/>
          </w:tcPr>
          <w:p>
            <w:pPr>
              <w:ind w:left="260"/>
              <w:spacing w:after="0"/>
              <w:rPr>
                <w:sz w:val="20"/>
                <w:szCs w:val="20"/>
                <w:color w:val="auto"/>
              </w:rPr>
            </w:pPr>
            <w:r>
              <w:rPr>
                <w:rFonts w:ascii="Arial" w:cs="Arial" w:eastAsia="Arial" w:hAnsi="Arial"/>
                <w:sz w:val="22"/>
                <w:szCs w:val="22"/>
                <w:color w:val="auto"/>
              </w:rPr>
              <w:t>Larry</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Smith</w:t>
            </w:r>
          </w:p>
        </w:tc>
        <w:tc>
          <w:tcPr>
            <w:tcW w:w="840" w:type="dxa"/>
            <w:vAlign w:val="bottom"/>
          </w:tcPr>
          <w:p>
            <w:pPr>
              <w:ind w:left="260"/>
              <w:spacing w:after="0"/>
              <w:rPr>
                <w:sz w:val="20"/>
                <w:szCs w:val="20"/>
                <w:color w:val="auto"/>
              </w:rPr>
            </w:pPr>
            <w:r>
              <w:rPr>
                <w:rFonts w:ascii="Arial" w:cs="Arial" w:eastAsia="Arial" w:hAnsi="Arial"/>
                <w:sz w:val="22"/>
                <w:szCs w:val="22"/>
                <w:color w:val="auto"/>
              </w:rPr>
              <w:t>Neil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19103-2838</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-7042150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00" w:type="dxa"/>
            <w:vAlign w:val="bottom"/>
          </w:tcPr>
          <w:p>
            <w:pPr>
              <w:spacing w:after="0"/>
              <w:rPr>
                <w:sz w:val="20"/>
                <w:szCs w:val="20"/>
                <w:color w:val="auto"/>
              </w:rPr>
            </w:pPr>
            <w:r>
              <w:rPr>
                <w:rFonts w:ascii="Arial" w:cs="Arial" w:eastAsia="Arial" w:hAnsi="Arial"/>
                <w:sz w:val="22"/>
                <w:szCs w:val="22"/>
                <w:color w:val="auto"/>
              </w:rPr>
              <w:t>4. Industry Group</w:t>
            </w:r>
          </w:p>
        </w:tc>
        <w:tc>
          <w:tcPr>
            <w:tcW w:w="29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3"/>
        </w:trPr>
        <w:tc>
          <w:tcPr>
            <w:tcW w:w="3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2980" w:type="dxa"/>
            <w:vAlign w:val="bottom"/>
          </w:tcPr>
          <w:p>
            <w:pPr>
              <w:ind w:left="540"/>
              <w:spacing w:after="0"/>
              <w:rPr>
                <w:sz w:val="20"/>
                <w:szCs w:val="20"/>
                <w:color w:val="auto"/>
              </w:rPr>
            </w:pPr>
            <w:r>
              <w:rPr>
                <w:rFonts w:ascii="Arial" w:cs="Arial" w:eastAsia="Arial" w:hAnsi="Arial"/>
                <w:sz w:val="22"/>
                <w:szCs w:val="22"/>
                <w:color w:val="auto"/>
              </w:rPr>
              <w:t>Health Care</w:t>
            </w:r>
          </w:p>
        </w:tc>
        <w:tc>
          <w:tcPr>
            <w:tcW w:w="220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40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2980" w:type="dxa"/>
            <w:vAlign w:val="bottom"/>
          </w:tcPr>
          <w:p>
            <w:pPr>
              <w:ind w:left="740"/>
              <w:spacing w:after="0"/>
              <w:rPr>
                <w:sz w:val="20"/>
                <w:szCs w:val="20"/>
                <w:color w:val="auto"/>
              </w:rPr>
            </w:pPr>
            <w:r>
              <w:rPr>
                <w:rFonts w:ascii="Arial" w:cs="Arial" w:eastAsia="Arial" w:hAnsi="Arial"/>
                <w:sz w:val="22"/>
                <w:szCs w:val="22"/>
                <w:color w:val="auto"/>
              </w:rPr>
              <w:t>Biotechnology</w:t>
            </w:r>
          </w:p>
        </w:tc>
        <w:tc>
          <w:tcPr>
            <w:tcW w:w="220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40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298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2980" w:type="dxa"/>
            <w:vAlign w:val="bottom"/>
            <w:vMerge w:val="restart"/>
          </w:tcPr>
          <w:p>
            <w:pPr>
              <w:ind w:left="740"/>
              <w:spacing w:after="0"/>
              <w:rPr>
                <w:sz w:val="20"/>
                <w:szCs w:val="20"/>
                <w:color w:val="auto"/>
              </w:rPr>
            </w:pPr>
            <w:r>
              <w:rPr>
                <w:rFonts w:ascii="Arial" w:cs="Arial" w:eastAsia="Arial" w:hAnsi="Arial"/>
                <w:sz w:val="22"/>
                <w:szCs w:val="22"/>
                <w:color w:val="auto"/>
              </w:rPr>
              <w:t>Health Insurance</w:t>
            </w:r>
          </w:p>
        </w:tc>
        <w:tc>
          <w:tcPr>
            <w:tcW w:w="2200" w:type="dxa"/>
            <w:vAlign w:val="bottom"/>
            <w:vMerge w:val="restart"/>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40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298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400" w:type="dxa"/>
            <w:vAlign w:val="bottom"/>
            <w:vMerge w:val="continue"/>
          </w:tcPr>
          <w:p>
            <w:pPr>
              <w:spacing w:after="0"/>
              <w:rPr>
                <w:sz w:val="15"/>
                <w:szCs w:val="15"/>
                <w:color w:val="auto"/>
              </w:rPr>
            </w:pPr>
          </w:p>
        </w:tc>
        <w:tc>
          <w:tcPr>
            <w:tcW w:w="2980" w:type="dxa"/>
            <w:vAlign w:val="bottom"/>
            <w:vMerge w:val="restart"/>
          </w:tcPr>
          <w:p>
            <w:pPr>
              <w:ind w:left="740"/>
              <w:spacing w:after="0"/>
              <w:rPr>
                <w:sz w:val="20"/>
                <w:szCs w:val="20"/>
                <w:color w:val="auto"/>
              </w:rPr>
            </w:pPr>
            <w:r>
              <w:rPr>
                <w:rFonts w:ascii="Arial" w:cs="Arial" w:eastAsia="Arial" w:hAnsi="Arial"/>
                <w:sz w:val="22"/>
                <w:szCs w:val="22"/>
                <w:color w:val="auto"/>
                <w:w w:val="99"/>
              </w:rPr>
              <w:t>Hospitals &amp; Physicians</w:t>
            </w:r>
          </w:p>
        </w:tc>
        <w:tc>
          <w:tcPr>
            <w:tcW w:w="2200" w:type="dxa"/>
            <w:vAlign w:val="bottom"/>
            <w:vMerge w:val="restart"/>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4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2980" w:type="dxa"/>
            <w:vAlign w:val="bottom"/>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2980" w:type="dxa"/>
            <w:vAlign w:val="bottom"/>
            <w:vMerge w:val="restart"/>
          </w:tcPr>
          <w:p>
            <w:pPr>
              <w:ind w:left="740"/>
              <w:spacing w:after="0"/>
              <w:rPr>
                <w:sz w:val="20"/>
                <w:szCs w:val="20"/>
                <w:color w:val="auto"/>
              </w:rPr>
            </w:pPr>
            <w:r>
              <w:rPr>
                <w:rFonts w:ascii="Arial" w:cs="Arial" w:eastAsia="Arial" w:hAnsi="Arial"/>
                <w:sz w:val="22"/>
                <w:szCs w:val="22"/>
                <w:color w:val="auto"/>
              </w:rPr>
              <w:t>Pharmaceuticals</w:t>
            </w:r>
          </w:p>
        </w:tc>
        <w:tc>
          <w:tcPr>
            <w:tcW w:w="2200" w:type="dxa"/>
            <w:vAlign w:val="bottom"/>
            <w:vMerge w:val="restart"/>
          </w:tcPr>
          <w:p>
            <w:pPr>
              <w:ind w:left="400"/>
              <w:spacing w:after="0"/>
              <w:rPr>
                <w:sz w:val="20"/>
                <w:szCs w:val="20"/>
                <w:color w:val="auto"/>
              </w:rPr>
            </w:pPr>
            <w:r>
              <w:rPr>
                <w:rFonts w:ascii="Arial" w:cs="Arial" w:eastAsia="Arial" w:hAnsi="Arial"/>
                <w:sz w:val="22"/>
                <w:szCs w:val="22"/>
                <w:color w:val="auto"/>
                <w:w w:val="88"/>
              </w:rPr>
              <w:t>Telecommunications</w:t>
            </w:r>
          </w:p>
        </w:tc>
        <w:tc>
          <w:tcPr>
            <w:tcW w:w="0" w:type="dxa"/>
            <w:vAlign w:val="bottom"/>
          </w:tcPr>
          <w:p>
            <w:pPr>
              <w:spacing w:after="0"/>
              <w:rPr>
                <w:sz w:val="1"/>
                <w:szCs w:val="1"/>
                <w:color w:val="auto"/>
              </w:rPr>
            </w:pPr>
          </w:p>
        </w:tc>
      </w:tr>
      <w:tr>
        <w:trPr>
          <w:trHeight w:val="297"/>
        </w:trPr>
        <w:tc>
          <w:tcPr>
            <w:tcW w:w="340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298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53" w:orient="portrait"/>
          <w:cols w:equalWidth="0" w:num="1">
            <w:col w:w="11420"/>
          </w:cols>
          <w:pgMar w:left="240" w:top="112" w:right="239" w:bottom="0" w:gutter="0" w:footer="0" w:header="0"/>
        </w:sectPr>
      </w:pPr>
    </w:p>
    <w:bookmarkStart w:id="4" w:name="page5"/>
    <w:bookmarkEnd w:id="4"/>
    <w:p>
      <w:pPr>
        <w:ind w:left="460"/>
        <w:spacing w:after="0"/>
        <w:rPr>
          <w:sz w:val="20"/>
          <w:szCs w:val="20"/>
          <w:color w:val="auto"/>
        </w:rPr>
      </w:pPr>
      <w:r>
        <w:rPr>
          <w:rFonts w:ascii="Arial" w:cs="Arial" w:eastAsia="Arial" w:hAnsi="Arial"/>
          <w:sz w:val="22"/>
          <w:szCs w:val="22"/>
          <w:color w:val="auto"/>
        </w:rPr>
        <w:t>Pooled Investment Fund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60" w:type="dxa"/>
            <w:vAlign w:val="bottom"/>
          </w:tcPr>
          <w:p>
            <w:pPr>
              <w:ind w:left="46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Manufacturing</w:t>
            </w:r>
          </w:p>
        </w:tc>
        <w:tc>
          <w:tcPr>
            <w:tcW w:w="2960" w:type="dxa"/>
            <w:vAlign w:val="bottom"/>
          </w:tcPr>
          <w:p>
            <w:pPr>
              <w:ind w:left="4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Real Estate</w:t>
            </w:r>
          </w:p>
        </w:tc>
        <w:tc>
          <w:tcPr>
            <w:tcW w:w="2960" w:type="dxa"/>
            <w:vAlign w:val="bottom"/>
          </w:tcPr>
          <w:p>
            <w:pPr>
              <w:ind w:left="6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60" w:type="dxa"/>
            <w:vAlign w:val="bottom"/>
            <w:vMerge w:val="restart"/>
          </w:tcPr>
          <w:p>
            <w:pPr>
              <w:ind w:left="6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60" w:type="dxa"/>
            <w:vAlign w:val="bottom"/>
            <w:vMerge w:val="restart"/>
          </w:tcPr>
          <w:p>
            <w:pPr>
              <w:ind w:left="6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60" w:type="dxa"/>
            <w:vAlign w:val="bottom"/>
            <w:vMerge w:val="restart"/>
          </w:tcPr>
          <w:p>
            <w:pPr>
              <w:ind w:left="6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60" w:type="dxa"/>
            <w:vAlign w:val="bottom"/>
            <w:vMerge w:val="restart"/>
          </w:tcPr>
          <w:p>
            <w:pPr>
              <w:ind w:left="4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2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pacing w:after="0" w:line="44" w:lineRule="exact"/>
        <w:rPr>
          <w:sz w:val="20"/>
          <w:szCs w:val="20"/>
          <w:color w:val="auto"/>
        </w:rPr>
      </w:pPr>
    </w:p>
    <w:p>
      <w:pPr>
        <w:ind w:left="260"/>
        <w:spacing w:after="0"/>
        <w:tabs>
          <w:tab w:leader="none" w:pos="4320" w:val="left"/>
        </w:tabs>
        <w:rPr>
          <w:sz w:val="20"/>
          <w:szCs w:val="20"/>
          <w:color w:val="auto"/>
        </w:rPr>
      </w:pPr>
      <w:r>
        <w:rPr>
          <w:rFonts w:ascii="Arial" w:cs="Arial" w:eastAsia="Arial" w:hAnsi="Arial"/>
          <w:sz w:val="22"/>
          <w:szCs w:val="22"/>
          <w:color w:val="auto"/>
        </w:rPr>
        <w:t>Rule 504 (b)(1)(i)</w:t>
      </w:r>
      <w:r>
        <w:rPr>
          <w:sz w:val="20"/>
          <w:szCs w:val="20"/>
          <w:color w:val="auto"/>
        </w:rPr>
        <w:tab/>
      </w:r>
      <w:r>
        <w:rPr>
          <w:rFonts w:ascii="Arial" w:cs="Arial" w:eastAsia="Arial" w:hAnsi="Arial"/>
          <w:sz w:val="21"/>
          <w:szCs w:val="21"/>
          <w:color w:val="auto"/>
        </w:rPr>
        <w:t>X Rule 506</w:t>
      </w:r>
    </w:p>
    <w:p>
      <w:pPr>
        <w:spacing w:after="0" w:line="44"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 (b)(1)(ii)</w:t>
      </w:r>
      <w:r>
        <w:rPr>
          <w:sz w:val="20"/>
          <w:szCs w:val="20"/>
          <w:color w:val="auto"/>
        </w:rPr>
        <w:tab/>
      </w:r>
      <w:r>
        <w:rPr>
          <w:rFonts w:ascii="Arial" w:cs="Arial" w:eastAsia="Arial" w:hAnsi="Arial"/>
          <w:sz w:val="19"/>
          <w:szCs w:val="19"/>
          <w:color w:val="auto"/>
        </w:rPr>
        <w:t>Securities Act Section 4(5)</w:t>
      </w:r>
    </w:p>
    <w:p>
      <w:pPr>
        <w:spacing w:after="0" w:line="44"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 (b)(1)(iii)</w:t>
      </w:r>
      <w:r>
        <w:rPr>
          <w:sz w:val="20"/>
          <w:szCs w:val="20"/>
          <w:color w:val="auto"/>
        </w:rPr>
        <w:tab/>
      </w:r>
      <w:r>
        <w:rPr>
          <w:rFonts w:ascii="Arial" w:cs="Arial" w:eastAsia="Arial" w:hAnsi="Arial"/>
          <w:sz w:val="19"/>
          <w:szCs w:val="19"/>
          <w:color w:val="auto"/>
        </w:rPr>
        <w:t>Investment Company Act Section 3(c)</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jc w:val="right"/>
        <w:ind w:right="1919"/>
        <w:spacing w:after="0"/>
        <w:tabs>
          <w:tab w:leader="none" w:pos="138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4640"/>
        <w:spacing w:after="0"/>
        <w:tabs>
          <w:tab w:leader="none" w:pos="68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2000-09-07</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type w:val="continuous"/>
        </w:sectPr>
      </w:pPr>
    </w:p>
    <w:bookmarkStart w:id="5" w:name="page6"/>
    <w:bookmarkEnd w:id="5"/>
    <w:p>
      <w:pPr>
        <w:ind w:left="260"/>
        <w:spacing w:after="0"/>
        <w:tabs>
          <w:tab w:leader="none" w:pos="5900" w:val="left"/>
        </w:tabs>
        <w:rPr>
          <w:sz w:val="20"/>
          <w:szCs w:val="20"/>
          <w:color w:val="auto"/>
        </w:rPr>
      </w:pPr>
      <w:r>
        <w:rPr>
          <w:rFonts w:ascii="Arial" w:cs="Arial" w:eastAsia="Arial" w:hAnsi="Arial"/>
          <w:sz w:val="22"/>
          <w:szCs w:val="22"/>
          <w:color w:val="auto"/>
        </w:rPr>
        <w:t>Equity</w:t>
      </w:r>
      <w:r>
        <w:rPr>
          <w:sz w:val="20"/>
          <w:szCs w:val="20"/>
          <w:color w:val="auto"/>
        </w:rPr>
        <w:tab/>
      </w:r>
      <w:r>
        <w:rPr>
          <w:rFonts w:ascii="Arial" w:cs="Arial" w:eastAsia="Arial" w:hAnsi="Arial"/>
          <w:sz w:val="22"/>
          <w:szCs w:val="22"/>
          <w:color w:val="auto"/>
        </w:rPr>
        <w:t>Pooled Investment Fund Interests</w:t>
      </w:r>
    </w:p>
    <w:p>
      <w:pPr>
        <w:spacing w:after="0" w:line="45"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Debt</w:t>
      </w:r>
      <w:r>
        <w:rPr>
          <w:sz w:val="20"/>
          <w:szCs w:val="20"/>
          <w:color w:val="auto"/>
        </w:rPr>
        <w:tab/>
      </w:r>
      <w:r>
        <w:rPr>
          <w:rFonts w:ascii="Arial" w:cs="Arial" w:eastAsia="Arial" w:hAnsi="Arial"/>
          <w:sz w:val="19"/>
          <w:szCs w:val="19"/>
          <w:color w:val="auto"/>
        </w:rPr>
        <w:t>Tenant-in-Common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$250,000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80" w:type="dxa"/>
            <w:vAlign w:val="bottom"/>
          </w:tcPr>
          <w:p>
            <w:pPr>
              <w:spacing w:after="0"/>
              <w:rPr>
                <w:sz w:val="20"/>
                <w:szCs w:val="20"/>
                <w:color w:val="auto"/>
              </w:rPr>
            </w:pPr>
            <w:r>
              <w:rPr>
                <w:rFonts w:ascii="Arial" w:cs="Arial" w:eastAsia="Arial" w:hAnsi="Arial"/>
                <w:sz w:val="22"/>
                <w:szCs w:val="22"/>
                <w:color w:val="auto"/>
              </w:rPr>
              <w:t>12. Sales Compensation</w:t>
            </w:r>
          </w:p>
        </w:tc>
        <w:tc>
          <w:tcPr>
            <w:tcW w:w="3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9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480" w:type="dxa"/>
            <w:vAlign w:val="bottom"/>
          </w:tcPr>
          <w:p>
            <w:pPr>
              <w:ind w:left="1280"/>
              <w:spacing w:after="0"/>
              <w:rPr>
                <w:sz w:val="20"/>
                <w:szCs w:val="20"/>
                <w:color w:val="auto"/>
              </w:rPr>
            </w:pPr>
            <w:r>
              <w:rPr>
                <w:rFonts w:ascii="Arial" w:cs="Arial" w:eastAsia="Arial" w:hAnsi="Arial"/>
                <w:sz w:val="22"/>
                <w:szCs w:val="22"/>
                <w:color w:val="auto"/>
                <w:w w:val="94"/>
              </w:rPr>
              <w:t>Recipient CRD Number</w:t>
            </w:r>
          </w:p>
        </w:tc>
        <w:tc>
          <w:tcPr>
            <w:tcW w:w="1300" w:type="dxa"/>
            <w:vAlign w:val="bottom"/>
          </w:tcPr>
          <w:p>
            <w:pPr>
              <w:ind w:left="120"/>
              <w:spacing w:after="0"/>
              <w:rPr>
                <w:sz w:val="20"/>
                <w:szCs w:val="20"/>
                <w:color w:val="auto"/>
              </w:rPr>
            </w:pPr>
            <w:r>
              <w:rPr>
                <w:rFonts w:ascii="Arial" w:cs="Arial" w:eastAsia="Arial" w:hAnsi="Arial"/>
                <w:sz w:val="22"/>
                <w:szCs w:val="22"/>
                <w:color w:val="auto"/>
              </w:rPr>
              <w:t>None</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980" w:type="dxa"/>
            <w:vAlign w:val="bottom"/>
          </w:tcPr>
          <w:p>
            <w:pPr>
              <w:ind w:left="40"/>
              <w:spacing w:after="0"/>
              <w:rPr>
                <w:sz w:val="20"/>
                <w:szCs w:val="20"/>
                <w:color w:val="auto"/>
              </w:rPr>
            </w:pPr>
            <w:r>
              <w:rPr>
                <w:rFonts w:ascii="Arial" w:cs="Arial" w:eastAsia="Arial" w:hAnsi="Arial"/>
                <w:sz w:val="22"/>
                <w:szCs w:val="22"/>
                <w:color w:val="auto"/>
              </w:rPr>
              <w:t>Banc of America Securities LLC</w:t>
            </w:r>
          </w:p>
        </w:tc>
        <w:tc>
          <w:tcPr>
            <w:tcW w:w="3480" w:type="dxa"/>
            <w:vAlign w:val="bottom"/>
          </w:tcPr>
          <w:p>
            <w:pPr>
              <w:ind w:left="1240"/>
              <w:spacing w:after="0"/>
              <w:rPr>
                <w:sz w:val="20"/>
                <w:szCs w:val="20"/>
                <w:color w:val="auto"/>
              </w:rPr>
            </w:pPr>
            <w:r>
              <w:rPr>
                <w:rFonts w:ascii="Arial" w:cs="Arial" w:eastAsia="Arial" w:hAnsi="Arial"/>
                <w:sz w:val="22"/>
                <w:szCs w:val="22"/>
                <w:color w:val="auto"/>
              </w:rPr>
              <w:t>26091</w:t>
            </w:r>
          </w:p>
        </w:tc>
        <w:tc>
          <w:tcPr>
            <w:tcW w:w="1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98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780" w:type="dxa"/>
            <w:vAlign w:val="bottom"/>
            <w:gridSpan w:val="2"/>
          </w:tcPr>
          <w:p>
            <w:pPr>
              <w:ind w:left="1280"/>
              <w:spacing w:after="0"/>
              <w:rPr>
                <w:sz w:val="20"/>
                <w:szCs w:val="20"/>
                <w:color w:val="auto"/>
              </w:rPr>
            </w:pPr>
            <w:r>
              <w:rPr>
                <w:rFonts w:ascii="Arial" w:cs="Arial" w:eastAsia="Arial" w:hAnsi="Arial"/>
                <w:sz w:val="22"/>
                <w:szCs w:val="22"/>
                <w:color w:val="auto"/>
              </w:rPr>
              <w:t>(Associated) Broker or Dealer CRD</w:t>
            </w:r>
          </w:p>
        </w:tc>
        <w:tc>
          <w:tcPr>
            <w:tcW w:w="2620" w:type="dxa"/>
            <w:vAlign w:val="bottom"/>
            <w:vMerge w:val="restart"/>
          </w:tcPr>
          <w:p>
            <w:pPr>
              <w:ind w:left="400"/>
              <w:spacing w:after="0"/>
              <w:rPr>
                <w:sz w:val="20"/>
                <w:szCs w:val="20"/>
                <w:color w:val="auto"/>
              </w:rPr>
            </w:pPr>
            <w:r>
              <w:rPr>
                <w:rFonts w:ascii="Arial" w:cs="Arial" w:eastAsia="Arial" w:hAnsi="Arial"/>
                <w:sz w:val="22"/>
                <w:szCs w:val="22"/>
                <w:color w:val="auto"/>
              </w:rPr>
              <w:t>X None</w:t>
            </w:r>
          </w:p>
        </w:tc>
        <w:tc>
          <w:tcPr>
            <w:tcW w:w="0" w:type="dxa"/>
            <w:vAlign w:val="bottom"/>
          </w:tcPr>
          <w:p>
            <w:pPr>
              <w:spacing w:after="0"/>
              <w:rPr>
                <w:sz w:val="1"/>
                <w:szCs w:val="1"/>
                <w:color w:val="auto"/>
              </w:rPr>
            </w:pPr>
          </w:p>
        </w:tc>
      </w:tr>
      <w:tr>
        <w:trPr>
          <w:trHeight w:val="153"/>
        </w:trPr>
        <w:tc>
          <w:tcPr>
            <w:tcW w:w="3980" w:type="dxa"/>
            <w:vAlign w:val="bottom"/>
            <w:vMerge w:val="continue"/>
          </w:tcPr>
          <w:p>
            <w:pPr>
              <w:spacing w:after="0"/>
              <w:rPr>
                <w:sz w:val="13"/>
                <w:szCs w:val="13"/>
                <w:color w:val="auto"/>
              </w:rPr>
            </w:pPr>
          </w:p>
        </w:tc>
        <w:tc>
          <w:tcPr>
            <w:tcW w:w="348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130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80" w:type="dxa"/>
            <w:vAlign w:val="bottom"/>
          </w:tcPr>
          <w:p>
            <w:pPr>
              <w:spacing w:after="0"/>
              <w:rPr>
                <w:sz w:val="10"/>
                <w:szCs w:val="10"/>
                <w:color w:val="auto"/>
              </w:rPr>
            </w:pPr>
          </w:p>
        </w:tc>
        <w:tc>
          <w:tcPr>
            <w:tcW w:w="34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80" w:type="dxa"/>
            <w:vAlign w:val="bottom"/>
          </w:tcPr>
          <w:p>
            <w:pPr>
              <w:ind w:left="40"/>
              <w:spacing w:after="0"/>
              <w:rPr>
                <w:sz w:val="20"/>
                <w:szCs w:val="20"/>
                <w:color w:val="auto"/>
              </w:rPr>
            </w:pPr>
            <w:r>
              <w:rPr>
                <w:rFonts w:ascii="Arial" w:cs="Arial" w:eastAsia="Arial" w:hAnsi="Arial"/>
                <w:sz w:val="22"/>
                <w:szCs w:val="22"/>
                <w:color w:val="auto"/>
              </w:rPr>
              <w:t>None</w:t>
            </w:r>
          </w:p>
        </w:tc>
        <w:tc>
          <w:tcPr>
            <w:tcW w:w="3480" w:type="dxa"/>
            <w:vAlign w:val="bottom"/>
          </w:tcPr>
          <w:p>
            <w:pPr>
              <w:ind w:left="1240"/>
              <w:spacing w:after="0"/>
              <w:rPr>
                <w:sz w:val="20"/>
                <w:szCs w:val="20"/>
                <w:color w:val="auto"/>
              </w:rPr>
            </w:pPr>
            <w:r>
              <w:rPr>
                <w:rFonts w:ascii="Arial" w:cs="Arial" w:eastAsia="Arial" w:hAnsi="Arial"/>
                <w:sz w:val="22"/>
                <w:szCs w:val="22"/>
                <w:color w:val="auto"/>
              </w:rPr>
              <w:t>None</w:t>
            </w:r>
          </w:p>
        </w:tc>
        <w:tc>
          <w:tcPr>
            <w:tcW w:w="1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4780" w:type="dxa"/>
            <w:vAlign w:val="bottom"/>
            <w:gridSpan w:val="2"/>
          </w:tcPr>
          <w:p>
            <w:pPr>
              <w:ind w:left="2820"/>
              <w:spacing w:after="0"/>
              <w:rPr>
                <w:sz w:val="20"/>
                <w:szCs w:val="20"/>
                <w:color w:val="auto"/>
              </w:rPr>
            </w:pPr>
            <w:r>
              <w:rPr>
                <w:rFonts w:ascii="Arial" w:cs="Arial" w:eastAsia="Arial" w:hAnsi="Arial"/>
                <w:sz w:val="22"/>
                <w:szCs w:val="22"/>
                <w:b w:val="1"/>
                <w:bCs w:val="1"/>
                <w:color w:val="auto"/>
              </w:rPr>
              <w:t>Street Address 2</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tcPr>
          <w:p>
            <w:pPr>
              <w:ind w:left="40"/>
              <w:spacing w:after="0"/>
              <w:rPr>
                <w:sz w:val="20"/>
                <w:szCs w:val="20"/>
                <w:color w:val="auto"/>
              </w:rPr>
            </w:pPr>
            <w:r>
              <w:rPr>
                <w:rFonts w:ascii="Arial" w:cs="Arial" w:eastAsia="Arial" w:hAnsi="Arial"/>
                <w:sz w:val="22"/>
                <w:szCs w:val="22"/>
                <w:color w:val="auto"/>
              </w:rPr>
              <w:t>One Bryant Park</w:t>
            </w:r>
          </w:p>
        </w:tc>
        <w:tc>
          <w:tcPr>
            <w:tcW w:w="3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tcPr>
          <w:p>
            <w:pPr>
              <w:ind w:left="40"/>
              <w:spacing w:after="0"/>
              <w:rPr>
                <w:sz w:val="20"/>
                <w:szCs w:val="20"/>
                <w:color w:val="auto"/>
              </w:rPr>
            </w:pPr>
            <w:r>
              <w:rPr>
                <w:rFonts w:ascii="Arial" w:cs="Arial" w:eastAsia="Arial" w:hAnsi="Arial"/>
                <w:sz w:val="22"/>
                <w:szCs w:val="22"/>
                <w:color w:val="auto"/>
              </w:rPr>
              <w:t>City</w:t>
            </w:r>
          </w:p>
        </w:tc>
        <w:tc>
          <w:tcPr>
            <w:tcW w:w="3480" w:type="dxa"/>
            <w:vAlign w:val="bottom"/>
          </w:tcPr>
          <w:p>
            <w:pPr>
              <w:ind w:left="1240"/>
              <w:spacing w:after="0"/>
              <w:rPr>
                <w:sz w:val="20"/>
                <w:szCs w:val="20"/>
                <w:color w:val="auto"/>
              </w:rPr>
            </w:pPr>
            <w:r>
              <w:rPr>
                <w:rFonts w:ascii="Arial" w:cs="Arial" w:eastAsia="Arial" w:hAnsi="Arial"/>
                <w:sz w:val="22"/>
                <w:szCs w:val="22"/>
                <w:color w:val="auto"/>
                <w:w w:val="98"/>
              </w:rPr>
              <w:t>State/Province/Country</w:t>
            </w:r>
          </w:p>
        </w:tc>
        <w:tc>
          <w:tcPr>
            <w:tcW w:w="1300" w:type="dxa"/>
            <w:vAlign w:val="bottom"/>
          </w:tcPr>
          <w:p>
            <w:pPr>
              <w:spacing w:after="0"/>
              <w:rPr>
                <w:sz w:val="24"/>
                <w:szCs w:val="24"/>
                <w:color w:val="auto"/>
              </w:rPr>
            </w:pPr>
          </w:p>
        </w:tc>
        <w:tc>
          <w:tcPr>
            <w:tcW w:w="2620" w:type="dxa"/>
            <w:vAlign w:val="bottom"/>
          </w:tcPr>
          <w:p>
            <w:pPr>
              <w:ind w:left="118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297"/>
        </w:trPr>
        <w:tc>
          <w:tcPr>
            <w:tcW w:w="3980" w:type="dxa"/>
            <w:vAlign w:val="bottom"/>
          </w:tcPr>
          <w:p>
            <w:pPr>
              <w:ind w:left="40"/>
              <w:spacing w:after="0"/>
              <w:rPr>
                <w:sz w:val="20"/>
                <w:szCs w:val="20"/>
                <w:color w:val="auto"/>
              </w:rPr>
            </w:pPr>
            <w:r>
              <w:rPr>
                <w:rFonts w:ascii="Arial" w:cs="Arial" w:eastAsia="Arial" w:hAnsi="Arial"/>
                <w:sz w:val="22"/>
                <w:szCs w:val="22"/>
                <w:color w:val="auto"/>
              </w:rPr>
              <w:t>New York</w:t>
            </w:r>
          </w:p>
        </w:tc>
        <w:tc>
          <w:tcPr>
            <w:tcW w:w="348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1300" w:type="dxa"/>
            <w:vAlign w:val="bottom"/>
          </w:tcPr>
          <w:p>
            <w:pPr>
              <w:spacing w:after="0"/>
              <w:rPr>
                <w:sz w:val="24"/>
                <w:szCs w:val="24"/>
                <w:color w:val="auto"/>
              </w:rPr>
            </w:pPr>
          </w:p>
        </w:tc>
        <w:tc>
          <w:tcPr>
            <w:tcW w:w="2620" w:type="dxa"/>
            <w:vAlign w:val="bottom"/>
          </w:tcPr>
          <w:p>
            <w:pPr>
              <w:ind w:left="1180"/>
              <w:spacing w:after="0"/>
              <w:rPr>
                <w:sz w:val="20"/>
                <w:szCs w:val="20"/>
                <w:color w:val="auto"/>
              </w:rPr>
            </w:pPr>
            <w:r>
              <w:rPr>
                <w:rFonts w:ascii="Arial" w:cs="Arial" w:eastAsia="Arial" w:hAnsi="Arial"/>
                <w:sz w:val="22"/>
                <w:szCs w:val="22"/>
                <w:color w:val="auto"/>
              </w:rPr>
              <w:t>10036</w:t>
            </w:r>
          </w:p>
        </w:tc>
        <w:tc>
          <w:tcPr>
            <w:tcW w:w="0" w:type="dxa"/>
            <w:vAlign w:val="bottom"/>
          </w:tcPr>
          <w:p>
            <w:pPr>
              <w:spacing w:after="0"/>
              <w:rPr>
                <w:sz w:val="1"/>
                <w:szCs w:val="1"/>
                <w:color w:val="auto"/>
              </w:rPr>
            </w:pPr>
          </w:p>
        </w:tc>
      </w:tr>
      <w:tr>
        <w:trPr>
          <w:trHeight w:val="306"/>
        </w:trPr>
        <w:tc>
          <w:tcPr>
            <w:tcW w:w="3980" w:type="dxa"/>
            <w:vAlign w:val="bottom"/>
          </w:tcPr>
          <w:p>
            <w:pPr>
              <w:ind w:left="80"/>
              <w:spacing w:after="0"/>
              <w:rPr>
                <w:sz w:val="20"/>
                <w:szCs w:val="20"/>
                <w:color w:val="auto"/>
              </w:rPr>
            </w:pPr>
            <w:r>
              <w:rPr>
                <w:rFonts w:ascii="Arial" w:cs="Arial" w:eastAsia="Arial" w:hAnsi="Arial"/>
                <w:sz w:val="22"/>
                <w:szCs w:val="22"/>
                <w:color w:val="auto"/>
                <w:w w:val="91"/>
              </w:rPr>
              <w:t>State(s) of Solicitation (select all that apply)</w:t>
            </w:r>
          </w:p>
        </w:tc>
        <w:tc>
          <w:tcPr>
            <w:tcW w:w="3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80"/>
              <w:spacing w:after="0" w:line="243" w:lineRule="exact"/>
              <w:rPr>
                <w:sz w:val="20"/>
                <w:szCs w:val="20"/>
                <w:color w:val="auto"/>
              </w:rPr>
            </w:pPr>
            <w:r>
              <w:rPr>
                <w:rFonts w:ascii="Arial" w:cs="Arial" w:eastAsia="Arial" w:hAnsi="Arial"/>
                <w:sz w:val="22"/>
                <w:szCs w:val="22"/>
                <w:color w:val="auto"/>
              </w:rPr>
              <w:t>Check “All States” or check individual</w:t>
            </w:r>
          </w:p>
        </w:tc>
        <w:tc>
          <w:tcPr>
            <w:tcW w:w="348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13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80" w:type="dxa"/>
            <w:vAlign w:val="bottom"/>
          </w:tcPr>
          <w:p>
            <w:pPr>
              <w:ind w:left="80"/>
              <w:spacing w:after="0"/>
              <w:rPr>
                <w:sz w:val="20"/>
                <w:szCs w:val="20"/>
                <w:color w:val="auto"/>
              </w:rPr>
            </w:pPr>
            <w:r>
              <w:rPr>
                <w:rFonts w:ascii="Arial" w:cs="Arial" w:eastAsia="Arial" w:hAnsi="Arial"/>
                <w:sz w:val="22"/>
                <w:szCs w:val="22"/>
                <w:color w:val="auto"/>
              </w:rPr>
              <w:t>States</w:t>
            </w:r>
          </w:p>
        </w:tc>
        <w:tc>
          <w:tcPr>
            <w:tcW w:w="3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sectPr>
      </w:pP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4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Deutsche Bank Securities Inc.</w:t>
            </w:r>
          </w:p>
        </w:tc>
        <w:tc>
          <w:tcPr>
            <w:tcW w:w="4400" w:type="dxa"/>
            <w:vAlign w:val="bottom"/>
          </w:tcPr>
          <w:p>
            <w:pPr>
              <w:ind w:left="1240"/>
              <w:spacing w:after="0"/>
              <w:rPr>
                <w:sz w:val="20"/>
                <w:szCs w:val="20"/>
                <w:color w:val="auto"/>
              </w:rPr>
            </w:pPr>
            <w:r>
              <w:rPr>
                <w:rFonts w:ascii="Arial" w:cs="Arial" w:eastAsia="Arial" w:hAnsi="Arial"/>
                <w:sz w:val="22"/>
                <w:szCs w:val="22"/>
                <w:color w:val="auto"/>
              </w:rPr>
              <w:t>2525</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400" w:type="dxa"/>
            <w:vAlign w:val="bottom"/>
          </w:tcPr>
          <w:p>
            <w:pPr>
              <w:ind w:left="1280"/>
              <w:spacing w:after="0"/>
              <w:rPr>
                <w:sz w:val="20"/>
                <w:szCs w:val="20"/>
                <w:color w:val="auto"/>
              </w:rPr>
            </w:pPr>
            <w:r>
              <w:rPr>
                <w:rFonts w:ascii="Arial" w:cs="Arial" w:eastAsia="Arial" w:hAnsi="Arial"/>
                <w:sz w:val="22"/>
                <w:szCs w:val="22"/>
                <w:color w:val="auto"/>
                <w:w w:val="90"/>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None</w:t>
            </w:r>
          </w:p>
        </w:tc>
        <w:tc>
          <w:tcPr>
            <w:tcW w:w="44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400" w:type="dxa"/>
            <w:vAlign w:val="bottom"/>
          </w:tcPr>
          <w:p>
            <w:pPr>
              <w:ind w:left="2820"/>
              <w:spacing w:after="0"/>
              <w:rPr>
                <w:sz w:val="20"/>
                <w:szCs w:val="20"/>
                <w:color w:val="auto"/>
              </w:rPr>
            </w:pPr>
            <w:r>
              <w:rPr>
                <w:rFonts w:ascii="Arial" w:cs="Arial" w:eastAsia="Arial" w:hAnsi="Arial"/>
                <w:sz w:val="22"/>
                <w:szCs w:val="22"/>
                <w:b w:val="1"/>
                <w:bCs w:val="1"/>
                <w:color w:val="auto"/>
                <w:w w:val="89"/>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60 Wall Street</w:t>
            </w:r>
          </w:p>
        </w:tc>
        <w:tc>
          <w:tcPr>
            <w:tcW w:w="4400" w:type="dxa"/>
            <w:vAlign w:val="bottom"/>
          </w:tcPr>
          <w:p>
            <w:pPr>
              <w:ind w:left="1240"/>
              <w:spacing w:after="0"/>
              <w:rPr>
                <w:sz w:val="20"/>
                <w:szCs w:val="20"/>
                <w:color w:val="auto"/>
              </w:rPr>
            </w:pPr>
            <w:r>
              <w:rPr>
                <w:rFonts w:ascii="Arial" w:cs="Arial" w:eastAsia="Arial" w:hAnsi="Arial"/>
                <w:sz w:val="22"/>
                <w:szCs w:val="22"/>
                <w:color w:val="auto"/>
              </w:rPr>
              <w:t>3rd Floor</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4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New York</w:t>
            </w:r>
          </w:p>
        </w:tc>
        <w:tc>
          <w:tcPr>
            <w:tcW w:w="440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4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10005</w:t>
      </w:r>
    </w:p>
    <w:p>
      <w:pPr>
        <w:spacing w:after="0" w:line="1045" w:lineRule="exact"/>
        <w:rPr>
          <w:sz w:val="20"/>
          <w:szCs w:val="20"/>
          <w:color w:val="auto"/>
        </w:rPr>
      </w:pPr>
    </w:p>
    <w:p>
      <w:pPr>
        <w:sectPr>
          <w:pgSz w:w="11900" w:h="16838" w:orient="portrait"/>
          <w:cols w:equalWidth="0" w:num="2">
            <w:col w:w="8440" w:space="720"/>
            <w:col w:w="2220"/>
          </w:cols>
          <w:pgMar w:left="240" w:top="118" w:right="279" w:bottom="0" w:gutter="0" w:footer="0" w:header="0"/>
          <w:type w:val="continuous"/>
        </w:sect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4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Barclays Capital Inc.</w:t>
            </w:r>
          </w:p>
        </w:tc>
        <w:tc>
          <w:tcPr>
            <w:tcW w:w="4400" w:type="dxa"/>
            <w:vAlign w:val="bottom"/>
          </w:tcPr>
          <w:p>
            <w:pPr>
              <w:ind w:left="1240"/>
              <w:spacing w:after="0"/>
              <w:rPr>
                <w:sz w:val="20"/>
                <w:szCs w:val="20"/>
                <w:color w:val="auto"/>
              </w:rPr>
            </w:pPr>
            <w:r>
              <w:rPr>
                <w:rFonts w:ascii="Arial" w:cs="Arial" w:eastAsia="Arial" w:hAnsi="Arial"/>
                <w:sz w:val="22"/>
                <w:szCs w:val="22"/>
                <w:color w:val="auto"/>
              </w:rPr>
              <w:t>19714</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400" w:type="dxa"/>
            <w:vAlign w:val="bottom"/>
          </w:tcPr>
          <w:p>
            <w:pPr>
              <w:ind w:left="1280"/>
              <w:spacing w:after="0"/>
              <w:rPr>
                <w:sz w:val="20"/>
                <w:szCs w:val="20"/>
                <w:color w:val="auto"/>
              </w:rPr>
            </w:pPr>
            <w:r>
              <w:rPr>
                <w:rFonts w:ascii="Arial" w:cs="Arial" w:eastAsia="Arial" w:hAnsi="Arial"/>
                <w:sz w:val="22"/>
                <w:szCs w:val="22"/>
                <w:color w:val="auto"/>
                <w:w w:val="90"/>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None</w:t>
            </w:r>
          </w:p>
        </w:tc>
        <w:tc>
          <w:tcPr>
            <w:tcW w:w="44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400" w:type="dxa"/>
            <w:vAlign w:val="bottom"/>
          </w:tcPr>
          <w:p>
            <w:pPr>
              <w:ind w:left="2820"/>
              <w:spacing w:after="0"/>
              <w:rPr>
                <w:sz w:val="20"/>
                <w:szCs w:val="20"/>
                <w:color w:val="auto"/>
              </w:rPr>
            </w:pPr>
            <w:r>
              <w:rPr>
                <w:rFonts w:ascii="Arial" w:cs="Arial" w:eastAsia="Arial" w:hAnsi="Arial"/>
                <w:sz w:val="22"/>
                <w:szCs w:val="22"/>
                <w:b w:val="1"/>
                <w:bCs w:val="1"/>
                <w:color w:val="auto"/>
                <w:w w:val="89"/>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745 Seventh Avenue</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4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New York</w:t>
            </w:r>
          </w:p>
        </w:tc>
        <w:tc>
          <w:tcPr>
            <w:tcW w:w="440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4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10019</w:t>
      </w:r>
    </w:p>
    <w:p>
      <w:pPr>
        <w:sectPr>
          <w:pgSz w:w="11900" w:h="16838" w:orient="portrait"/>
          <w:cols w:equalWidth="0" w:num="2">
            <w:col w:w="8440" w:space="720"/>
            <w:col w:w="2220"/>
          </w:cols>
          <w:pgMar w:left="240" w:top="118" w:right="279" w:bottom="0" w:gutter="0" w:footer="0" w:header="0"/>
          <w:type w:val="continuous"/>
        </w:sectPr>
      </w:pPr>
    </w:p>
    <w:bookmarkStart w:id="6" w:name="page7"/>
    <w:bookmarkEnd w:id="6"/>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4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The Williams Capital Group, L.P.</w:t>
            </w:r>
          </w:p>
        </w:tc>
        <w:tc>
          <w:tcPr>
            <w:tcW w:w="4400" w:type="dxa"/>
            <w:vAlign w:val="bottom"/>
          </w:tcPr>
          <w:p>
            <w:pPr>
              <w:ind w:left="1240"/>
              <w:spacing w:after="0"/>
              <w:rPr>
                <w:sz w:val="20"/>
                <w:szCs w:val="20"/>
                <w:color w:val="auto"/>
              </w:rPr>
            </w:pPr>
            <w:r>
              <w:rPr>
                <w:rFonts w:ascii="Arial" w:cs="Arial" w:eastAsia="Arial" w:hAnsi="Arial"/>
                <w:sz w:val="22"/>
                <w:szCs w:val="22"/>
                <w:color w:val="auto"/>
              </w:rPr>
              <w:t>35149</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400" w:type="dxa"/>
            <w:vAlign w:val="bottom"/>
          </w:tcPr>
          <w:p>
            <w:pPr>
              <w:ind w:left="1280"/>
              <w:spacing w:after="0"/>
              <w:rPr>
                <w:sz w:val="20"/>
                <w:szCs w:val="20"/>
                <w:color w:val="auto"/>
              </w:rPr>
            </w:pPr>
            <w:r>
              <w:rPr>
                <w:rFonts w:ascii="Arial" w:cs="Arial" w:eastAsia="Arial" w:hAnsi="Arial"/>
                <w:sz w:val="22"/>
                <w:szCs w:val="22"/>
                <w:color w:val="auto"/>
                <w:w w:val="90"/>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None</w:t>
            </w:r>
          </w:p>
        </w:tc>
        <w:tc>
          <w:tcPr>
            <w:tcW w:w="44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400" w:type="dxa"/>
            <w:vAlign w:val="bottom"/>
          </w:tcPr>
          <w:p>
            <w:pPr>
              <w:ind w:left="2820"/>
              <w:spacing w:after="0"/>
              <w:rPr>
                <w:sz w:val="20"/>
                <w:szCs w:val="20"/>
                <w:color w:val="auto"/>
              </w:rPr>
            </w:pPr>
            <w:r>
              <w:rPr>
                <w:rFonts w:ascii="Arial" w:cs="Arial" w:eastAsia="Arial" w:hAnsi="Arial"/>
                <w:sz w:val="22"/>
                <w:szCs w:val="22"/>
                <w:b w:val="1"/>
                <w:bCs w:val="1"/>
                <w:color w:val="auto"/>
                <w:w w:val="89"/>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650 Fifth Avenue</w:t>
            </w:r>
          </w:p>
        </w:tc>
        <w:tc>
          <w:tcPr>
            <w:tcW w:w="4400" w:type="dxa"/>
            <w:vAlign w:val="bottom"/>
          </w:tcPr>
          <w:p>
            <w:pPr>
              <w:ind w:left="1240"/>
              <w:spacing w:after="0"/>
              <w:rPr>
                <w:sz w:val="20"/>
                <w:szCs w:val="20"/>
                <w:color w:val="auto"/>
              </w:rPr>
            </w:pPr>
            <w:r>
              <w:rPr>
                <w:rFonts w:ascii="Arial" w:cs="Arial" w:eastAsia="Arial" w:hAnsi="Arial"/>
                <w:sz w:val="22"/>
                <w:szCs w:val="22"/>
                <w:color w:val="auto"/>
              </w:rPr>
              <w:t>11th Floor</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4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New York</w:t>
            </w:r>
          </w:p>
        </w:tc>
        <w:tc>
          <w:tcPr>
            <w:tcW w:w="440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4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72020"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10019</w:t>
      </w:r>
    </w:p>
    <w:p>
      <w:pPr>
        <w:spacing w:after="0" w:line="1045" w:lineRule="exact"/>
        <w:rPr>
          <w:sz w:val="20"/>
          <w:szCs w:val="20"/>
          <w:color w:val="auto"/>
        </w:rPr>
      </w:pPr>
    </w:p>
    <w:p>
      <w:pPr>
        <w:sectPr>
          <w:pgSz w:w="11900" w:h="16838" w:orient="portrait"/>
          <w:cols w:equalWidth="0" w:num="2">
            <w:col w:w="8440" w:space="720"/>
            <w:col w:w="2220"/>
          </w:cols>
          <w:pgMar w:left="240" w:top="334" w:right="279" w:bottom="2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p>
      <w:pPr>
        <w:ind w:left="40"/>
        <w:spacing w:after="0"/>
        <w:tabs>
          <w:tab w:leader="none" w:pos="386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1"/>
          <w:szCs w:val="21"/>
          <w:color w:val="auto"/>
        </w:rPr>
        <w:t>USD or X Indefinite</w:t>
      </w:r>
    </w:p>
    <w:p>
      <w:pPr>
        <w:spacing w:after="0" w:line="85" w:lineRule="exact"/>
        <w:rPr>
          <w:sz w:val="20"/>
          <w:szCs w:val="20"/>
          <w:color w:val="auto"/>
        </w:rPr>
      </w:pPr>
    </w:p>
    <w:p>
      <w:pPr>
        <w:ind w:left="40"/>
        <w:spacing w:after="0"/>
        <w:tabs>
          <w:tab w:leader="none" w:pos="2460" w:val="left"/>
        </w:tabs>
        <w:rPr>
          <w:sz w:val="20"/>
          <w:szCs w:val="20"/>
          <w:color w:val="auto"/>
        </w:rPr>
      </w:pPr>
      <w:r>
        <w:rPr>
          <w:rFonts w:ascii="Arial" w:cs="Arial" w:eastAsia="Arial" w:hAnsi="Arial"/>
          <w:sz w:val="22"/>
          <w:szCs w:val="22"/>
          <w:color w:val="auto"/>
        </w:rPr>
        <w:t>Total Amount Sold</w:t>
      </w:r>
      <w:r>
        <w:rPr>
          <w:sz w:val="20"/>
          <w:szCs w:val="20"/>
          <w:color w:val="auto"/>
        </w:rPr>
        <w:tab/>
      </w:r>
      <w:r>
        <w:rPr>
          <w:rFonts w:ascii="Arial" w:cs="Arial" w:eastAsia="Arial" w:hAnsi="Arial"/>
          <w:sz w:val="19"/>
          <w:szCs w:val="19"/>
          <w:color w:val="auto"/>
        </w:rPr>
        <w:t>$1,450,000,000 USD</w:t>
      </w:r>
    </w:p>
    <w:p>
      <w:pPr>
        <w:spacing w:after="0" w:line="85" w:lineRule="exact"/>
        <w:rPr>
          <w:sz w:val="20"/>
          <w:szCs w:val="20"/>
          <w:color w:val="auto"/>
        </w:rPr>
      </w:pPr>
    </w:p>
    <w:p>
      <w:pPr>
        <w:ind w:left="40"/>
        <w:spacing w:after="0"/>
        <w:tabs>
          <w:tab w:leader="none" w:pos="386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1"/>
          <w:szCs w:val="21"/>
          <w:color w:val="auto"/>
        </w:rPr>
        <w:t>USD or X 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jc w:val="both"/>
        <w:ind w:right="40"/>
        <w:spacing w:after="0" w:line="328" w:lineRule="auto"/>
        <w:rPr>
          <w:sz w:val="20"/>
          <w:szCs w:val="20"/>
          <w:color w:val="auto"/>
        </w:rPr>
      </w:pPr>
      <w:r>
        <w:rPr>
          <w:rFonts w:ascii="Arial" w:cs="Arial" w:eastAsia="Arial" w:hAnsi="Arial"/>
          <w:sz w:val="19"/>
          <w:szCs w:val="19"/>
          <w:color w:val="auto"/>
        </w:rPr>
        <w:t>*Ongoing CommPaprPrgm w/ frequent issuances/maturities. Total amt outstanding at any time can't exceed $2.25billion. Amt sold represents 4/30/11 outstanding balance. Amt outstanding varies day to day based on liquidity needs of Co as does no. of investors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19"/>
          <w:szCs w:val="19"/>
          <w:color w:val="auto"/>
        </w:rPr>
        <w:t>$0 USD X Estimate</w:t>
      </w:r>
    </w:p>
    <w:p>
      <w:pPr>
        <w:spacing w:after="0" w:line="125" w:lineRule="exact"/>
        <w:rPr>
          <w:sz w:val="20"/>
          <w:szCs w:val="20"/>
          <w:color w:val="auto"/>
        </w:rPr>
      </w:pPr>
    </w:p>
    <w:p>
      <w:pPr>
        <w:ind w:left="40"/>
        <w:spacing w:after="0"/>
        <w:tabs>
          <w:tab w:leader="none" w:pos="2780" w:val="left"/>
          <w:tab w:leader="none" w:pos="382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*Typically sales commissions of around 5 basis points are paid to dealers. Regarding Q14: securities offered to accredited investors only.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39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39065"/>
                    </a:xfrm>
                    <a:prstGeom prst="rect">
                      <a:avLst/>
                    </a:prstGeom>
                    <a:noFill/>
                  </pic:spPr>
                </pic:pic>
              </a:graphicData>
            </a:graphic>
          </wp:anchor>
        </w:drawing>
      </w:r>
    </w:p>
    <w:p>
      <w:pPr>
        <w:sectPr>
          <w:pgSz w:w="11900" w:h="16838" w:orient="portrait"/>
          <w:cols w:equalWidth="0" w:num="1">
            <w:col w:w="11380"/>
          </w:cols>
          <w:pgMar w:left="240" w:top="334" w:right="279" w:bottom="2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787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25"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16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COMCAST CORP</w:t>
            </w:r>
          </w:p>
        </w:tc>
        <w:tc>
          <w:tcPr>
            <w:tcW w:w="4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William E. Dordelman</w:t>
            </w:r>
          </w:p>
        </w:tc>
        <w:tc>
          <w:tcPr>
            <w:tcW w:w="2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William E. Dordelman</w:t>
            </w:r>
          </w:p>
        </w:tc>
        <w:tc>
          <w:tcPr>
            <w:tcW w:w="40" w:type="dxa"/>
            <w:vAlign w:val="bottom"/>
          </w:tcPr>
          <w:p>
            <w:pPr>
              <w:spacing w:after="0"/>
              <w:rPr>
                <w:sz w:val="22"/>
                <w:szCs w:val="22"/>
                <w:color w:val="auto"/>
              </w:rPr>
            </w:pPr>
          </w:p>
        </w:tc>
        <w:tc>
          <w:tcPr>
            <w:tcW w:w="2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SVP and Treasurer</w:t>
            </w:r>
          </w:p>
        </w:tc>
        <w:tc>
          <w:tcPr>
            <w:tcW w:w="40" w:type="dxa"/>
            <w:vAlign w:val="bottom"/>
          </w:tcPr>
          <w:p>
            <w:pPr>
              <w:spacing w:after="0"/>
              <w:rPr>
                <w:sz w:val="22"/>
                <w:szCs w:val="22"/>
                <w:color w:val="auto"/>
              </w:rPr>
            </w:pPr>
          </w:p>
        </w:tc>
        <w:tc>
          <w:tcPr>
            <w:tcW w:w="136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88"/>
              </w:rPr>
              <w:t>2011-05-12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10"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2019-12-10T22:31:37Z</dcterms:created>
  <dcterms:modified xsi:type="dcterms:W3CDTF">2019-12-10T22:31:37Z</dcterms:modified>
</cp:coreProperties>
</file>