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226060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8380" w:type="dxa"/>
            <w:vAlign w:val="bottom"/>
            <w:gridSpan w:val="2"/>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19, 2017</w:t>
            </w:r>
          </w:p>
        </w:tc>
      </w:tr>
      <w:tr>
        <w:trPr>
          <w:trHeight w:val="410"/>
        </w:trPr>
        <w:tc>
          <w:tcPr>
            <w:tcW w:w="3040" w:type="dxa"/>
            <w:vAlign w:val="bottom"/>
          </w:tcPr>
          <w:p>
            <w:pPr>
              <w:spacing w:after="0"/>
              <w:rPr>
                <w:sz w:val="24"/>
                <w:szCs w:val="24"/>
                <w:color w:val="auto"/>
              </w:rPr>
            </w:pPr>
          </w:p>
        </w:tc>
        <w:tc>
          <w:tcPr>
            <w:tcW w:w="4900" w:type="dxa"/>
            <w:vAlign w:val="bottom"/>
          </w:tcPr>
          <w:p>
            <w:pPr>
              <w:jc w:val="center"/>
              <w:ind w:left="367"/>
              <w:spacing w:after="0"/>
              <w:rPr>
                <w:sz w:val="20"/>
                <w:szCs w:val="20"/>
                <w:color w:val="auto"/>
              </w:rPr>
            </w:pPr>
            <w:r>
              <w:rPr>
                <w:rFonts w:ascii="Times New Roman" w:cs="Times New Roman" w:eastAsia="Times New Roman" w:hAnsi="Times New Roman"/>
                <w:sz w:val="18"/>
                <w:szCs w:val="18"/>
                <w:b w:val="1"/>
                <w:bCs w:val="1"/>
                <w:color w:val="auto"/>
              </w:rPr>
              <w:t>Exact Name of Registrant; State of</w:t>
            </w:r>
          </w:p>
        </w:tc>
        <w:tc>
          <w:tcPr>
            <w:tcW w:w="34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547"/>
              <w:spacing w:after="0"/>
              <w:rPr>
                <w:sz w:val="20"/>
                <w:szCs w:val="20"/>
                <w:color w:val="auto"/>
              </w:rPr>
            </w:pPr>
            <w:r>
              <w:rPr>
                <w:rFonts w:ascii="Times New Roman" w:cs="Times New Roman" w:eastAsia="Times New Roman" w:hAnsi="Times New Roman"/>
                <w:sz w:val="18"/>
                <w:szCs w:val="18"/>
                <w:b w:val="1"/>
                <w:bCs w:val="1"/>
                <w:color w:val="auto"/>
                <w:w w:val="99"/>
              </w:rPr>
              <w:t>Incorporation; Address and Telephone Number</w:t>
            </w:r>
          </w:p>
        </w:tc>
        <w:tc>
          <w:tcPr>
            <w:tcW w:w="3480" w:type="dxa"/>
            <w:vAlign w:val="bottom"/>
          </w:tcPr>
          <w:p>
            <w:pPr>
              <w:spacing w:after="0"/>
              <w:rPr>
                <w:sz w:val="18"/>
                <w:szCs w:val="18"/>
                <w:color w:val="auto"/>
              </w:rPr>
            </w:pPr>
          </w:p>
        </w:tc>
      </w:tr>
      <w:tr>
        <w:trPr>
          <w:trHeight w:val="238"/>
        </w:trPr>
        <w:tc>
          <w:tcPr>
            <w:tcW w:w="304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4900" w:type="dxa"/>
            <w:vAlign w:val="bottom"/>
            <w:tcBorders>
              <w:bottom w:val="single" w:sz="8" w:color="auto"/>
            </w:tcBorders>
          </w:tcPr>
          <w:p>
            <w:pPr>
              <w:jc w:val="center"/>
              <w:ind w:left="567"/>
              <w:spacing w:after="0"/>
              <w:rPr>
                <w:sz w:val="20"/>
                <w:szCs w:val="20"/>
                <w:color w:val="auto"/>
              </w:rPr>
            </w:pPr>
            <w:r>
              <w:rPr>
                <w:rFonts w:ascii="Times New Roman" w:cs="Times New Roman" w:eastAsia="Times New Roman" w:hAnsi="Times New Roman"/>
                <w:sz w:val="18"/>
                <w:szCs w:val="18"/>
                <w:b w:val="1"/>
                <w:bCs w:val="1"/>
                <w:color w:val="auto"/>
                <w:w w:val="99"/>
              </w:rPr>
              <w:t>of Principal Executive Offices</w:t>
            </w:r>
          </w:p>
        </w:tc>
        <w:tc>
          <w:tcPr>
            <w:tcW w:w="3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18"/>
        </w:trPr>
        <w:tc>
          <w:tcPr>
            <w:tcW w:w="30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001-32871</w:t>
            </w:r>
          </w:p>
        </w:tc>
        <w:tc>
          <w:tcPr>
            <w:tcW w:w="4900" w:type="dxa"/>
            <w:vAlign w:val="bottom"/>
          </w:tcPr>
          <w:p>
            <w:pPr>
              <w:jc w:val="center"/>
              <w:ind w:left="367"/>
              <w:spacing w:after="0" w:line="219" w:lineRule="exact"/>
              <w:rPr>
                <w:sz w:val="20"/>
                <w:szCs w:val="20"/>
                <w:color w:val="auto"/>
              </w:rPr>
            </w:pPr>
            <w:r>
              <w:rPr>
                <w:rFonts w:ascii="Times New Roman" w:cs="Times New Roman" w:eastAsia="Times New Roman" w:hAnsi="Times New Roman"/>
                <w:sz w:val="22"/>
                <w:szCs w:val="22"/>
                <w:b w:val="1"/>
                <w:bCs w:val="1"/>
                <w:color w:val="auto"/>
                <w:w w:val="98"/>
              </w:rPr>
              <w:t>COMCAST CORPORATION</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27-0000798</w:t>
            </w: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Times New Roman" w:cs="Times New Roman" w:eastAsia="Times New Roman" w:hAnsi="Times New Roman"/>
                <w:sz w:val="18"/>
                <w:szCs w:val="18"/>
                <w:color w:val="auto"/>
                <w:w w:val="97"/>
              </w:rPr>
              <w:t>PENNSYLVANIA</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07"/>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Times New Roman" w:cs="Times New Roman" w:eastAsia="Times New Roman" w:hAnsi="Times New Roman"/>
                <w:sz w:val="18"/>
                <w:szCs w:val="18"/>
                <w:color w:val="auto"/>
                <w:w w:val="99"/>
              </w:rPr>
              <w:t>Philadelphia, PA 19103-2838</w:t>
            </w:r>
          </w:p>
        </w:tc>
        <w:tc>
          <w:tcPr>
            <w:tcW w:w="34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4900" w:type="dxa"/>
            <w:vAlign w:val="bottom"/>
          </w:tcPr>
          <w:p>
            <w:pPr>
              <w:jc w:val="center"/>
              <w:ind w:left="367"/>
              <w:spacing w:after="0"/>
              <w:rPr>
                <w:sz w:val="20"/>
                <w:szCs w:val="20"/>
                <w:color w:val="auto"/>
              </w:rPr>
            </w:pPr>
            <w:r>
              <w:rPr>
                <w:rFonts w:ascii="Times New Roman" w:cs="Times New Roman" w:eastAsia="Times New Roman" w:hAnsi="Times New Roman"/>
                <w:sz w:val="18"/>
                <w:szCs w:val="18"/>
                <w:color w:val="auto"/>
                <w:w w:val="99"/>
              </w:rPr>
              <w:t>(215) 286-1700</w:t>
            </w:r>
          </w:p>
        </w:tc>
        <w:tc>
          <w:tcPr>
            <w:tcW w:w="3480" w:type="dxa"/>
            <w:vAlign w:val="bottom"/>
          </w:tcPr>
          <w:p>
            <w:pPr>
              <w:spacing w:after="0"/>
              <w:rPr>
                <w:sz w:val="20"/>
                <w:szCs w:val="20"/>
                <w:color w:val="auto"/>
              </w:rPr>
            </w:pPr>
          </w:p>
        </w:tc>
      </w:tr>
      <w:tr>
        <w:trPr>
          <w:trHeight w:val="441"/>
        </w:trPr>
        <w:tc>
          <w:tcPr>
            <w:tcW w:w="30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001-36438</w:t>
            </w:r>
          </w:p>
        </w:tc>
        <w:tc>
          <w:tcPr>
            <w:tcW w:w="4900" w:type="dxa"/>
            <w:vAlign w:val="bottom"/>
          </w:tcPr>
          <w:p>
            <w:pPr>
              <w:jc w:val="center"/>
              <w:ind w:left="367"/>
              <w:spacing w:after="0"/>
              <w:rPr>
                <w:sz w:val="20"/>
                <w:szCs w:val="20"/>
                <w:color w:val="auto"/>
              </w:rPr>
            </w:pPr>
            <w:r>
              <w:rPr>
                <w:rFonts w:ascii="Times New Roman" w:cs="Times New Roman" w:eastAsia="Times New Roman" w:hAnsi="Times New Roman"/>
                <w:sz w:val="22"/>
                <w:szCs w:val="22"/>
                <w:b w:val="1"/>
                <w:bCs w:val="1"/>
                <w:color w:val="auto"/>
                <w:w w:val="98"/>
              </w:rPr>
              <w:t>NBCUNIVERSAL MEDIA, LLC</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14-1682529</w:t>
            </w: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Times New Roman" w:cs="Times New Roman" w:eastAsia="Times New Roman" w:hAnsi="Times New Roman"/>
                <w:sz w:val="18"/>
                <w:szCs w:val="18"/>
                <w:color w:val="auto"/>
                <w:w w:val="95"/>
              </w:rPr>
              <w:t>DELAWARE</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87"/>
              <w:spacing w:after="0"/>
              <w:rPr>
                <w:sz w:val="20"/>
                <w:szCs w:val="20"/>
                <w:color w:val="auto"/>
              </w:rPr>
            </w:pPr>
            <w:r>
              <w:rPr>
                <w:rFonts w:ascii="Times New Roman" w:cs="Times New Roman" w:eastAsia="Times New Roman" w:hAnsi="Times New Roman"/>
                <w:sz w:val="18"/>
                <w:szCs w:val="18"/>
                <w:color w:val="auto"/>
                <w:w w:val="99"/>
              </w:rPr>
              <w:t>30 Rockefeller Plaza</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67"/>
              <w:spacing w:after="0"/>
              <w:rPr>
                <w:sz w:val="20"/>
                <w:szCs w:val="20"/>
                <w:color w:val="auto"/>
              </w:rPr>
            </w:pPr>
            <w:r>
              <w:rPr>
                <w:rFonts w:ascii="Times New Roman" w:cs="Times New Roman" w:eastAsia="Times New Roman" w:hAnsi="Times New Roman"/>
                <w:sz w:val="18"/>
                <w:szCs w:val="18"/>
                <w:color w:val="auto"/>
                <w:w w:val="99"/>
              </w:rPr>
              <w:t>New York, NY 10112-0015</w:t>
            </w:r>
          </w:p>
        </w:tc>
        <w:tc>
          <w:tcPr>
            <w:tcW w:w="34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4900" w:type="dxa"/>
            <w:vAlign w:val="bottom"/>
          </w:tcPr>
          <w:p>
            <w:pPr>
              <w:jc w:val="center"/>
              <w:ind w:left="327"/>
              <w:spacing w:after="0"/>
              <w:rPr>
                <w:sz w:val="20"/>
                <w:szCs w:val="20"/>
                <w:color w:val="auto"/>
              </w:rPr>
            </w:pPr>
            <w:r>
              <w:rPr>
                <w:rFonts w:ascii="Times New Roman" w:cs="Times New Roman" w:eastAsia="Times New Roman" w:hAnsi="Times New Roman"/>
                <w:sz w:val="18"/>
                <w:szCs w:val="18"/>
                <w:color w:val="auto"/>
                <w:w w:val="99"/>
              </w:rPr>
              <w:t>(212) 664-4444</w:t>
            </w:r>
          </w:p>
        </w:tc>
        <w:tc>
          <w:tcPr>
            <w:tcW w:w="3480" w:type="dxa"/>
            <w:vAlign w:val="bottom"/>
          </w:tcPr>
          <w:p>
            <w:pPr>
              <w:spacing w:after="0"/>
              <w:rPr>
                <w:sz w:val="20"/>
                <w:szCs w:val="20"/>
                <w:color w:val="auto"/>
              </w:rPr>
            </w:pPr>
          </w:p>
        </w:tc>
      </w:tr>
    </w:tbl>
    <w:p>
      <w:pPr>
        <w:spacing w:after="0" w:line="198" w:lineRule="exact"/>
        <w:rPr>
          <w:sz w:val="24"/>
          <w:szCs w:val="24"/>
          <w:color w:val="auto"/>
        </w:rPr>
      </w:pPr>
    </w:p>
    <w:p>
      <w:pPr>
        <w:jc w:val="both"/>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624" w:right="239" w:bottom="144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624"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NBCUniveral Media, LLC</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624" w:right="239" w:bottom="1440" w:gutter="0" w:footer="0" w:header="0"/>
          <w:type w:val="continuous"/>
        </w:sectPr>
      </w:pPr>
    </w:p>
    <w:p>
      <w:pPr>
        <w:spacing w:after="0" w:line="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8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NBCUniveral Media, LLC</w:t>
            </w:r>
          </w:p>
        </w:tc>
        <w:tc>
          <w:tcPr>
            <w:tcW w:w="8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w:t>
            </w:r>
          </w:p>
        </w:tc>
      </w:tr>
      <w:tr>
        <w:trPr>
          <w:trHeight w:val="237"/>
        </w:trPr>
        <w:tc>
          <w:tcPr>
            <w:tcW w:w="27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spacing w:after="0"/>
              <w:rPr>
                <w:sz w:val="20"/>
                <w:szCs w:val="20"/>
                <w:color w:val="auto"/>
              </w:rPr>
            </w:pPr>
          </w:p>
        </w:tc>
      </w:tr>
      <w:tr>
        <w:trPr>
          <w:trHeight w:val="68"/>
        </w:trPr>
        <w:tc>
          <w:tcPr>
            <w:tcW w:w="2700" w:type="dxa"/>
            <w:vAlign w:val="bottom"/>
            <w:shd w:val="clear" w:color="auto" w:fill="000000"/>
          </w:tcPr>
          <w:p>
            <w:pPr>
              <w:spacing w:after="0"/>
              <w:rPr>
                <w:sz w:val="5"/>
                <w:szCs w:val="5"/>
                <w:color w:val="auto"/>
              </w:rPr>
            </w:pPr>
          </w:p>
        </w:tc>
        <w:tc>
          <w:tcPr>
            <w:tcW w:w="8720" w:type="dxa"/>
            <w:vAlign w:val="bottom"/>
            <w:shd w:val="clear" w:color="auto" w:fill="000000"/>
          </w:tcPr>
          <w:p>
            <w:pPr>
              <w:spacing w:after="0"/>
              <w:rPr>
                <w:sz w:val="5"/>
                <w:szCs w:val="5"/>
                <w:color w:val="auto"/>
              </w:rPr>
            </w:pPr>
          </w:p>
        </w:tc>
      </w:tr>
      <w:tr>
        <w:trPr>
          <w:trHeight w:val="419"/>
        </w:trPr>
        <w:tc>
          <w:tcPr>
            <w:tcW w:w="27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24" w:right="239" w:bottom="1440" w:gutter="0" w:footer="0" w:header="0"/>
          <w:type w:val="continuous"/>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On October 19, 2017, Comcast Corporation (“Comcast”) and NBCUniversal Media, LLC (“NBCUniversal”) consummated its private offers to exchange (the “Exchange Offer”) new series of Comcast senior notes for Comcast’s outstanding 6.950% Notes due 2037, 6.550% Notes due 2039, 6.400% Notes due March 1, 2040, 6.450% Notes due 2037, 6.400% Notes due 2038, 6.500% Notes due 2035 and 5.650% Notes due 2035, and NBCUniversal’s outstanding</w:t>
      </w:r>
    </w:p>
    <w:p>
      <w:pPr>
        <w:spacing w:after="0" w:line="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6.400% Notes due April 30, 2040 and 5.950% Notes due 2041. In connection with the settlement of the Exchange Offer, Comcast issued (i) $2,000,000,000 aggregate principal amount of its 3.969% Notes due 2047, (ii) $1,999,999,000 aggregate principal amount of its 3.999% Notes due 2049 and (iii) $1,499,967,000 aggregate principal amount of its 4.049% Notes due 2052 (collectively, the “New Notes”).</w:t>
      </w:r>
    </w:p>
    <w:p>
      <w:pPr>
        <w:spacing w:after="0" w:line="18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New Notes were issued pursuant to an Indenture dated as of September 18, 2013 (the “Base Indenture”) among Comcast, the guarantors named therein and The Bank of New York Mellon, as trustee, as supplemented by the First Supplemental Indenture dated as of November 17, 2015 (the “First Supplemental Indenture”) among Comcast, the guarantors named therein and the Trustee, and an officers’ certificate issued pursuant thereto. The New Notes are guaranteed on an unsecured and unsubordinated basis by Comcast Cable Communications, LLC and NBCUniversal (the “Guarantors”).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material terms and conditions of the New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Comcast’s issuance of the New Notes, Comcast and the Guarantors entered into a registration rights agreement (the “Registration Rights Agreement”) with the dealer managers for the Exchange Offer. Under the Registration Rights Agreement, the Company and the Guarantors agreed, among other things, to use commercially reasonable efforts to file a registration statement with the Securities and Exchange Commission with respect to a registered offer to exchange the New Notes for a series of exchange notes with terms substantially identical in all material respects to the New Notes, except that the exchange notes will not contain transfer restrictions and will not provide for any increase in annual interest rate.</w:t>
      </w:r>
    </w:p>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0"/>
                <w:szCs w:val="20"/>
                <w:color w:val="auto"/>
              </w:rPr>
            </w:pPr>
          </w:p>
        </w:tc>
        <w:tc>
          <w:tcPr>
            <w:tcW w:w="10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4"/>
                <w:szCs w:val="14"/>
                <w:color w:val="auto"/>
              </w:rPr>
            </w:pPr>
          </w:p>
        </w:tc>
        <w:tc>
          <w:tcPr>
            <w:tcW w:w="10260" w:type="dxa"/>
            <w:vAlign w:val="bottom"/>
            <w:gridSpan w:val="3"/>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Form of Officers’ Certificate setting forth the terms of the New Notes.</w:t>
              </w:r>
            </w:hyperlink>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17"/>
                <w:szCs w:val="17"/>
                <w:color w:val="auto"/>
              </w:rPr>
            </w:pPr>
          </w:p>
        </w:tc>
        <w:tc>
          <w:tcPr>
            <w:tcW w:w="50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Registration Rights Agreement, dated as of October 19, 2017</w:t>
              </w:r>
            </w:hyperlink>
          </w:p>
        </w:tc>
        <w:tc>
          <w:tcPr>
            <w:tcW w:w="5200" w:type="dxa"/>
            <w:vAlign w:val="bottom"/>
          </w:tcPr>
          <w:p>
            <w:pPr>
              <w:spacing w:after="0"/>
              <w:rPr>
                <w:sz w:val="17"/>
                <w:szCs w:val="17"/>
                <w:color w:val="auto"/>
              </w:rPr>
            </w:pPr>
          </w:p>
        </w:tc>
      </w:tr>
      <w:tr>
        <w:trPr>
          <w:trHeight w:val="655"/>
        </w:trPr>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2017</w:t>
            </w:r>
          </w:p>
        </w:tc>
        <w:tc>
          <w:tcPr>
            <w:tcW w:w="76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Arthur R. Block</w:t>
            </w:r>
          </w:p>
        </w:tc>
      </w:tr>
      <w:tr>
        <w:trPr>
          <w:trHeight w:val="191"/>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Arthur R. Block</w:t>
            </w:r>
          </w:p>
        </w:tc>
      </w:tr>
      <w:tr>
        <w:trPr>
          <w:trHeight w:val="234"/>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NBCUNIVERSAL MEDIA, LLC</w:t>
            </w:r>
          </w:p>
        </w:tc>
      </w:tr>
      <w:tr>
        <w:trPr>
          <w:trHeight w:val="6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2017</w:t>
            </w:r>
          </w:p>
        </w:tc>
        <w:tc>
          <w:tcPr>
            <w:tcW w:w="76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Arthur R. Block</w:t>
            </w:r>
          </w:p>
        </w:tc>
      </w:tr>
      <w:tr>
        <w:trPr>
          <w:trHeight w:val="191"/>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Arthur R. Block</w:t>
            </w:r>
          </w:p>
        </w:tc>
      </w:tr>
      <w:tr>
        <w:trPr>
          <w:trHeight w:val="234"/>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905"/>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OFFICERS'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19, 2017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2.03 of the Indenture dated as of September 18, 2013,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guarantors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named therein and the Trustee, and guaranteed on an unsecured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unsubordinated basis by Comcast Cable Communications, LLC and NBCUniversal Media, LLC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undersigned officers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 hereby certify, in connection with the issuance of the Company’s $2,000,000,000 aggregate principal amount of 3.969% Notes Due 2047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2047 Notes</w:t>
      </w:r>
      <w:r>
        <w:rPr>
          <w:rFonts w:ascii="Times New Roman" w:cs="Times New Roman" w:eastAsia="Times New Roman" w:hAnsi="Times New Roman"/>
          <w:sz w:val="18"/>
          <w:szCs w:val="18"/>
          <w:color w:val="auto"/>
        </w:rPr>
        <w:t>”), $1,999,999,000 aggregate principal amount of 3.999% Notes Due 2049 (the “</w:t>
      </w:r>
      <w:r>
        <w:rPr>
          <w:rFonts w:ascii="Times New Roman" w:cs="Times New Roman" w:eastAsia="Times New Roman" w:hAnsi="Times New Roman"/>
          <w:sz w:val="18"/>
          <w:szCs w:val="18"/>
          <w:b w:val="1"/>
          <w:bCs w:val="1"/>
          <w:color w:val="auto"/>
        </w:rPr>
        <w:t>2049 Notes</w:t>
      </w:r>
      <w:r>
        <w:rPr>
          <w:rFonts w:ascii="Times New Roman" w:cs="Times New Roman" w:eastAsia="Times New Roman" w:hAnsi="Times New Roman"/>
          <w:sz w:val="18"/>
          <w:szCs w:val="18"/>
          <w:color w:val="auto"/>
        </w:rPr>
        <w:t>”) and $1,499,967,000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4.049% Notes Due 2052 (the “</w:t>
      </w:r>
      <w:r>
        <w:rPr>
          <w:rFonts w:ascii="Times New Roman" w:cs="Times New Roman" w:eastAsia="Times New Roman" w:hAnsi="Times New Roman"/>
          <w:sz w:val="18"/>
          <w:szCs w:val="18"/>
          <w:b w:val="1"/>
          <w:bCs w:val="1"/>
          <w:color w:val="auto"/>
        </w:rPr>
        <w:t>2052 Notes</w:t>
      </w:r>
      <w:r>
        <w:rPr>
          <w:rFonts w:ascii="Times New Roman" w:cs="Times New Roman" w:eastAsia="Times New Roman" w:hAnsi="Times New Roman"/>
          <w:sz w:val="18"/>
          <w:szCs w:val="18"/>
          <w:color w:val="auto"/>
        </w:rPr>
        <w:t>,” and together with the 2047 and the 2049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u w:val="single" w:color="auto"/>
                <w:color w:val="auto"/>
              </w:rPr>
              <w:t>969%</w:t>
            </w:r>
            <w:r>
              <w:rPr>
                <w:rFonts w:ascii="Times New Roman" w:cs="Times New Roman" w:eastAsia="Times New Roman" w:hAnsi="Times New Roman"/>
                <w:sz w:val="18"/>
                <w:szCs w:val="18"/>
                <w:b w:val="1"/>
                <w:bCs w:val="1"/>
                <w:color w:val="auto"/>
              </w:rPr>
              <w:t xml:space="preserve"> Notes Due 2047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10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40" w:type="dxa"/>
            <w:vAlign w:val="bottom"/>
            <w:vMerge w:val="continue"/>
          </w:tcPr>
          <w:p>
            <w:pPr>
              <w:spacing w:after="0"/>
              <w:rPr>
                <w:sz w:val="24"/>
                <w:szCs w:val="24"/>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3.969% Notes Due 2047</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2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$2,000,000,000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November 1, 2047</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3.969%</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Company may at its option redeem the 2047 Notes in whole or in part, at any time or from</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time to time prior to their maturity, on at least 15 days, but not more than 60 days, prior notice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transmitted to the registered address of each holder of the 2047 Notes, at the “Redemption</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Price.” Prior to May 1, 2047 (the “2047 Par Call Date”), the Redemption Price is the greater of</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(i) 100% of the principal amount of the 2047 Notes, and (ii) the sum of the present values of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principal amount of such notes and the scheduled payments of interest thereon (exclusive of</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interest accrued to the date of redemption) from the redemption date to the 2047 Par Call Date,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 each case discounted to the redemption date on a semiannual basis (assuming a 360-day year</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(as defined in the 2047 Notes)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ind w:left="4460" w:right="260"/>
        <w:spacing w:after="0" w:line="258" w:lineRule="auto"/>
        <w:rPr>
          <w:sz w:val="20"/>
          <w:szCs w:val="20"/>
          <w:color w:val="auto"/>
        </w:rPr>
      </w:pPr>
      <w:r>
        <w:rPr>
          <w:rFonts w:ascii="Times New Roman" w:cs="Times New Roman" w:eastAsia="Times New Roman" w:hAnsi="Times New Roman"/>
          <w:sz w:val="18"/>
          <w:szCs w:val="18"/>
          <w:color w:val="auto"/>
        </w:rPr>
        <w:t>plus 20 basis points. On and after the 2047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Offering Memorandum dated October 3, 2017.</w:t>
      </w:r>
    </w:p>
    <w:p>
      <w:pPr>
        <w:sectPr>
          <w:pgSz w:w="11900" w:h="16838" w:orient="portrait"/>
          <w:cols w:equalWidth="0" w:num="1">
            <w:col w:w="11420"/>
          </w:cols>
          <w:pgMar w:left="240" w:top="472" w:right="2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Holders of the Notes shall have the rights set forth in the registration rights agreement, dated October 19, 2017, among the Company, the Guarantors and the joint-lead dealer managers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including the right to receive additional interest as a result of a registration default as provided therein.</w:t>
      </w:r>
    </w:p>
    <w:p>
      <w:pPr>
        <w:spacing w:after="0" w:line="180" w:lineRule="exact"/>
        <w:rPr>
          <w:sz w:val="20"/>
          <w:szCs w:val="20"/>
          <w:color w:val="auto"/>
        </w:rPr>
      </w:pPr>
    </w:p>
    <w:p>
      <w:pPr>
        <w:sectPr>
          <w:pgSz w:w="11900" w:h="16838" w:orient="portrait"/>
          <w:cols w:equalWidth="0" w:num="2">
            <w:col w:w="3740" w:space="720"/>
            <w:col w:w="6960"/>
          </w:cols>
          <w:pgMar w:left="240" w:top="472" w:right="239" w:bottom="1440" w:gutter="0" w:footer="0" w:header="0"/>
          <w:type w:val="continuous"/>
        </w:sectPr>
      </w:pPr>
    </w:p>
    <w:p>
      <w:pPr>
        <w:ind w:left="4460" w:right="20"/>
        <w:spacing w:after="0" w:line="256" w:lineRule="auto"/>
        <w:rPr>
          <w:sz w:val="20"/>
          <w:szCs w:val="20"/>
          <w:color w:val="auto"/>
        </w:rPr>
      </w:pPr>
      <w:r>
        <w:rPr>
          <w:rFonts w:ascii="Times New Roman" w:cs="Times New Roman" w:eastAsia="Times New Roman" w:hAnsi="Times New Roman"/>
          <w:sz w:val="18"/>
          <w:szCs w:val="18"/>
          <w:color w:val="auto"/>
        </w:rPr>
        <w:t>Upon the close of a Registered Exchange Offer (as defined in the Registration Rights Agreement), the Company shall (i) accept for exchange all the Notes validly tendered and not withdrawn pursuant to the Registered Exchange Offer; (ii) deliver to the Trustee for cancellation all the Notes so accepted for exchange; and (iii) cause the Trustee to authenticate and deliver to each Notes holder Exchange Securities (as defined in the Registration Rights Agreement) equal in principal amount to the Notes of such holder so accepted for exchange.</w:t>
      </w:r>
    </w:p>
    <w:p>
      <w:pPr>
        <w:sectPr>
          <w:pgSz w:w="11900" w:h="16838" w:orient="portrait"/>
          <w:cols w:equalWidth="0" w:num="1">
            <w:col w:w="11420"/>
          </w:cols>
          <w:pgMar w:left="240" w:top="472"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2047 Notes need not be issued at the same time and the series may be reopened for issuance of an unlimited principal amount of additional 2047 Notes under this series. Additional 2047 Notes of this series may be consolidated with, and form a single series with, 2047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2047 Notes are not fungible with the 2047 Notes then outstanding for U.S. federal income tax purposes, such additional 2047 Notes will have one or more separate CUSIP numbers.</w:t>
      </w:r>
    </w:p>
    <w:p>
      <w:pPr>
        <w:spacing w:after="0" w:line="187" w:lineRule="exact"/>
        <w:rPr>
          <w:sz w:val="20"/>
          <w:szCs w:val="20"/>
          <w:color w:val="auto"/>
        </w:rPr>
      </w:pPr>
    </w:p>
    <w:p>
      <w:pPr>
        <w:sectPr>
          <w:pgSz w:w="11900" w:h="16838" w:orient="portrait"/>
          <w:cols w:equalWidth="0" w:num="2">
            <w:col w:w="3740" w:space="720"/>
            <w:col w:w="6960"/>
          </w:cols>
          <w:pgMar w:left="240" w:top="4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3740" w:space="720"/>
            <w:col w:w="6960"/>
          </w:cols>
          <w:pgMar w:left="240" w:top="472"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Sinking Fund: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2">
            <w:col w:w="3740" w:space="720"/>
            <w:col w:w="6960"/>
          </w:cols>
          <w:pgMar w:left="240" w:top="47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The terms of the 2047 Notes shall include such other terms as are set forth in the Form of Note</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7640" w:type="dxa"/>
            <w:vAlign w:val="bottom"/>
            <w:gridSpan w:val="5"/>
          </w:tcPr>
          <w:p>
            <w:pPr>
              <w:ind w:left="720"/>
              <w:spacing w:after="0" w:line="198" w:lineRule="exact"/>
              <w:rPr>
                <w:sz w:val="20"/>
                <w:szCs w:val="20"/>
                <w:color w:val="auto"/>
              </w:rPr>
            </w:pPr>
            <w:r>
              <w:rPr>
                <w:rFonts w:ascii="Times New Roman" w:cs="Times New Roman" w:eastAsia="Times New Roman" w:hAnsi="Times New Roman"/>
                <w:sz w:val="18"/>
                <w:szCs w:val="18"/>
                <w:color w:val="auto"/>
              </w:rPr>
              <w:t xml:space="preserve">Due 2047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u w:val="single" w:color="auto"/>
                <w:color w:val="auto"/>
              </w:rPr>
              <w:t>999%</w:t>
            </w:r>
            <w:r>
              <w:rPr>
                <w:rFonts w:ascii="Times New Roman" w:cs="Times New Roman" w:eastAsia="Times New Roman" w:hAnsi="Times New Roman"/>
                <w:sz w:val="18"/>
                <w:szCs w:val="18"/>
                <w:b w:val="1"/>
                <w:bCs w:val="1"/>
                <w:color w:val="auto"/>
              </w:rPr>
              <w:t xml:space="preserve"> Notes Due 2049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106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40" w:type="dxa"/>
            <w:vAlign w:val="bottom"/>
            <w:vMerge w:val="continue"/>
          </w:tcPr>
          <w:p>
            <w:pPr>
              <w:spacing w:after="0"/>
              <w:rPr>
                <w:sz w:val="24"/>
                <w:szCs w:val="24"/>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3.999% Notes Due 2049</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$1,999,999,000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November 1, 2049</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The Company may at its option redeem the 2049 Notes in whole or in part, at any time or from</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time to time prior to their maturity, on at least 15 days, but not more than 60 days, prior notice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transmitted to the registered address of each holder of the 2049 Notes, at the “Redemption</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Price.” Prior to May 1, 2049 (the “2049 Par Call Date”), the Redemption Price is the greater of</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w w:val="99"/>
              </w:rPr>
              <w:t>(i) 100% of the principal amount of the 2049 Notes, and (ii) the sum of the present values of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principal amount of such notes and the scheduled payments of interest thereon (exclusive of</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interest accrued to the date of redemption) from the redemption date to the 2049 Par Call Date,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in each case discounted to the redemption date on a semiannual basis (assuming a 360-day year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w w:val="99"/>
              </w:rPr>
              <w:t>consisting of twelve 30-day months) at the Treasury Rate (as defined in the 2049 Notes) plus 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basis points. On and after the 2049 Par Call Date, the Redemption Price will equal 100% of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principal amount of such notes. In each case described in this paragraph, the Redemption Price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will include accrued and unpaid interest thereon to the date of redemption, and in each case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described in this paragraph, subject to the further description in the Offering Memorandum</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dated October 3, 2017.</w:t>
            </w: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Holders of the Notes shall have the rights set forth in the registration rights agreement, dated</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October 19, 2017, among the Company, the Guarantors and the joint-lead dealer managers (the</w:t>
            </w: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including the right to receive additional interest as a result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of a registration</w:t>
            </w:r>
          </w:p>
        </w:tc>
        <w:tc>
          <w:tcPr>
            <w:tcW w:w="0" w:type="dxa"/>
            <w:vAlign w:val="bottom"/>
          </w:tcPr>
          <w:p>
            <w:pPr>
              <w:spacing w:after="0"/>
              <w:rPr>
                <w:sz w:val="1"/>
                <w:szCs w:val="1"/>
                <w:color w:val="auto"/>
              </w:rPr>
            </w:pPr>
          </w:p>
        </w:tc>
      </w:tr>
    </w:tbl>
    <w:p>
      <w:pPr>
        <w:sectPr>
          <w:pgSz w:w="11900" w:h="16838" w:orient="portrait"/>
          <w:cols w:equalWidth="0" w:num="1">
            <w:col w:w="11380"/>
          </w:cols>
          <w:pgMar w:left="240" w:top="686" w:right="27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default as provided therein.</w:t>
            </w: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Upon the close of a Registered Exchange Offer (as defined in the Registration Rights</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Agreement), the Company shall (i) accept for exchange all the Notes validly tendered and not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w w:val="99"/>
              </w:rPr>
              <w:t>withdrawn pursuant to the Registered Exchange Offer; (ii) deliver to the Trustee for cancellation</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all the Notes so accepted for exchange; and (iii) cause the Trustee to authenticate and deliver to</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each Notes holder Exchange Securities (as defined in the Registration Rights Agreement) equal</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in principal amount to the Notes of such holder so accepted for exchange.</w:t>
            </w: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w w:val="99"/>
              </w:rPr>
              <w:t>The 2049 Notes need not be issued at the same time and the series may be reopened for issuance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of an unlimited principal amount of additional 2049 Notes under this series. Additional 2049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Notes of this series may be consolidated with, and form a single series with, 2049 Notes then</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outstanding, including for purposes of determining whether the required percentage of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holders of record has given approval or consent to an amendment or waiver or joined in</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directing the Trustee to take certain actions on behalf of all holders; provided that if such</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additional 2049 Notes are not fungible with the 2049 Notes then outstanding for U.S. federal</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income tax purposes, such additional 2049 Notes will have one or more separate CUSIP</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numbers.</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The terms of the 2049 Notes shall include such other terms as are set forth in the Form of Note</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7680" w:type="dxa"/>
            <w:vAlign w:val="bottom"/>
            <w:gridSpan w:val="5"/>
          </w:tcPr>
          <w:p>
            <w:pPr>
              <w:ind w:left="720"/>
              <w:spacing w:after="0" w:line="198" w:lineRule="exact"/>
              <w:rPr>
                <w:sz w:val="20"/>
                <w:szCs w:val="20"/>
                <w:color w:val="auto"/>
              </w:rPr>
            </w:pPr>
            <w:r>
              <w:rPr>
                <w:rFonts w:ascii="Times New Roman" w:cs="Times New Roman" w:eastAsia="Times New Roman" w:hAnsi="Times New Roman"/>
                <w:sz w:val="18"/>
                <w:szCs w:val="18"/>
                <w:color w:val="auto"/>
              </w:rPr>
              <w:t xml:space="preserve">Due 2049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b w:val="1"/>
                <w:bCs w:val="1"/>
                <w:u w:val="single" w:color="auto"/>
                <w:color w:val="auto"/>
              </w:rPr>
              <w:t>049%</w:t>
            </w:r>
            <w:r>
              <w:rPr>
                <w:rFonts w:ascii="Times New Roman" w:cs="Times New Roman" w:eastAsia="Times New Roman" w:hAnsi="Times New Roman"/>
                <w:sz w:val="18"/>
                <w:szCs w:val="18"/>
                <w:b w:val="1"/>
                <w:bCs w:val="1"/>
                <w:color w:val="auto"/>
              </w:rPr>
              <w:t xml:space="preserve"> Notes Due 2052</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106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40" w:type="dxa"/>
            <w:vAlign w:val="bottom"/>
            <w:vMerge w:val="continue"/>
          </w:tcPr>
          <w:p>
            <w:pPr>
              <w:spacing w:after="0"/>
              <w:rPr>
                <w:sz w:val="24"/>
                <w:szCs w:val="24"/>
                <w:color w:val="auto"/>
              </w:rPr>
            </w:pP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4.049% Notes Due 2052</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$1,499,967,000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November 1, 2052</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may at its option redeem the 2052 Notes in whole or in part, at any time or from time to time prior to their maturity, on at least 15 days, but not more than 60 days, prior notice transmitted to the registered address of each holder of the 2052 Notes, at the “Redemption Price.” Prior to May 1, 2052 (the “2052 Par Call Date”), the Redemption Price is the greater of (i) 100% of the principal amount of the 2052 Notes, and (ii) the sum of the present values of the principal amount of such notes and the scheduled payments of interest thereon (exclusive of interest accrued to the date of redemption) from the redemption date to the 2052 Par Call Date, in each case discounted to the redemption date on a semiannual basis (assuming a 360-day year consisting of twelve 30-day months) at the Treasury Rate (as defined in the 2052 Notes) plus 25 basis points. On and after the 2052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Offering Memorandum dated October 3, 2017.</w:t>
      </w:r>
    </w:p>
    <w:p>
      <w:pPr>
        <w:spacing w:after="0" w:line="197" w:lineRule="exact"/>
        <w:rPr>
          <w:sz w:val="20"/>
          <w:szCs w:val="20"/>
          <w:color w:val="auto"/>
        </w:rPr>
      </w:pPr>
    </w:p>
    <w:p>
      <w:pPr>
        <w:sectPr>
          <w:pgSz w:w="11900" w:h="16838" w:orient="portrait"/>
          <w:cols w:equalWidth="0" w:num="2">
            <w:col w:w="3740" w:space="720"/>
            <w:col w:w="6960"/>
          </w:cols>
          <w:pgMar w:left="240" w:top="686" w:right="2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Holders of the Notes shall have the rights set forth in the registration rights agreement, dated October 19, 2017, among the Company, the Guarantors and the joint-lead dealer managers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including the right to receive additional interest as a result of a registration default as provided therein.</w:t>
      </w:r>
    </w:p>
    <w:p>
      <w:pPr>
        <w:spacing w:after="0" w:line="180" w:lineRule="exact"/>
        <w:rPr>
          <w:sz w:val="20"/>
          <w:szCs w:val="20"/>
          <w:color w:val="auto"/>
        </w:rPr>
      </w:pPr>
    </w:p>
    <w:p>
      <w:pPr>
        <w:sectPr>
          <w:pgSz w:w="11900" w:h="16838" w:orient="portrait"/>
          <w:cols w:equalWidth="0" w:num="2">
            <w:col w:w="3740" w:space="720"/>
            <w:col w:w="6960"/>
          </w:cols>
          <w:pgMar w:left="240" w:top="686" w:right="239" w:bottom="1440" w:gutter="0" w:footer="0" w:header="0"/>
          <w:type w:val="continuous"/>
        </w:sectPr>
      </w:pPr>
    </w:p>
    <w:p>
      <w:pPr>
        <w:ind w:left="4460" w:right="20"/>
        <w:spacing w:after="0" w:line="256" w:lineRule="auto"/>
        <w:rPr>
          <w:sz w:val="20"/>
          <w:szCs w:val="20"/>
          <w:color w:val="auto"/>
        </w:rPr>
      </w:pPr>
      <w:r>
        <w:rPr>
          <w:rFonts w:ascii="Times New Roman" w:cs="Times New Roman" w:eastAsia="Times New Roman" w:hAnsi="Times New Roman"/>
          <w:sz w:val="18"/>
          <w:szCs w:val="18"/>
          <w:color w:val="auto"/>
        </w:rPr>
        <w:t>Upon the close of a Registered Exchange Offer (as defined in the Registration Rights Agreement), the Company (i) accept for exchange all the Notes validly tendered and not withdrawn pursuant to the Registered Exchange Offer; (ii) deliver to the Trustee for cancellation all the Notes so accepted for exchange; and (iii) cause the Trustee to authenticate and deliver to each Notes holder Exchange Securities (as defined in the Registration Rights Agreement) equal in principal amount to the Notes of such holder so accepted for exchange.</w:t>
      </w:r>
    </w:p>
    <w:p>
      <w:pPr>
        <w:sectPr>
          <w:pgSz w:w="11900" w:h="16838" w:orient="portrait"/>
          <w:cols w:equalWidth="0" w:num="1">
            <w:col w:w="11420"/>
          </w:cols>
          <w:pgMar w:left="240" w:top="686"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2052 Notes need not be issued at the same time and the series may be reopened for issuance of an</w:t>
      </w:r>
    </w:p>
    <w:p>
      <w:pPr>
        <w:sectPr>
          <w:pgSz w:w="11900" w:h="16838" w:orient="portrait"/>
          <w:cols w:equalWidth="0" w:num="2">
            <w:col w:w="3740" w:space="720"/>
            <w:col w:w="6960"/>
          </w:cols>
          <w:pgMar w:left="240" w:top="686"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unlimited principal amount of additional 2052 Notes under this series. Additional 2052 Notes</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of this series may be consolidated with, and form a single series with, 2052 Notes then</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outstanding, including for purposes of determining whether the required percentage of the</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holders of record has given approval or consent to an amendment or waiver or joined in</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directing the Trustee to take certain actions on behalf of all holders; provided that if such</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additional 2052 Notes are not fungible with the 2052 Notes then outstanding for U.S. federal</w:t>
            </w:r>
          </w:p>
        </w:tc>
      </w:tr>
      <w:tr>
        <w:trPr>
          <w:trHeight w:val="216"/>
        </w:trPr>
        <w:tc>
          <w:tcPr>
            <w:tcW w:w="2780" w:type="dxa"/>
            <w:vAlign w:val="bottom"/>
          </w:tcPr>
          <w:p>
            <w:pPr>
              <w:spacing w:after="0"/>
              <w:rPr>
                <w:sz w:val="18"/>
                <w:szCs w:val="18"/>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income tax purposes, such additional 2052 Notes will have one or more separate CUSIP</w:t>
            </w:r>
          </w:p>
        </w:tc>
      </w:tr>
      <w:tr>
        <w:trPr>
          <w:trHeight w:val="234"/>
        </w:trPr>
        <w:tc>
          <w:tcPr>
            <w:tcW w:w="2780" w:type="dxa"/>
            <w:vAlign w:val="bottom"/>
          </w:tcPr>
          <w:p>
            <w:pPr>
              <w:spacing w:after="0"/>
              <w:rPr>
                <w:sz w:val="20"/>
                <w:szCs w:val="20"/>
                <w:color w:val="auto"/>
              </w:rPr>
            </w:pP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numbers.</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None</w:t>
            </w:r>
          </w:p>
        </w:tc>
      </w:tr>
      <w:tr>
        <w:trPr>
          <w:trHeight w:val="410"/>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9"/>
              </w:rPr>
              <w:t>The terms of the 2052 Notes shall include such other terms as are set forth in the Form of Note</w:t>
            </w:r>
          </w:p>
        </w:tc>
      </w:tr>
      <w:tr>
        <w:trPr>
          <w:trHeight w:val="198"/>
        </w:trPr>
        <w:tc>
          <w:tcPr>
            <w:tcW w:w="2780" w:type="dxa"/>
            <w:vAlign w:val="bottom"/>
          </w:tcPr>
          <w:p>
            <w:pPr>
              <w:spacing w:after="0"/>
              <w:rPr>
                <w:sz w:val="17"/>
                <w:szCs w:val="17"/>
                <w:color w:val="auto"/>
              </w:rPr>
            </w:pPr>
          </w:p>
        </w:tc>
        <w:tc>
          <w:tcPr>
            <w:tcW w:w="8500" w:type="dxa"/>
            <w:vAlign w:val="bottom"/>
            <w:gridSpan w:val="3"/>
          </w:tcPr>
          <w:p>
            <w:pPr>
              <w:ind w:left="1680"/>
              <w:spacing w:after="0" w:line="198" w:lineRule="exact"/>
              <w:rPr>
                <w:sz w:val="20"/>
                <w:szCs w:val="20"/>
                <w:color w:val="auto"/>
              </w:rPr>
            </w:pPr>
            <w:r>
              <w:rPr>
                <w:rFonts w:ascii="Times New Roman" w:cs="Times New Roman" w:eastAsia="Times New Roman" w:hAnsi="Times New Roman"/>
                <w:sz w:val="18"/>
                <w:szCs w:val="18"/>
                <w:color w:val="auto"/>
              </w:rPr>
              <w:t xml:space="preserve">Due 2052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tc>
      </w:tr>
      <w:tr>
        <w:trPr>
          <w:trHeight w:val="20"/>
        </w:trPr>
        <w:tc>
          <w:tcPr>
            <w:tcW w:w="2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precedent of such Indenture relating to the issuance and authentication of the Notes have been complied with. In such officer’s opinion, such covenants and conditions precedent have been complied with.</w:t>
      </w:r>
    </w:p>
    <w:p>
      <w:pPr>
        <w:sectPr>
          <w:pgSz w:w="11900" w:h="16838" w:orient="portrait"/>
          <w:cols w:equalWidth="0" w:num="1">
            <w:col w:w="11280"/>
          </w:cols>
          <w:pgMar w:left="240" w:top="472"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-130810</wp:posOffset>
            </wp:positionV>
            <wp:extent cx="31045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-130810</wp:posOffset>
            </wp:positionV>
            <wp:extent cx="31045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10520"/>
          </w:cols>
          <w:pgMar w:left="900" w:top="702" w:right="4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NOTE DUE 2047]</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SECURITY (OR ITS PREDECESSOR) WAS ORIGINALLY ISSUED IN A TRANSACTION EXEMPT FROM REGISTRATION UNDER THE UNITED STATES SECURITIES ACT OF 1933, AS AMENDED (THE “SECURITIES ACT”),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HOLDER OF THIS SECURITY AGREES FOR THE BENEFIT OF COMCAST CORPORATION THAT (A) PRIOR TO THE DATE (THE “RESALE RESTRICTION TERMINATION DATE”)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 REGISTRATION</w:t>
      </w:r>
    </w:p>
    <w:p>
      <w:pPr>
        <w:sectPr>
          <w:pgSz w:w="11900" w:h="16838" w:orient="portrait"/>
          <w:cols w:equalWidth="0" w:num="1">
            <w:col w:w="11420"/>
          </w:cols>
          <w:pgMar w:left="240" w:top="468" w:right="239" w:bottom="1440" w:gutter="0" w:footer="0" w:header="0"/>
        </w:sectPr>
      </w:pPr>
    </w:p>
    <w:bookmarkStart w:id="11" w:name="page12"/>
    <w:bookmarkEnd w:id="11"/>
    <w:p>
      <w:pPr>
        <w:ind w:right="60"/>
        <w:spacing w:after="0" w:line="252" w:lineRule="auto"/>
        <w:rPr>
          <w:sz w:val="20"/>
          <w:szCs w:val="20"/>
          <w:color w:val="auto"/>
        </w:rPr>
      </w:pPr>
      <w:r>
        <w:rPr>
          <w:rFonts w:ascii="Times New Roman" w:cs="Times New Roman" w:eastAsia="Times New Roman" w:hAnsi="Times New Roman"/>
          <w:sz w:val="18"/>
          <w:szCs w:val="18"/>
          <w:color w:val="auto"/>
        </w:rPr>
        <w:t>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 (3) 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ectPr>
          <w:pgSz w:w="11900" w:h="16838" w:orient="portrait"/>
          <w:cols w:equalWidth="0" w:num="1">
            <w:col w:w="11400"/>
          </w:cols>
          <w:pgMar w:left="240" w:top="472" w:right="2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3.969% Note Due 2047</w:t>
      </w:r>
    </w:p>
    <w:p>
      <w:pPr>
        <w:sectPr>
          <w:pgSz w:w="11900" w:h="16838" w:orient="portrait"/>
          <w:cols w:equalWidth="0" w:num="1">
            <w:col w:w="11420"/>
          </w:cols>
          <w:pgMar w:left="240" w:top="468"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[A][R]-[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 ]</w:t>
      </w:r>
    </w:p>
    <w:p>
      <w:pPr>
        <w:spacing w:after="0" w:line="9"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9580" w:space="720"/>
            <w:col w:w="1120"/>
          </w:cols>
          <w:pgMar w:left="240" w:top="468" w:right="239" w:bottom="1440" w:gutter="0" w:footer="0" w:header="0"/>
          <w:type w:val="continuous"/>
        </w:sectPr>
      </w:pPr>
    </w:p>
    <w:p>
      <w:pPr>
        <w:spacing w:after="0" w:line="232"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Million Dollars) on November 1, 2047.</w:t>
      </w:r>
    </w:p>
    <w:p>
      <w:pPr>
        <w:sectPr>
          <w:pgSz w:w="11900" w:h="16838" w:orient="portrait"/>
          <w:cols w:equalWidth="0" w:num="1">
            <w:col w:w="11420"/>
          </w:cols>
          <w:pgMar w:left="240" w:top="468" w:right="23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1 and November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Record Dates: April 15 and October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420"/>
          </w:cols>
          <w:pgMar w:left="240" w:top="468" w:right="239" w:bottom="1440" w:gutter="0" w:footer="0" w:header="0"/>
          <w:type w:val="continuous"/>
        </w:sectPr>
      </w:pPr>
    </w:p>
    <w:bookmarkStart w:id="13" w:name="page14"/>
    <w:bookmarkEnd w:id="13"/>
    <w:p>
      <w:pPr>
        <w:ind w:left="660"/>
        <w:spacing w:after="0"/>
        <w:rPr>
          <w:sz w:val="20"/>
          <w:szCs w:val="20"/>
          <w:color w:val="auto"/>
        </w:rPr>
      </w:pPr>
      <w:r>
        <w:rPr>
          <w:rFonts w:ascii="Times New Roman" w:cs="Times New Roman" w:eastAsia="Times New Roman" w:hAnsi="Times New Roman"/>
          <w:sz w:val="17"/>
          <w:szCs w:val="17"/>
          <w:color w:val="auto"/>
        </w:rPr>
        <w:t>IN WITNESS WHEREOF, the Issuer has caused this Security to be signed manually or by facsimile by its duly authorized officer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9" w:lineRule="exact"/>
        <w:rPr>
          <w:sz w:val="20"/>
          <w:szCs w:val="20"/>
          <w:color w:val="auto"/>
        </w:rPr>
      </w:pPr>
    </w:p>
    <w:p>
      <w:pPr>
        <w:ind w:left="538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00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Arthur R. Block</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General</w:t>
            </w:r>
          </w:p>
        </w:tc>
      </w:tr>
      <w:tr>
        <w:trPr>
          <w:trHeight w:val="234"/>
        </w:trPr>
        <w:tc>
          <w:tcPr>
            <w:tcW w:w="66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Counsel and Secretary</w:t>
            </w:r>
          </w:p>
        </w:tc>
      </w:tr>
    </w:tbl>
    <w:p>
      <w:pPr>
        <w:sectPr>
          <w:pgSz w:w="11900" w:h="16838" w:orient="portrait"/>
          <w:cols w:equalWidth="0" w:num="1">
            <w:col w:w="11400"/>
          </w:cols>
          <w:pgMar w:left="240" w:top="472" w:right="25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19, 2017</w:t>
      </w:r>
    </w:p>
    <w:p>
      <w:pPr>
        <w:spacing w:after="0" w:line="200" w:lineRule="exact"/>
        <w:rPr>
          <w:sz w:val="20"/>
          <w:szCs w:val="20"/>
          <w:color w:val="auto"/>
        </w:rPr>
      </w:pPr>
    </w:p>
    <w:p>
      <w:pPr>
        <w:spacing w:after="0" w:line="2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219"/>
          </w:cols>
          <w:pgMar w:left="240" w:top="472"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3.969% Note Due 2047</w:t>
      </w:r>
    </w:p>
    <w:p>
      <w:pPr>
        <w:spacing w:after="0" w:line="225" w:lineRule="exact"/>
        <w:rPr>
          <w:sz w:val="20"/>
          <w:szCs w:val="20"/>
          <w:color w:val="auto"/>
        </w:rPr>
      </w:pPr>
    </w:p>
    <w:p>
      <w:pPr>
        <w:ind w:left="1300" w:hanging="449"/>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October 19, 2017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among the Company, the Guarantors and the joint-lead dealer managers party thereto. The Holders of this Security are entitled to the benefits of the Registration Rights Agreement.</w:t>
      </w:r>
    </w:p>
    <w:p>
      <w:pPr>
        <w:spacing w:after="0" w:line="180" w:lineRule="exact"/>
        <w:rPr>
          <w:sz w:val="20"/>
          <w:szCs w:val="20"/>
          <w:color w:val="auto"/>
        </w:rPr>
      </w:pPr>
    </w:p>
    <w:p>
      <w:pPr>
        <w:ind w:left="1300" w:hanging="449"/>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400"/>
          </w:cols>
          <w:pgMar w:left="240" w:top="472" w:right="259" w:bottom="1440" w:gutter="0" w:footer="0" w:header="0"/>
        </w:sectPr>
      </w:pPr>
    </w:p>
    <w:bookmarkStart w:id="16" w:name="page17"/>
    <w:bookmarkEnd w:id="16"/>
    <w:p>
      <w:pPr>
        <w:ind w:left="1300" w:hanging="449"/>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49"/>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amended by the First Supplemental Indenture dated as of November 17, 2015, by and among the Issuer, the guarantors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Securities include those stated in the Indenture and those made part of the Indenture by reference to the Trust Indenture Act of 1939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effect on the date on which the Indenture is qualified under the TIA. Notwithstanding anything to the contrary herein, the Securities are subject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and Holders of Securities are referred to the Indenture and the TIA for a statement of them. To the extent the terms of the Indenture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207" w:lineRule="exact"/>
        <w:rPr>
          <w:sz w:val="20"/>
          <w:szCs w:val="20"/>
          <w:color w:val="auto"/>
        </w:rPr>
      </w:pPr>
    </w:p>
    <w:p>
      <w:pPr>
        <w:ind w:left="1300" w:hanging="449"/>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1300" w:hanging="449"/>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4" w:lineRule="exact"/>
        <w:rPr>
          <w:sz w:val="20"/>
          <w:szCs w:val="20"/>
          <w:color w:val="auto"/>
        </w:rPr>
      </w:pPr>
    </w:p>
    <w:p>
      <w:pPr>
        <w:ind w:left="1300" w:hanging="449"/>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7" w:name="page18"/>
    <w:bookmarkEnd w:id="17"/>
    <w:p>
      <w:pPr>
        <w:ind w:left="1300" w:hanging="449"/>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Funds.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2" w:lineRule="exact"/>
        <w:rPr>
          <w:sz w:val="20"/>
          <w:szCs w:val="20"/>
          <w:color w:val="auto"/>
        </w:rPr>
      </w:pPr>
    </w:p>
    <w:p>
      <w:pPr>
        <w:ind w:left="1300" w:hanging="449"/>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1380" w:hanging="529"/>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380" w:hanging="529"/>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1400" w:hanging="549"/>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2"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(a) at any time prior to May 1, 2047 (the “Par Call Date”), the greater of (i) 100% of the principal amount of such Securities and (ii) the sum of the present values of the principal amount of such Securities and the scheduled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8" w:name="page19"/>
    <w:bookmarkEnd w:id="18"/>
    <w:p>
      <w:pPr>
        <w:ind w:right="80"/>
        <w:spacing w:after="0" w:line="261" w:lineRule="auto"/>
        <w:rPr>
          <w:sz w:val="20"/>
          <w:szCs w:val="20"/>
          <w:color w:val="auto"/>
        </w:rPr>
      </w:pPr>
      <w:r>
        <w:rPr>
          <w:rFonts w:ascii="Times New Roman" w:cs="Times New Roman" w:eastAsia="Times New Roman" w:hAnsi="Times New Roman"/>
          <w:sz w:val="18"/>
          <w:szCs w:val="18"/>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1" w:lineRule="exact"/>
        <w:rPr>
          <w:sz w:val="20"/>
          <w:szCs w:val="20"/>
          <w:color w:val="auto"/>
        </w:rPr>
      </w:pPr>
    </w:p>
    <w:p>
      <w:pPr>
        <w:jc w:val="both"/>
        <w:ind w:right="3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foregoing shall cease to be a primary United States government securities dealer in the United States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Issuer will substitute therefor another Primary Treasury Dealer.</w:t>
      </w:r>
    </w:p>
    <w:p>
      <w:pPr>
        <w:spacing w:after="0" w:line="177"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9" w:name="page20"/>
    <w:bookmarkEnd w:id="19"/>
    <w:p>
      <w:pPr>
        <w:ind w:right="60"/>
        <w:spacing w:after="0" w:line="261" w:lineRule="auto"/>
        <w:rPr>
          <w:sz w:val="20"/>
          <w:szCs w:val="20"/>
          <w:color w:val="auto"/>
        </w:rPr>
      </w:pPr>
      <w:r>
        <w:rPr>
          <w:rFonts w:ascii="Times New Roman" w:cs="Times New Roman" w:eastAsia="Times New Roman" w:hAnsi="Times New Roman"/>
          <w:sz w:val="18"/>
          <w:szCs w:val="18"/>
          <w:color w:val="auto"/>
        </w:rPr>
        <w:t>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0" w:lineRule="exact"/>
        <w:rPr>
          <w:sz w:val="20"/>
          <w:szCs w:val="20"/>
          <w:color w:val="auto"/>
        </w:rPr>
      </w:pPr>
    </w:p>
    <w:p>
      <w:pPr>
        <w:ind w:left="1400" w:hanging="549"/>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9" w:lineRule="exact"/>
        <w:rPr>
          <w:sz w:val="20"/>
          <w:szCs w:val="20"/>
          <w:color w:val="auto"/>
        </w:rPr>
      </w:pPr>
    </w:p>
    <w:p>
      <w:pPr>
        <w:ind w:left="1380" w:hanging="529"/>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Dealings with Issuer.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1400" w:hanging="549"/>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1380" w:hanging="529"/>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0" w:name="page21"/>
    <w:bookmarkEnd w:id="20"/>
    <w:p>
      <w:pPr>
        <w:ind w:left="1380" w:hanging="529"/>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1400" w:hanging="549"/>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1400" w:hanging="549"/>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appoint_________________________________________ agent to transfer this Security on the books of the Issuer. The agent may substitute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to act for him.</w:t>
      </w:r>
    </w:p>
    <w:p>
      <w:pPr>
        <w:sectPr>
          <w:pgSz w:w="11900" w:h="16838" w:orient="portrait"/>
          <w:cols w:equalWidth="0" w:num="1">
            <w:col w:w="11360"/>
          </w:cols>
          <w:pgMar w:left="240" w:top="688" w:right="2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exactly as name appears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side of this Security)</w:t>
      </w:r>
    </w:p>
    <w:p>
      <w:pPr>
        <w:spacing w:after="0" w:line="200" w:lineRule="exact"/>
        <w:rPr>
          <w:sz w:val="20"/>
          <w:szCs w:val="20"/>
          <w:color w:val="auto"/>
        </w:rPr>
      </w:pPr>
    </w:p>
    <w:p>
      <w:pPr>
        <w:sectPr>
          <w:pgSz w:w="11900" w:h="16838" w:orient="portrait"/>
          <w:cols w:equalWidth="0" w:num="3">
            <w:col w:w="4240" w:space="720"/>
            <w:col w:w="540" w:space="500"/>
            <w:col w:w="5360"/>
          </w:cols>
          <w:pgMar w:left="240" w:top="68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color w:val="auto"/>
        </w:rPr>
        <w:t>Signature Guarantee:</w:t>
        <w:tab/>
        <w:t>_________________________________________</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Participant in a recognized Signature Guarantee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Medallion Program (or other signature guarantor</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type w:val="continuous"/>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815-5595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 ]% Notes due [ ]</w:t>
      </w:r>
    </w:p>
    <w:p>
      <w:pPr>
        <w:spacing w:after="0" w:line="225"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right="80" w:firstLine="1305"/>
        <w:spacing w:after="0" w:line="255" w:lineRule="auto"/>
        <w:tabs>
          <w:tab w:leader="none" w:pos="17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89" w:lineRule="exact"/>
        <w:rPr>
          <w:rFonts w:ascii="Times New Roman" w:cs="Times New Roman" w:eastAsia="Times New Roman" w:hAnsi="Times New Roman"/>
          <w:sz w:val="18"/>
          <w:szCs w:val="18"/>
          <w:color w:val="auto"/>
        </w:rPr>
      </w:pPr>
    </w:p>
    <w:p>
      <w:pPr>
        <w:ind w:firstLine="1305"/>
        <w:spacing w:after="0" w:line="261" w:lineRule="auto"/>
        <w:tabs>
          <w:tab w:leader="none" w:pos="17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5620" w:right="1139" w:hanging="5612"/>
        <w:spacing w:after="0" w:line="762" w:lineRule="auto"/>
        <w:tabs>
          <w:tab w:leader="none" w:pos="13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ind w:left="3920" w:right="3919" w:hanging="3815"/>
        <w:spacing w:after="0" w:line="530" w:lineRule="auto"/>
        <w:tabs>
          <w:tab w:leader="none" w:pos="55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owns and proposes to transfer the following: [CHECK ONE ]</w:t>
      </w:r>
    </w:p>
    <w:p>
      <w:pPr>
        <w:spacing w:after="0" w:line="1" w:lineRule="exact"/>
        <w:rPr>
          <w:sz w:val="20"/>
          <w:szCs w:val="20"/>
          <w:color w:val="auto"/>
        </w:rPr>
      </w:pPr>
    </w:p>
    <w:p>
      <w:pPr>
        <w:ind w:left="760" w:hanging="655"/>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 or</w:t>
      </w:r>
    </w:p>
    <w:p>
      <w:pPr>
        <w:spacing w:after="0" w:line="225" w:lineRule="exact"/>
        <w:rPr>
          <w:sz w:val="20"/>
          <w:szCs w:val="20"/>
          <w:color w:val="auto"/>
        </w:rPr>
      </w:pPr>
    </w:p>
    <w:p>
      <w:pPr>
        <w:ind w:left="540" w:hanging="435"/>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w:t>
      </w:r>
    </w:p>
    <w:p>
      <w:pPr>
        <w:spacing w:after="0" w:line="225" w:lineRule="exact"/>
        <w:rPr>
          <w:sz w:val="20"/>
          <w:szCs w:val="20"/>
          <w:color w:val="auto"/>
        </w:rPr>
      </w:pPr>
    </w:p>
    <w:p>
      <w:pPr>
        <w:ind w:left="760" w:hanging="655"/>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26" w:name="page27"/>
    <w:bookmarkEnd w:id="26"/>
    <w:p>
      <w:pPr>
        <w:jc w:val="center"/>
        <w:ind w:right="8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increase</w:t>
            </w:r>
          </w:p>
        </w:tc>
        <w:tc>
          <w:tcPr>
            <w:tcW w:w="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of</w:t>
            </w:r>
          </w:p>
        </w:tc>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decrease</w:t>
            </w: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w:t>
            </w:r>
          </w:p>
        </w:tc>
        <w:tc>
          <w:tcPr>
            <w:tcW w:w="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 Global Security</w:t>
            </w:r>
          </w:p>
        </w:tc>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Principal Amount of this Global</w:t>
            </w: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 authorized signatory</w:t>
            </w:r>
          </w:p>
        </w:tc>
      </w:tr>
      <w:tr>
        <w:trPr>
          <w:trHeight w:val="234"/>
        </w:trPr>
        <w:tc>
          <w:tcPr>
            <w:tcW w:w="2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Date of Exchange</w:t>
            </w:r>
          </w:p>
        </w:tc>
        <w:tc>
          <w:tcPr>
            <w:tcW w:w="6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6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decrease or increase</w:t>
            </w:r>
          </w:p>
        </w:tc>
        <w:tc>
          <w:tcPr>
            <w:tcW w:w="6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4"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NOTE DUE 2049]</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SECURITY (OR ITS PREDECESSOR) WAS ORIGINALLY ISSUED IN A TRANSACTION EXEMPT FROM REGISTRATION UNDER THE UNITED STATES SECURITIES ACT OF 1933, AS AMENDED (THE “SECURITIES ACT”),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HOLDER OF THIS SECURITY AGREES FOR THE BENEFIT OF COMCAST CORPORATION THAT (A) PRIOR TO THE DATE (THE “RESALE RESTRICTION TERMINATION DATE”)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 REGISTRATION</w:t>
      </w:r>
    </w:p>
    <w:p>
      <w:pPr>
        <w:sectPr>
          <w:pgSz w:w="11900" w:h="16838" w:orient="portrait"/>
          <w:cols w:equalWidth="0" w:num="1">
            <w:col w:w="11420"/>
          </w:cols>
          <w:pgMar w:left="240" w:top="684" w:right="239" w:bottom="1440" w:gutter="0" w:footer="0" w:header="0"/>
        </w:sectPr>
      </w:pPr>
    </w:p>
    <w:bookmarkStart w:id="28" w:name="page29"/>
    <w:bookmarkEnd w:id="28"/>
    <w:p>
      <w:pPr>
        <w:ind w:right="60"/>
        <w:spacing w:after="0" w:line="252" w:lineRule="auto"/>
        <w:rPr>
          <w:sz w:val="20"/>
          <w:szCs w:val="20"/>
          <w:color w:val="auto"/>
        </w:rPr>
      </w:pPr>
      <w:r>
        <w:rPr>
          <w:rFonts w:ascii="Times New Roman" w:cs="Times New Roman" w:eastAsia="Times New Roman" w:hAnsi="Times New Roman"/>
          <w:sz w:val="18"/>
          <w:szCs w:val="18"/>
          <w:color w:val="auto"/>
        </w:rPr>
        <w:t>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 (3) 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ectPr>
          <w:pgSz w:w="11900" w:h="16838" w:orient="portrait"/>
          <w:cols w:equalWidth="0" w:num="1">
            <w:col w:w="11400"/>
          </w:cols>
          <w:pgMar w:left="240" w:top="472" w:right="259" w:bottom="1440" w:gutter="0" w:footer="0" w:header="0"/>
        </w:sectPr>
      </w:pPr>
    </w:p>
    <w:bookmarkStart w:id="29" w:name="page30"/>
    <w:bookmarkEnd w:id="29"/>
    <w:p>
      <w:pPr>
        <w:ind w:left="4540"/>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3.999% Note Due 2049</w:t>
      </w:r>
    </w:p>
    <w:p>
      <w:pPr>
        <w:sectPr>
          <w:pgSz w:w="11900" w:h="16838" w:orient="portrait"/>
          <w:cols w:equalWidth="0" w:num="1">
            <w:col w:w="11420"/>
          </w:cols>
          <w:pgMar w:left="240" w:top="468"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[A][R]-[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 ]</w:t>
      </w:r>
    </w:p>
    <w:p>
      <w:pPr>
        <w:spacing w:after="0" w:line="9"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9580" w:space="720"/>
            <w:col w:w="1120"/>
          </w:cols>
          <w:pgMar w:left="240" w:top="468" w:right="239" w:bottom="1440" w:gutter="0" w:footer="0" w:header="0"/>
          <w:type w:val="continuous"/>
        </w:sectPr>
      </w:pPr>
    </w:p>
    <w:p>
      <w:pPr>
        <w:spacing w:after="0" w:line="3"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Million Dollars) on November 1, 2049.</w:t>
      </w:r>
    </w:p>
    <w:p>
      <w:pPr>
        <w:sectPr>
          <w:pgSz w:w="11900" w:h="16838" w:orient="portrait"/>
          <w:cols w:equalWidth="0" w:num="1">
            <w:col w:w="11420"/>
          </w:cols>
          <w:pgMar w:left="240" w:top="468" w:right="23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1 and November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Record Dates: April 15 and October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420"/>
          </w:cols>
          <w:pgMar w:left="240" w:top="468" w:right="239" w:bottom="1440" w:gutter="0" w:footer="0" w:header="0"/>
          <w:type w:val="continuous"/>
        </w:sectPr>
      </w:pPr>
    </w:p>
    <w:bookmarkStart w:id="30" w:name="page31"/>
    <w:bookmarkEnd w:id="30"/>
    <w:p>
      <w:pPr>
        <w:ind w:left="660"/>
        <w:spacing w:after="0"/>
        <w:rPr>
          <w:sz w:val="20"/>
          <w:szCs w:val="20"/>
          <w:color w:val="auto"/>
        </w:rPr>
      </w:pPr>
      <w:r>
        <w:rPr>
          <w:rFonts w:ascii="Times New Roman" w:cs="Times New Roman" w:eastAsia="Times New Roman" w:hAnsi="Times New Roman"/>
          <w:sz w:val="17"/>
          <w:szCs w:val="17"/>
          <w:color w:val="auto"/>
        </w:rPr>
        <w:t>IN WITNESS WHEREOF, the Issuer has caused this Security to be signed manually or by facsimile by its duly authorized officer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9" w:lineRule="exact"/>
        <w:rPr>
          <w:sz w:val="20"/>
          <w:szCs w:val="20"/>
          <w:color w:val="auto"/>
        </w:rPr>
      </w:pPr>
    </w:p>
    <w:p>
      <w:pPr>
        <w:ind w:left="538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tbl>
      <w:tblPr>
        <w:tblLayout w:type="fixed"/>
        <w:tblInd w:w="460" w:type="dxa"/>
        <w:tblCellMar>
          <w:top w:w="0" w:type="dxa"/>
          <w:left w:w="0" w:type="dxa"/>
          <w:bottom w:w="0" w:type="dxa"/>
          <w:right w:w="0" w:type="dxa"/>
        </w:tblCellMar>
      </w:tblPr>
      <w:tr>
        <w:trPr>
          <w:trHeight w:val="205"/>
        </w:trPr>
        <w:tc>
          <w:tcPr>
            <w:tcW w:w="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Arthur R. Block</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66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400"/>
          </w:cols>
          <w:pgMar w:left="240" w:top="472" w:right="2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19, 2017</w:t>
      </w:r>
    </w:p>
    <w:p>
      <w:pPr>
        <w:spacing w:after="0" w:line="200" w:lineRule="exact"/>
        <w:rPr>
          <w:sz w:val="20"/>
          <w:szCs w:val="20"/>
          <w:color w:val="auto"/>
        </w:rPr>
      </w:pPr>
    </w:p>
    <w:p>
      <w:pPr>
        <w:spacing w:after="0" w:line="2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219"/>
          </w:cols>
          <w:pgMar w:left="240" w:top="472"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3.999% Note Due 2049</w:t>
      </w:r>
    </w:p>
    <w:p>
      <w:pPr>
        <w:spacing w:after="0" w:line="225" w:lineRule="exact"/>
        <w:rPr>
          <w:sz w:val="20"/>
          <w:szCs w:val="20"/>
          <w:color w:val="auto"/>
        </w:rPr>
      </w:pPr>
    </w:p>
    <w:p>
      <w:pPr>
        <w:ind w:left="1300" w:hanging="449"/>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October 19, 2017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among the Company, the Guarantors and the joint-lead dealer managers party thereto. The Holders of this Security are entitled to the benefits of the Registration Rights Agreement.</w:t>
      </w:r>
    </w:p>
    <w:p>
      <w:pPr>
        <w:spacing w:after="0" w:line="180" w:lineRule="exact"/>
        <w:rPr>
          <w:sz w:val="20"/>
          <w:szCs w:val="20"/>
          <w:color w:val="auto"/>
        </w:rPr>
      </w:pPr>
    </w:p>
    <w:p>
      <w:pPr>
        <w:ind w:left="1300" w:hanging="449"/>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400"/>
          </w:cols>
          <w:pgMar w:left="240" w:top="472" w:right="259" w:bottom="1440" w:gutter="0" w:footer="0" w:header="0"/>
        </w:sectPr>
      </w:pPr>
    </w:p>
    <w:bookmarkStart w:id="33" w:name="page34"/>
    <w:bookmarkEnd w:id="33"/>
    <w:p>
      <w:pPr>
        <w:ind w:left="1300" w:hanging="449"/>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49"/>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amended by the First Supplemental Indenture dated as of November 17, 2015, by and among the Issuer, the guarantors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Securities include those stated in the Indenture and those made part of the Indenture by reference to the Trust Indenture Act of 1939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effect on the date on which the Indenture is qualified under the TIA. Notwithstanding anything to the contrary herein, the Securities are subject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and Holders of Securities are referred to the Indenture and the TIA for a statement of them. To the extent the terms of the Indenture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207" w:lineRule="exact"/>
        <w:rPr>
          <w:sz w:val="20"/>
          <w:szCs w:val="20"/>
          <w:color w:val="auto"/>
        </w:rPr>
      </w:pPr>
    </w:p>
    <w:p>
      <w:pPr>
        <w:ind w:left="1300" w:hanging="449"/>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1300" w:hanging="449"/>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4" w:lineRule="exact"/>
        <w:rPr>
          <w:sz w:val="20"/>
          <w:szCs w:val="20"/>
          <w:color w:val="auto"/>
        </w:rPr>
      </w:pPr>
    </w:p>
    <w:p>
      <w:pPr>
        <w:ind w:left="1300" w:hanging="449"/>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4" w:name="page35"/>
    <w:bookmarkEnd w:id="34"/>
    <w:p>
      <w:pPr>
        <w:ind w:left="1300" w:hanging="449"/>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Funds.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2" w:lineRule="exact"/>
        <w:rPr>
          <w:sz w:val="20"/>
          <w:szCs w:val="20"/>
          <w:color w:val="auto"/>
        </w:rPr>
      </w:pPr>
    </w:p>
    <w:p>
      <w:pPr>
        <w:ind w:left="1300" w:hanging="449"/>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1380" w:hanging="529"/>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380" w:hanging="529"/>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1400" w:hanging="549"/>
        <w:spacing w:after="0"/>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2"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(a) at any time prior to May 1, 2049 (the “Par Call Date”), the greater of (i) 100% of the principal amount of such Securities and (ii) the sum of the present values of the principal amount of such Securities and the scheduled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5" w:name="page36"/>
    <w:bookmarkEnd w:id="35"/>
    <w:p>
      <w:pPr>
        <w:ind w:right="80"/>
        <w:spacing w:after="0" w:line="261" w:lineRule="auto"/>
        <w:rPr>
          <w:sz w:val="20"/>
          <w:szCs w:val="20"/>
          <w:color w:val="auto"/>
        </w:rPr>
      </w:pPr>
      <w:r>
        <w:rPr>
          <w:rFonts w:ascii="Times New Roman" w:cs="Times New Roman" w:eastAsia="Times New Roman" w:hAnsi="Times New Roman"/>
          <w:sz w:val="18"/>
          <w:szCs w:val="18"/>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1" w:lineRule="exact"/>
        <w:rPr>
          <w:sz w:val="20"/>
          <w:szCs w:val="20"/>
          <w:color w:val="auto"/>
        </w:rPr>
      </w:pPr>
    </w:p>
    <w:p>
      <w:pPr>
        <w:jc w:val="both"/>
        <w:ind w:right="3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foregoing shall cease to be a primary United States government securities dealer in the United States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Issuer will substitute therefor another Primary Treasury Dealer.</w:t>
      </w:r>
    </w:p>
    <w:p>
      <w:pPr>
        <w:spacing w:after="0" w:line="177"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t>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0" w:lineRule="exact"/>
        <w:rPr>
          <w:sz w:val="20"/>
          <w:szCs w:val="20"/>
          <w:color w:val="auto"/>
        </w:rPr>
      </w:pPr>
    </w:p>
    <w:p>
      <w:pPr>
        <w:ind w:left="1400" w:hanging="549"/>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9" w:lineRule="exact"/>
        <w:rPr>
          <w:sz w:val="20"/>
          <w:szCs w:val="20"/>
          <w:color w:val="auto"/>
        </w:rPr>
      </w:pPr>
    </w:p>
    <w:p>
      <w:pPr>
        <w:ind w:left="1380" w:hanging="529"/>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Dealings with Issuer.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1400" w:hanging="549"/>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1380" w:hanging="529"/>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7" w:name="page38"/>
    <w:bookmarkEnd w:id="37"/>
    <w:p>
      <w:pPr>
        <w:ind w:left="1380" w:hanging="529"/>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1400" w:hanging="549"/>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1400" w:hanging="549"/>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appoint_________________________________________ agent to transfer this Security on the books of the Issuer. The agent may substitute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to act for him.</w:t>
      </w:r>
    </w:p>
    <w:p>
      <w:pPr>
        <w:sectPr>
          <w:pgSz w:w="11900" w:h="16838" w:orient="portrait"/>
          <w:cols w:equalWidth="0" w:num="1">
            <w:col w:w="11420"/>
          </w:cols>
          <w:pgMar w:left="240" w:top="688"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exactly as name appears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side of this Security)</w:t>
      </w:r>
    </w:p>
    <w:p>
      <w:pPr>
        <w:spacing w:after="0" w:line="200" w:lineRule="exact"/>
        <w:rPr>
          <w:sz w:val="20"/>
          <w:szCs w:val="20"/>
          <w:color w:val="auto"/>
        </w:rPr>
      </w:pPr>
    </w:p>
    <w:p>
      <w:pPr>
        <w:sectPr>
          <w:pgSz w:w="11900" w:h="16838" w:orient="portrait"/>
          <w:cols w:equalWidth="0" w:num="3">
            <w:col w:w="2820" w:space="720"/>
            <w:col w:w="560" w:space="480"/>
            <w:col w:w="6840"/>
          </w:cols>
          <w:pgMar w:left="240" w:top="688" w:right="239"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r>
      <w:tr>
        <w:trPr>
          <w:trHeight w:val="216"/>
        </w:trPr>
        <w:tc>
          <w:tcPr>
            <w:tcW w:w="1920" w:type="dxa"/>
            <w:vAlign w:val="bottom"/>
          </w:tcPr>
          <w:p>
            <w:pPr>
              <w:spacing w:after="0"/>
              <w:rPr>
                <w:sz w:val="18"/>
                <w:szCs w:val="18"/>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Participant in a recognized Signature Guarantee</w:t>
            </w:r>
          </w:p>
        </w:tc>
      </w:tr>
      <w:tr>
        <w:trPr>
          <w:trHeight w:val="216"/>
        </w:trPr>
        <w:tc>
          <w:tcPr>
            <w:tcW w:w="1920" w:type="dxa"/>
            <w:vAlign w:val="bottom"/>
          </w:tcPr>
          <w:p>
            <w:pPr>
              <w:spacing w:after="0"/>
              <w:rPr>
                <w:sz w:val="18"/>
                <w:szCs w:val="18"/>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Medallion Program (or other signature guarantor</w:t>
            </w:r>
          </w:p>
        </w:tc>
      </w:tr>
      <w:tr>
        <w:trPr>
          <w:trHeight w:val="234"/>
        </w:trPr>
        <w:tc>
          <w:tcPr>
            <w:tcW w:w="1920" w:type="dxa"/>
            <w:vAlign w:val="bottom"/>
          </w:tcPr>
          <w:p>
            <w:pPr>
              <w:spacing w:after="0"/>
              <w:rPr>
                <w:sz w:val="20"/>
                <w:szCs w:val="20"/>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 reasonably acceptable to the Trustee)</w:t>
            </w:r>
          </w:p>
        </w:tc>
      </w:tr>
      <w:tr>
        <w:trPr>
          <w:trHeight w:val="871"/>
        </w:trPr>
        <w:tc>
          <w:tcPr>
            <w:tcW w:w="192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420"/>
          </w:cols>
          <w:pgMar w:left="240" w:top="688" w:right="239" w:bottom="1440" w:gutter="0" w:footer="0" w:header="0"/>
          <w:type w:val="continuous"/>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815-5595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 ]% Notes due [ ]</w:t>
      </w:r>
    </w:p>
    <w:p>
      <w:pPr>
        <w:spacing w:after="0" w:line="225"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right="80" w:firstLine="1305"/>
        <w:spacing w:after="0" w:line="255" w:lineRule="auto"/>
        <w:tabs>
          <w:tab w:leader="none" w:pos="17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89" w:lineRule="exact"/>
        <w:rPr>
          <w:rFonts w:ascii="Times New Roman" w:cs="Times New Roman" w:eastAsia="Times New Roman" w:hAnsi="Times New Roman"/>
          <w:sz w:val="18"/>
          <w:szCs w:val="18"/>
          <w:color w:val="auto"/>
        </w:rPr>
      </w:pPr>
    </w:p>
    <w:p>
      <w:pPr>
        <w:ind w:firstLine="1305"/>
        <w:spacing w:after="0" w:line="261" w:lineRule="auto"/>
        <w:tabs>
          <w:tab w:leader="none" w:pos="17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8"/>
          <w:szCs w:val="18"/>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5620" w:right="1139" w:hanging="5612"/>
        <w:spacing w:after="0" w:line="762" w:lineRule="auto"/>
        <w:tabs>
          <w:tab w:leader="none" w:pos="1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ind w:left="3920" w:right="3919" w:hanging="3815"/>
        <w:spacing w:after="0" w:line="530" w:lineRule="auto"/>
        <w:tabs>
          <w:tab w:leader="none" w:pos="55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owns and proposes to transfer the following: [CHECK ONE ]</w:t>
      </w:r>
    </w:p>
    <w:p>
      <w:pPr>
        <w:spacing w:after="0" w:line="1" w:lineRule="exact"/>
        <w:rPr>
          <w:sz w:val="20"/>
          <w:szCs w:val="20"/>
          <w:color w:val="auto"/>
        </w:rPr>
      </w:pPr>
    </w:p>
    <w:p>
      <w:pPr>
        <w:ind w:left="760" w:hanging="655"/>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 or</w:t>
      </w:r>
    </w:p>
    <w:p>
      <w:pPr>
        <w:spacing w:after="0" w:line="225" w:lineRule="exact"/>
        <w:rPr>
          <w:sz w:val="20"/>
          <w:szCs w:val="20"/>
          <w:color w:val="auto"/>
        </w:rPr>
      </w:pPr>
    </w:p>
    <w:p>
      <w:pPr>
        <w:ind w:left="540" w:hanging="435"/>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w:t>
      </w:r>
    </w:p>
    <w:p>
      <w:pPr>
        <w:spacing w:after="0" w:line="225" w:lineRule="exact"/>
        <w:rPr>
          <w:sz w:val="20"/>
          <w:szCs w:val="20"/>
          <w:color w:val="auto"/>
        </w:rPr>
      </w:pPr>
    </w:p>
    <w:p>
      <w:pPr>
        <w:ind w:left="760" w:hanging="655"/>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3" w:name="page44"/>
    <w:bookmarkEnd w:id="43"/>
    <w:p>
      <w:pPr>
        <w:ind w:left="466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increase</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Amount of</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decrease</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Principal</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 Global Security</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 Amount of this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this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 authorized</w:t>
            </w:r>
          </w:p>
        </w:tc>
      </w:tr>
      <w:tr>
        <w:trPr>
          <w:trHeight w:val="234"/>
        </w:trPr>
        <w:tc>
          <w:tcPr>
            <w:tcW w:w="2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Date of Exchange</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 or increase</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688"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NOTE DUE 2052]</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SECURITY (OR ITS PREDECESSOR) WAS ORIGINALLY ISSUED IN A TRANSACTION EXEMPT FROM REGISTRATION UNDER THE UNITED STATES SECURITIES ACT OF 1933, AS AMENDED (THE “SECURITIES ACT”),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HOLDER OF THIS SECURITY AGREES FOR THE BENEFIT OF COMCAST CORPORATION THAT (A) PRIOR TO THE DATE (THE “RESALE RESTRICTION TERMINATION DATE”)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 REGISTRATION</w:t>
      </w:r>
    </w:p>
    <w:p>
      <w:pPr>
        <w:sectPr>
          <w:pgSz w:w="11900" w:h="16838" w:orient="portrait"/>
          <w:cols w:equalWidth="0" w:num="1">
            <w:col w:w="11420"/>
          </w:cols>
          <w:pgMar w:left="240" w:top="684" w:right="239" w:bottom="1440" w:gutter="0" w:footer="0" w:header="0"/>
        </w:sectPr>
      </w:pPr>
    </w:p>
    <w:bookmarkStart w:id="45" w:name="page46"/>
    <w:bookmarkEnd w:id="45"/>
    <w:p>
      <w:pPr>
        <w:ind w:right="60"/>
        <w:spacing w:after="0" w:line="252" w:lineRule="auto"/>
        <w:rPr>
          <w:sz w:val="20"/>
          <w:szCs w:val="20"/>
          <w:color w:val="auto"/>
        </w:rPr>
      </w:pPr>
      <w:r>
        <w:rPr>
          <w:rFonts w:ascii="Times New Roman" w:cs="Times New Roman" w:eastAsia="Times New Roman" w:hAnsi="Times New Roman"/>
          <w:sz w:val="18"/>
          <w:szCs w:val="18"/>
          <w:color w:val="auto"/>
        </w:rPr>
        <w:t>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 (3) 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ectPr>
          <w:pgSz w:w="11900" w:h="16838" w:orient="portrait"/>
          <w:cols w:equalWidth="0" w:num="1">
            <w:col w:w="11400"/>
          </w:cols>
          <w:pgMar w:left="240" w:top="472" w:right="259" w:bottom="1440" w:gutter="0" w:footer="0" w:header="0"/>
        </w:sectPr>
      </w:pPr>
    </w:p>
    <w:bookmarkStart w:id="46" w:name="page47"/>
    <w:bookmarkEnd w:id="46"/>
    <w:p>
      <w:pPr>
        <w:ind w:left="4540"/>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4.049% Note Due 2052</w:t>
      </w:r>
    </w:p>
    <w:p>
      <w:pPr>
        <w:sectPr>
          <w:pgSz w:w="11900" w:h="16838" w:orient="portrait"/>
          <w:cols w:equalWidth="0" w:num="1">
            <w:col w:w="11420"/>
          </w:cols>
          <w:pgMar w:left="240" w:top="468" w:right="2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 ]</w:t>
      </w:r>
    </w:p>
    <w:p>
      <w:pPr>
        <w:spacing w:after="0" w:line="9"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9580" w:space="720"/>
            <w:col w:w="1120"/>
          </w:cols>
          <w:pgMar w:left="240" w:top="468" w:right="239" w:bottom="1440" w:gutter="0" w:footer="0" w:header="0"/>
          <w:type w:val="continuous"/>
        </w:sectPr>
      </w:pPr>
    </w:p>
    <w:p>
      <w:pPr>
        <w:spacing w:after="0" w:line="232"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Million Dollars) on November 1, 2052.</w:t>
      </w:r>
    </w:p>
    <w:p>
      <w:pPr>
        <w:sectPr>
          <w:pgSz w:w="11900" w:h="16838" w:orient="portrait"/>
          <w:cols w:equalWidth="0" w:num="1">
            <w:col w:w="11420"/>
          </w:cols>
          <w:pgMar w:left="240" w:top="468" w:right="23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1 and November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Record Dates: April 15 and October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420"/>
          </w:cols>
          <w:pgMar w:left="240" w:top="468" w:right="239" w:bottom="1440" w:gutter="0" w:footer="0" w:header="0"/>
          <w:type w:val="continuous"/>
        </w:sectPr>
      </w:pPr>
    </w:p>
    <w:bookmarkStart w:id="47" w:name="page48"/>
    <w:bookmarkEnd w:id="47"/>
    <w:p>
      <w:pPr>
        <w:ind w:left="660"/>
        <w:spacing w:after="0"/>
        <w:rPr>
          <w:sz w:val="20"/>
          <w:szCs w:val="20"/>
          <w:color w:val="auto"/>
        </w:rPr>
      </w:pPr>
      <w:r>
        <w:rPr>
          <w:rFonts w:ascii="Times New Roman" w:cs="Times New Roman" w:eastAsia="Times New Roman" w:hAnsi="Times New Roman"/>
          <w:sz w:val="17"/>
          <w:szCs w:val="17"/>
          <w:color w:val="auto"/>
        </w:rPr>
        <w:t>IN WITNESS WHEREOF, the Issuer has caused this Security to be signed manually or by facsimile by its duly authorized officer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9" w:lineRule="exact"/>
        <w:rPr>
          <w:sz w:val="20"/>
          <w:szCs w:val="20"/>
          <w:color w:val="auto"/>
        </w:rPr>
      </w:pPr>
    </w:p>
    <w:p>
      <w:pPr>
        <w:ind w:left="538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tbl>
      <w:tblPr>
        <w:tblLayout w:type="fixed"/>
        <w:tblInd w:w="500" w:type="dxa"/>
        <w:tblCellMar>
          <w:top w:w="0" w:type="dxa"/>
          <w:left w:w="0" w:type="dxa"/>
          <w:bottom w:w="0" w:type="dxa"/>
          <w:right w:w="0" w:type="dxa"/>
        </w:tblCellMar>
      </w:tblPr>
      <w:tr>
        <w:trPr>
          <w:trHeight w:val="205"/>
        </w:trPr>
        <w:tc>
          <w:tcPr>
            <w:tcW w:w="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Arthur R. Block</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6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400"/>
          </w:cols>
          <w:pgMar w:left="240" w:top="472" w:right="25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19, 2017</w:t>
      </w:r>
    </w:p>
    <w:p>
      <w:pPr>
        <w:spacing w:after="0" w:line="200" w:lineRule="exact"/>
        <w:rPr>
          <w:sz w:val="20"/>
          <w:szCs w:val="20"/>
          <w:color w:val="auto"/>
        </w:rPr>
      </w:pPr>
    </w:p>
    <w:p>
      <w:pPr>
        <w:spacing w:after="0" w:line="2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219"/>
          </w:cols>
          <w:pgMar w:left="240" w:top="472"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4.049% Note Due 2052</w:t>
      </w:r>
    </w:p>
    <w:p>
      <w:pPr>
        <w:spacing w:after="0" w:line="225" w:lineRule="exact"/>
        <w:rPr>
          <w:sz w:val="20"/>
          <w:szCs w:val="20"/>
          <w:color w:val="auto"/>
        </w:rPr>
      </w:pPr>
    </w:p>
    <w:p>
      <w:pPr>
        <w:ind w:left="1300" w:hanging="449"/>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October 19, 2017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among the Company, the Guarantors and the joint-lead dealer managers party thereto. The Holders of this Security are entitled to the benefits of the Registration Rights Agreement.</w:t>
      </w:r>
    </w:p>
    <w:p>
      <w:pPr>
        <w:spacing w:after="0" w:line="180" w:lineRule="exact"/>
        <w:rPr>
          <w:sz w:val="20"/>
          <w:szCs w:val="20"/>
          <w:color w:val="auto"/>
        </w:rPr>
      </w:pPr>
    </w:p>
    <w:p>
      <w:pPr>
        <w:ind w:left="1300" w:hanging="449"/>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400"/>
          </w:cols>
          <w:pgMar w:left="240" w:top="472" w:right="259" w:bottom="1440" w:gutter="0" w:footer="0" w:header="0"/>
        </w:sectPr>
      </w:pPr>
    </w:p>
    <w:bookmarkStart w:id="50" w:name="page51"/>
    <w:bookmarkEnd w:id="50"/>
    <w:p>
      <w:pPr>
        <w:ind w:left="1300" w:hanging="449"/>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49"/>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amended by the First Supplemental Indenture dated as of November 17, 2015, by and among the Issuer, the guarantors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Securities include those stated in the Indenture and those made part of the Indenture by reference to the Trust Indenture Act of 1939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effect on the date on which the Indenture is qualified under the TIA. Notwithstanding anything to the contrary herein, the Securities are subject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and Holders of Securities are referred to the Indenture and the TIA for a statement of them. To the extent the terms of the Indenture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207" w:lineRule="exact"/>
        <w:rPr>
          <w:sz w:val="20"/>
          <w:szCs w:val="20"/>
          <w:color w:val="auto"/>
        </w:rPr>
      </w:pPr>
    </w:p>
    <w:p>
      <w:pPr>
        <w:ind w:left="1300" w:hanging="449"/>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1300" w:hanging="449"/>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4" w:lineRule="exact"/>
        <w:rPr>
          <w:sz w:val="20"/>
          <w:szCs w:val="20"/>
          <w:color w:val="auto"/>
        </w:rPr>
      </w:pPr>
    </w:p>
    <w:p>
      <w:pPr>
        <w:ind w:left="1300" w:hanging="449"/>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1" w:name="page52"/>
    <w:bookmarkEnd w:id="51"/>
    <w:p>
      <w:pPr>
        <w:ind w:left="1300" w:hanging="449"/>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Funds.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2" w:lineRule="exact"/>
        <w:rPr>
          <w:sz w:val="20"/>
          <w:szCs w:val="20"/>
          <w:color w:val="auto"/>
        </w:rPr>
      </w:pPr>
    </w:p>
    <w:p>
      <w:pPr>
        <w:ind w:left="1300" w:hanging="449"/>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1380" w:hanging="529"/>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380" w:hanging="529"/>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1400" w:hanging="549"/>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2"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(a) at any time prior to May 1, 2052 (the “Par Call Date”), the greater of (i) 100% of the principal amount of such Securities and (ii) the sum of the present values of the principal amount of such Securities and the scheduled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2" w:name="page53"/>
    <w:bookmarkEnd w:id="52"/>
    <w:p>
      <w:pPr>
        <w:ind w:right="80"/>
        <w:spacing w:after="0" w:line="261" w:lineRule="auto"/>
        <w:rPr>
          <w:sz w:val="20"/>
          <w:szCs w:val="20"/>
          <w:color w:val="auto"/>
        </w:rPr>
      </w:pPr>
      <w:r>
        <w:rPr>
          <w:rFonts w:ascii="Times New Roman" w:cs="Times New Roman" w:eastAsia="Times New Roman" w:hAnsi="Times New Roman"/>
          <w:sz w:val="18"/>
          <w:szCs w:val="18"/>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1" w:lineRule="exact"/>
        <w:rPr>
          <w:sz w:val="20"/>
          <w:szCs w:val="20"/>
          <w:color w:val="auto"/>
        </w:rPr>
      </w:pPr>
    </w:p>
    <w:p>
      <w:pPr>
        <w:jc w:val="both"/>
        <w:ind w:right="3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foregoing shall cease to be a primary United States government securities dealer in the United States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Issuer will substitute therefor another Primary Treasury Dealer.</w:t>
      </w:r>
    </w:p>
    <w:p>
      <w:pPr>
        <w:spacing w:after="0" w:line="177"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3" w:name="page54"/>
    <w:bookmarkEnd w:id="53"/>
    <w:p>
      <w:pPr>
        <w:ind w:right="60"/>
        <w:spacing w:after="0" w:line="261" w:lineRule="auto"/>
        <w:rPr>
          <w:sz w:val="20"/>
          <w:szCs w:val="20"/>
          <w:color w:val="auto"/>
        </w:rPr>
      </w:pPr>
      <w:r>
        <w:rPr>
          <w:rFonts w:ascii="Times New Roman" w:cs="Times New Roman" w:eastAsia="Times New Roman" w:hAnsi="Times New Roman"/>
          <w:sz w:val="18"/>
          <w:szCs w:val="18"/>
          <w:color w:val="auto"/>
        </w:rPr>
        <w:t>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0" w:lineRule="exact"/>
        <w:rPr>
          <w:sz w:val="20"/>
          <w:szCs w:val="20"/>
          <w:color w:val="auto"/>
        </w:rPr>
      </w:pPr>
    </w:p>
    <w:p>
      <w:pPr>
        <w:ind w:left="1400" w:hanging="549"/>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9" w:lineRule="exact"/>
        <w:rPr>
          <w:sz w:val="20"/>
          <w:szCs w:val="20"/>
          <w:color w:val="auto"/>
        </w:rPr>
      </w:pPr>
    </w:p>
    <w:p>
      <w:pPr>
        <w:ind w:left="1380" w:hanging="529"/>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Dealings with Issuer.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1400" w:hanging="549"/>
        <w:spacing w:after="0"/>
        <w:tabs>
          <w:tab w:leader="none" w:pos="1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1380" w:hanging="529"/>
        <w:spacing w:after="0"/>
        <w:tabs>
          <w:tab w:leader="none" w:pos="1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4" w:name="page55"/>
    <w:bookmarkEnd w:id="54"/>
    <w:p>
      <w:pPr>
        <w:ind w:left="1380" w:hanging="529"/>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1400" w:hanging="549"/>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1400" w:hanging="549"/>
        <w:spacing w:after="0"/>
        <w:tabs>
          <w:tab w:leader="none" w:pos="14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appoint_________________________________________ agent to transfer this Security on the books of the Issuer. The agent may substitute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to act for him.</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exactly as name appears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side of this Security)</w:t>
      </w:r>
    </w:p>
    <w:p>
      <w:pPr>
        <w:spacing w:after="0" w:line="200" w:lineRule="exact"/>
        <w:rPr>
          <w:sz w:val="20"/>
          <w:szCs w:val="20"/>
          <w:color w:val="auto"/>
        </w:rPr>
      </w:pPr>
    </w:p>
    <w:p>
      <w:pPr>
        <w:sectPr>
          <w:pgSz w:w="11900" w:h="16838" w:orient="portrait"/>
          <w:cols w:equalWidth="0" w:num="3">
            <w:col w:w="2820" w:space="720"/>
            <w:col w:w="560" w:space="480"/>
            <w:col w:w="6840"/>
          </w:cols>
          <w:pgMar w:left="240" w:top="688" w:right="239"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r>
      <w:tr>
        <w:trPr>
          <w:trHeight w:val="216"/>
        </w:trPr>
        <w:tc>
          <w:tcPr>
            <w:tcW w:w="1920" w:type="dxa"/>
            <w:vAlign w:val="bottom"/>
          </w:tcPr>
          <w:p>
            <w:pPr>
              <w:spacing w:after="0"/>
              <w:rPr>
                <w:sz w:val="18"/>
                <w:szCs w:val="18"/>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Participant in a recognized Signature Guarantee</w:t>
            </w:r>
          </w:p>
        </w:tc>
      </w:tr>
      <w:tr>
        <w:trPr>
          <w:trHeight w:val="216"/>
        </w:trPr>
        <w:tc>
          <w:tcPr>
            <w:tcW w:w="1920" w:type="dxa"/>
            <w:vAlign w:val="bottom"/>
          </w:tcPr>
          <w:p>
            <w:pPr>
              <w:spacing w:after="0"/>
              <w:rPr>
                <w:sz w:val="18"/>
                <w:szCs w:val="18"/>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Medallion Program (or other signature guarantor</w:t>
            </w:r>
          </w:p>
        </w:tc>
      </w:tr>
      <w:tr>
        <w:trPr>
          <w:trHeight w:val="234"/>
        </w:trPr>
        <w:tc>
          <w:tcPr>
            <w:tcW w:w="1920" w:type="dxa"/>
            <w:vAlign w:val="bottom"/>
          </w:tcPr>
          <w:p>
            <w:pPr>
              <w:spacing w:after="0"/>
              <w:rPr>
                <w:sz w:val="20"/>
                <w:szCs w:val="20"/>
                <w:color w:val="auto"/>
              </w:rPr>
            </w:pPr>
          </w:p>
        </w:tc>
        <w:tc>
          <w:tcPr>
            <w:tcW w:w="9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 reasonably acceptable to the Trustee)</w:t>
            </w:r>
          </w:p>
        </w:tc>
      </w:tr>
      <w:tr>
        <w:trPr>
          <w:trHeight w:val="864"/>
        </w:trPr>
        <w:tc>
          <w:tcPr>
            <w:tcW w:w="192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420"/>
          </w:cols>
          <w:pgMar w:left="240" w:top="688" w:right="239" w:bottom="1440" w:gutter="0" w:footer="0" w:header="0"/>
          <w:type w:val="continuous"/>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Barclay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815-5595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 ]% Notes due [ ]</w:t>
      </w:r>
    </w:p>
    <w:p>
      <w:pPr>
        <w:spacing w:after="0" w:line="225"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right="80" w:firstLine="1305"/>
        <w:spacing w:after="0" w:line="255" w:lineRule="auto"/>
        <w:tabs>
          <w:tab w:leader="none" w:pos="17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89" w:lineRule="exact"/>
        <w:rPr>
          <w:rFonts w:ascii="Times New Roman" w:cs="Times New Roman" w:eastAsia="Times New Roman" w:hAnsi="Times New Roman"/>
          <w:sz w:val="18"/>
          <w:szCs w:val="18"/>
          <w:color w:val="auto"/>
        </w:rPr>
      </w:pPr>
    </w:p>
    <w:p>
      <w:pPr>
        <w:ind w:firstLine="1305"/>
        <w:spacing w:after="0" w:line="261" w:lineRule="auto"/>
        <w:tabs>
          <w:tab w:leader="none" w:pos="17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7" w:name="page58"/>
    <w:bookmarkEnd w:id="57"/>
    <w:p>
      <w:pPr>
        <w:spacing w:after="0" w:line="255" w:lineRule="auto"/>
        <w:rPr>
          <w:sz w:val="20"/>
          <w:szCs w:val="20"/>
          <w:color w:val="auto"/>
        </w:rPr>
      </w:pPr>
      <w:r>
        <w:rPr>
          <w:rFonts w:ascii="Times New Roman" w:cs="Times New Roman" w:eastAsia="Times New Roman" w:hAnsi="Times New Roman"/>
          <w:sz w:val="18"/>
          <w:szCs w:val="18"/>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0</wp:posOffset>
            </wp:positionV>
            <wp:extent cx="31127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5620" w:right="1139" w:hanging="5612"/>
        <w:spacing w:after="0" w:line="762" w:lineRule="auto"/>
        <w:tabs>
          <w:tab w:leader="none" w:pos="13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ind w:left="3920" w:right="3919" w:hanging="3815"/>
        <w:spacing w:after="0" w:line="530" w:lineRule="auto"/>
        <w:tabs>
          <w:tab w:leader="none" w:pos="55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owns and proposes to transfer the following: [CHECK ONE ]</w:t>
      </w:r>
    </w:p>
    <w:p>
      <w:pPr>
        <w:spacing w:after="0" w:line="1" w:lineRule="exact"/>
        <w:rPr>
          <w:sz w:val="20"/>
          <w:szCs w:val="20"/>
          <w:color w:val="auto"/>
        </w:rPr>
      </w:pPr>
    </w:p>
    <w:p>
      <w:pPr>
        <w:ind w:left="760" w:hanging="655"/>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 or</w:t>
      </w:r>
    </w:p>
    <w:p>
      <w:pPr>
        <w:spacing w:after="0" w:line="225" w:lineRule="exact"/>
        <w:rPr>
          <w:sz w:val="20"/>
          <w:szCs w:val="20"/>
          <w:color w:val="auto"/>
        </w:rPr>
      </w:pPr>
    </w:p>
    <w:p>
      <w:pPr>
        <w:ind w:left="540" w:hanging="435"/>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ONE]</w:t>
      </w:r>
    </w:p>
    <w:p>
      <w:pPr>
        <w:spacing w:after="0" w:line="225" w:lineRule="exact"/>
        <w:rPr>
          <w:sz w:val="20"/>
          <w:szCs w:val="20"/>
          <w:color w:val="auto"/>
        </w:rPr>
      </w:pPr>
    </w:p>
    <w:p>
      <w:pPr>
        <w:ind w:left="760" w:hanging="655"/>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60" w:name="page61"/>
    <w:bookmarkEnd w:id="60"/>
    <w:p>
      <w:pPr>
        <w:ind w:left="466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increase</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Amount of</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decrease</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Principal</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 Global Security</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 Amount of this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this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 authorized</w:t>
            </w:r>
          </w:p>
        </w:tc>
      </w:tr>
      <w:tr>
        <w:trPr>
          <w:trHeight w:val="234"/>
        </w:trPr>
        <w:tc>
          <w:tcPr>
            <w:tcW w:w="2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Date of Exchange</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 or increase</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688"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$2,000,000,000 3.969% Notes Due 2047</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$1,999,999,000 3.999% Notes Due 2049</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$1,499,967,000 4.049% Notes Due 2052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19,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Parties Listed on 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NBCUniversal Media, LLC, a Delaware limited liability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NBCUniversal</w:t>
      </w:r>
      <w:r>
        <w:rPr>
          <w:rFonts w:ascii="Times New Roman" w:cs="Times New Roman" w:eastAsia="Times New Roman" w:hAnsi="Times New Roman"/>
          <w:sz w:val="18"/>
          <w:szCs w:val="18"/>
          <w:color w:val="auto"/>
        </w:rPr>
        <w:t>”), have made an offer to exchange the securities listed on Schedule II for new series of its senior notes due November 1, 2047 (the “</w:t>
      </w:r>
      <w:r>
        <w:rPr>
          <w:rFonts w:ascii="Times New Roman" w:cs="Times New Roman" w:eastAsia="Times New Roman" w:hAnsi="Times New Roman"/>
          <w:sz w:val="18"/>
          <w:szCs w:val="18"/>
          <w:b w:val="1"/>
          <w:bCs w:val="1"/>
          <w:color w:val="auto"/>
        </w:rPr>
        <w:t>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2047 Notes</w:t>
      </w:r>
      <w:r>
        <w:rPr>
          <w:rFonts w:ascii="Times New Roman" w:cs="Times New Roman" w:eastAsia="Times New Roman" w:hAnsi="Times New Roman"/>
          <w:sz w:val="18"/>
          <w:szCs w:val="18"/>
          <w:color w:val="auto"/>
        </w:rPr>
        <w:t>”), November 1, 2049 (the “</w:t>
      </w:r>
      <w:r>
        <w:rPr>
          <w:rFonts w:ascii="Times New Roman" w:cs="Times New Roman" w:eastAsia="Times New Roman" w:hAnsi="Times New Roman"/>
          <w:sz w:val="18"/>
          <w:szCs w:val="18"/>
          <w:b w:val="1"/>
          <w:bCs w:val="1"/>
          <w:color w:val="auto"/>
        </w:rPr>
        <w:t>New 2049 Notes</w:t>
      </w:r>
      <w:r>
        <w:rPr>
          <w:rFonts w:ascii="Times New Roman" w:cs="Times New Roman" w:eastAsia="Times New Roman" w:hAnsi="Times New Roman"/>
          <w:sz w:val="18"/>
          <w:szCs w:val="18"/>
          <w:color w:val="auto"/>
        </w:rPr>
        <w:t>”) and November 1, 2052 (the “</w:t>
      </w:r>
      <w:r>
        <w:rPr>
          <w:rFonts w:ascii="Times New Roman" w:cs="Times New Roman" w:eastAsia="Times New Roman" w:hAnsi="Times New Roman"/>
          <w:sz w:val="18"/>
          <w:szCs w:val="18"/>
          <w:b w:val="1"/>
          <w:bCs w:val="1"/>
          <w:color w:val="auto"/>
        </w:rPr>
        <w:t>New 2052 Notes</w:t>
      </w:r>
      <w:r>
        <w:rPr>
          <w:rFonts w:ascii="Times New Roman" w:cs="Times New Roman" w:eastAsia="Times New Roman" w:hAnsi="Times New Roman"/>
          <w:sz w:val="18"/>
          <w:szCs w:val="18"/>
          <w:color w:val="auto"/>
        </w:rPr>
        <w:t>” and, together with the New 2047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2049 Notes, the “</w:t>
      </w:r>
      <w:r>
        <w:rPr>
          <w:rFonts w:ascii="Times New Roman" w:cs="Times New Roman" w:eastAsia="Times New Roman" w:hAnsi="Times New Roman"/>
          <w:sz w:val="18"/>
          <w:szCs w:val="18"/>
          <w:b w:val="1"/>
          <w:bCs w:val="1"/>
          <w:color w:val="auto"/>
        </w:rPr>
        <w:t>Initial Securities</w:t>
      </w:r>
      <w:r>
        <w:rPr>
          <w:rFonts w:ascii="Times New Roman" w:cs="Times New Roman" w:eastAsia="Times New Roman" w:hAnsi="Times New Roman"/>
          <w:sz w:val="18"/>
          <w:szCs w:val="18"/>
          <w:color w:val="auto"/>
        </w:rPr>
        <w:t>”), each guaranteed on an unsecured, unsubordinated basis by NBCUniversal and Comcast Cable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(together with NBCUniversal,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set forth in the table on Schedule II, as set forth in the Offering Memorandum, dated October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related thereto. The Initial Securities will be issued upon the terms set forth in the Offering Memorandum, for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listed on Schedule I (the “</w:t>
      </w:r>
      <w:r>
        <w:rPr>
          <w:rFonts w:ascii="Times New Roman" w:cs="Times New Roman" w:eastAsia="Times New Roman" w:hAnsi="Times New Roman"/>
          <w:sz w:val="18"/>
          <w:szCs w:val="18"/>
          <w:b w:val="1"/>
          <w:bCs w:val="1"/>
          <w:color w:val="auto"/>
        </w:rPr>
        <w:t>Joint Lead Dealer Managers</w:t>
      </w:r>
      <w:r>
        <w:rPr>
          <w:rFonts w:ascii="Times New Roman" w:cs="Times New Roman" w:eastAsia="Times New Roman" w:hAnsi="Times New Roman"/>
          <w:sz w:val="18"/>
          <w:szCs w:val="18"/>
          <w:color w:val="auto"/>
        </w:rPr>
        <w:t>”), and any entity that executed a Joinder Agreement (as defined below) (the “</w:t>
      </w:r>
      <w:r>
        <w:rPr>
          <w:rFonts w:ascii="Times New Roman" w:cs="Times New Roman" w:eastAsia="Times New Roman" w:hAnsi="Times New Roman"/>
          <w:sz w:val="18"/>
          <w:szCs w:val="18"/>
          <w:b w:val="1"/>
          <w:bCs w:val="1"/>
          <w:color w:val="auto"/>
        </w:rPr>
        <w:t>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and, together with the Joint Lead Dealer Managers, the “</w:t>
      </w:r>
      <w:r>
        <w:rPr>
          <w:rFonts w:ascii="Times New Roman" w:cs="Times New Roman" w:eastAsia="Times New Roman" w:hAnsi="Times New Roman"/>
          <w:sz w:val="18"/>
          <w:szCs w:val="18"/>
          <w:b w:val="1"/>
          <w:bCs w:val="1"/>
          <w:color w:val="auto"/>
        </w:rPr>
        <w:t>Dealer Managers</w:t>
      </w:r>
      <w:r>
        <w:rPr>
          <w:rFonts w:ascii="Times New Roman" w:cs="Times New Roman" w:eastAsia="Times New Roman" w:hAnsi="Times New Roman"/>
          <w:sz w:val="18"/>
          <w:szCs w:val="18"/>
          <w:color w:val="auto"/>
        </w:rPr>
        <w:t>”), hereto have severally agreed to act as dealer managers,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dealer manager agreement, dated as of October 3, 2017 (as supplemented by that certain joinder agreement, dated October 3, 2017 (the “</w:t>
      </w:r>
      <w:r>
        <w:rPr>
          <w:rFonts w:ascii="Times New Roman" w:cs="Times New Roman" w:eastAsia="Times New Roman" w:hAnsi="Times New Roman"/>
          <w:sz w:val="18"/>
          <w:szCs w:val="18"/>
          <w:b w:val="1"/>
          <w:bCs w:val="1"/>
          <w:color w:val="auto"/>
        </w:rPr>
        <w:t>Joinder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Manager Agreement</w:t>
      </w:r>
      <w:r>
        <w:rPr>
          <w:rFonts w:ascii="Times New Roman" w:cs="Times New Roman" w:eastAsia="Times New Roman" w:hAnsi="Times New Roman"/>
          <w:sz w:val="18"/>
          <w:szCs w:val="18"/>
          <w:color w:val="auto"/>
        </w:rPr>
        <w:t>”), among the Company, the Guarantors and the several Dealer Managers. The Initial Securities will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Indenture, dated as of September 18, 2013, entered into among the Company, the guarantors named therein and The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Mellon, as trustee, as amended by the first supplemental indenture dated as of November 17, 2015, entered into among the Company, the guarantors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an inducement to the Dealer Managers,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Guarantors agree with the Dealer Managers, for the benefit of the holders of the Initial Securities and the Exchange Securities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as follows:</w:t>
      </w:r>
    </w:p>
    <w:p>
      <w:pPr>
        <w:spacing w:after="0" w:line="203" w:lineRule="exact"/>
        <w:rPr>
          <w:sz w:val="20"/>
          <w:szCs w:val="20"/>
          <w:color w:val="auto"/>
        </w:rPr>
      </w:pPr>
    </w:p>
    <w:p>
      <w:pPr>
        <w:ind w:left="620" w:hanging="444"/>
        <w:spacing w:after="0"/>
        <w:tabs>
          <w:tab w:leader="none" w:pos="62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Registered Exchange Offer</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Company and the Guarantors shall use their commercially reasonable efforts to, at their own cost, prepare and file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b w:val="1"/>
          <w:bCs w:val="1"/>
          <w:color w:val="auto"/>
        </w:rPr>
        <w:t>Exchange Offer Registration Statement</w:t>
      </w:r>
      <w:r>
        <w:rPr>
          <w:rFonts w:ascii="Times New Roman" w:cs="Times New Roman" w:eastAsia="Times New Roman" w:hAnsi="Times New Roman"/>
          <w:sz w:val="18"/>
          <w:szCs w:val="18"/>
          <w:color w:val="auto"/>
        </w:rPr>
        <w:t>”) on an appropriate form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with respect to a proposed offer (the “</w:t>
      </w:r>
      <w:r>
        <w:rPr>
          <w:rFonts w:ascii="Times New Roman" w:cs="Times New Roman" w:eastAsia="Times New Roman" w:hAnsi="Times New Roman"/>
          <w:sz w:val="18"/>
          <w:szCs w:val="18"/>
          <w:b w:val="1"/>
          <w:bCs w:val="1"/>
          <w:color w:val="auto"/>
        </w:rPr>
        <w:t>Registered Exchange Offer</w:t>
      </w:r>
      <w:r>
        <w:rPr>
          <w:rFonts w:ascii="Times New Roman" w:cs="Times New Roman" w:eastAsia="Times New Roman" w:hAnsi="Times New Roman"/>
          <w:sz w:val="18"/>
          <w:szCs w:val="18"/>
          <w:color w:val="auto"/>
        </w:rPr>
        <w:t>”) to the Holders of Transfer Restricted Securities (as defined in Section 6 hereof), who are not prohibited by any law or policy of the Commission from participating in the Registered Exchange Offer, to issue and deliver to such Holders, in exchange for the Initial Securities, a like aggregate principal amount of debt securities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 together with the Initial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under the Indenture and identical in all material respects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Securities (except for the transfer restrictions relating to the Initial Securities and the provisions relating to the matters described in Section 6 hereof) that would be registered under the Securities Act. The Company and the Guarantors shall use their commercially reasonable efforts to cause such Exchange Offer Registration Statement to become effective under the Securities Act within 270 days (or if the 270th day is not a business day, the first business day thereafter) after the date of original issue of the Initial Securities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and shall keep the Exchange Offer Registration Statement effective for not less than 20 business days (or longer, if required by applicable law) after commencement of the Registered Exchange Offer (such period being called the “</w:t>
      </w:r>
      <w:r>
        <w:rPr>
          <w:rFonts w:ascii="Times New Roman" w:cs="Times New Roman" w:eastAsia="Times New Roman" w:hAnsi="Times New Roman"/>
          <w:sz w:val="18"/>
          <w:szCs w:val="18"/>
          <w:b w:val="1"/>
          <w:bCs w:val="1"/>
          <w:color w:val="auto"/>
        </w:rPr>
        <w:t>Exchange Offer Registration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2" w:name="page63"/>
    <w:bookmarkEnd w:id="62"/>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and the Guarantors will use their commercially reasonable efforts to complete the Registered Exchange Offer not later than 360 days after the Issue Date.</w:t>
      </w:r>
    </w:p>
    <w:p>
      <w:pPr>
        <w:spacing w:after="0" w:line="16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If the Company and the Guarantors effect the Registered Exchange Offer, the Company and the Guarantors will be entitled to close the Registered Exchange Offer 20 business days after the commencement thereof provided that the Company and the Guarantors have accepted all the Initial Securities theretofore validly tendered and not properly withdrawn in accordance with the terms of the Registered Exchange Offer.</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declaration of the effectiveness of the Exchange Offer Registration Statement, the Company and the Guarantors shall promptly commence the Registered Exchange Offer (but in any event not later than 30 days after such effectiveness), it being the objective of such Registered Exchange Offer to enable each Holder of Transfer Restricted Securities electing to exchange the Initial Securities for Exchange Securities (assuming that such Holder is not an affiliate of the Company or any Guarantor within the meaning of the Securities Act, acquires the Exchange Securities in the ordinary course of such Holder’s business and has no arrangements with any person to participate in the distribution of the Exchange Securities and is not prohibited by any law or policy of the Commission from participating in the Registered Exchange Offer) to trade such Exchange Securities from and after their receipt without any limitations or restrictions under the Securities Act.</w:t>
      </w:r>
    </w:p>
    <w:p>
      <w:pPr>
        <w:spacing w:after="0" w:line="1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and the Guarantors acknowledge that, pursuant to current interpretations by the Commission’s staff of Section 5 of the Securities Act, in the absence of an applicable exemption therefrom, each Holder which is a broker-dealer electing to exchange Initial Securities, acquired for its own account as a result of market making activities or other trading activities, for Exchange Securities (an “</w:t>
      </w:r>
      <w:r>
        <w:rPr>
          <w:rFonts w:ascii="Times New Roman" w:cs="Times New Roman" w:eastAsia="Times New Roman" w:hAnsi="Times New Roman"/>
          <w:sz w:val="18"/>
          <w:szCs w:val="18"/>
          <w:b w:val="1"/>
          <w:bCs w:val="1"/>
          <w:color w:val="auto"/>
        </w:rPr>
        <w:t>Exchanging Dealer</w:t>
      </w:r>
      <w:r>
        <w:rPr>
          <w:rFonts w:ascii="Times New Roman" w:cs="Times New Roman" w:eastAsia="Times New Roman" w:hAnsi="Times New Roman"/>
          <w:sz w:val="18"/>
          <w:szCs w:val="18"/>
          <w:color w:val="auto"/>
        </w:rPr>
        <w:t>”), is required to deliver a prospectus containing the information set forth in (a) Annex A hereto on the cover, (b) Annex B hereto in the “</w:t>
      </w:r>
      <w:r>
        <w:rPr>
          <w:rFonts w:ascii="Times New Roman" w:cs="Times New Roman" w:eastAsia="Times New Roman" w:hAnsi="Times New Roman"/>
          <w:sz w:val="18"/>
          <w:szCs w:val="18"/>
          <w:b w:val="1"/>
          <w:bCs w:val="1"/>
          <w:color w:val="auto"/>
        </w:rPr>
        <w:t>Description of the Exchange Offer</w:t>
      </w:r>
      <w:r>
        <w:rPr>
          <w:rFonts w:ascii="Times New Roman" w:cs="Times New Roman" w:eastAsia="Times New Roman" w:hAnsi="Times New Roman"/>
          <w:sz w:val="18"/>
          <w:szCs w:val="18"/>
          <w:color w:val="auto"/>
        </w:rPr>
        <w:t>” or similar section, and (c) Annex C hereto in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section of such prospectus in connection with a sale of any such Exchange Securities received by such Exchanging Dealer pursuant to the Registered Exchange Offer.</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and the Guarantors shall use their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such persons must comply with such requirements in order to resell the Exchange Securities; provided, however, that in the case where such prospectus and any amendment or supplement thereto must be delivered by an Exchanging Dealer or a Dealer Manager, such period shall be the lesser of 90 days and the date on which all Exchanging Dealers and the Dealer Managers have sold all Exchange Securities held by them (unless such period is extended pursuant to Section 3(f) below).</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Registered Exchange Offer, the Company and the Guarantors shall:</w:t>
      </w:r>
    </w:p>
    <w:p>
      <w:pPr>
        <w:spacing w:after="0" w:line="225" w:lineRule="exact"/>
        <w:rPr>
          <w:sz w:val="20"/>
          <w:szCs w:val="20"/>
          <w:color w:val="auto"/>
        </w:rPr>
      </w:pPr>
    </w:p>
    <w:p>
      <w:pPr>
        <w:ind w:right="260" w:firstLine="332"/>
        <w:spacing w:after="0" w:line="282" w:lineRule="auto"/>
        <w:tabs>
          <w:tab w:leader="none" w:pos="83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to each Holder an electronic copy of the prospectus forming part of the Exchange Offer Registration Statement, together with any letter of transmittal used in connection with the Registered Exchange Offer and related documents;</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8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services of a depositary for the Registered Exchange Offer with an address in the Borough of Manhattan, The City of New York, which may be the Trustee or an affiliate of the Trustee;</w:t>
      </w:r>
    </w:p>
    <w:p>
      <w:pPr>
        <w:spacing w:after="0" w:line="161" w:lineRule="exact"/>
        <w:rPr>
          <w:rFonts w:ascii="Times New Roman" w:cs="Times New Roman" w:eastAsia="Times New Roman" w:hAnsi="Times New Roman"/>
          <w:sz w:val="18"/>
          <w:szCs w:val="18"/>
          <w:color w:val="auto"/>
        </w:rPr>
      </w:pPr>
    </w:p>
    <w:p>
      <w:pPr>
        <w:ind w:right="240" w:firstLine="332"/>
        <w:spacing w:after="0" w:line="282" w:lineRule="auto"/>
        <w:tabs>
          <w:tab w:leader="none" w:pos="83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Holders to withdraw tendered Securities at any time prior to the close of business, New York time, on the last business day on which the Registered Exchange Offer shall remain open; and</w:t>
      </w:r>
    </w:p>
    <w:p>
      <w:pPr>
        <w:spacing w:after="0" w:line="161"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applicable laws.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soon as practicable after the close of the Registered Exchange Offer, the Company and the Guarantors shall:</w:t>
      </w:r>
    </w:p>
    <w:p>
      <w:pPr>
        <w:spacing w:after="0" w:line="225" w:lineRule="exact"/>
        <w:rPr>
          <w:sz w:val="20"/>
          <w:szCs w:val="20"/>
          <w:color w:val="auto"/>
        </w:rPr>
      </w:pPr>
    </w:p>
    <w:p>
      <w:pPr>
        <w:ind w:left="840" w:hanging="508"/>
        <w:spacing w:after="0"/>
        <w:tabs>
          <w:tab w:leader="none" w:pos="8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exchange all the Initial Securities validly tendered and not withdrawn pursuant to the Registered Exchange Offer;</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for cancellation all the Initial Securities so accepted for exchange; and</w:t>
      </w:r>
    </w:p>
    <w:p>
      <w:pPr>
        <w:spacing w:after="0" w:line="225" w:lineRule="exact"/>
        <w:rPr>
          <w:rFonts w:ascii="Times New Roman" w:cs="Times New Roman" w:eastAsia="Times New Roman" w:hAnsi="Times New Roman"/>
          <w:sz w:val="18"/>
          <w:szCs w:val="18"/>
          <w:color w:val="auto"/>
        </w:rPr>
      </w:pPr>
    </w:p>
    <w:p>
      <w:pPr>
        <w:ind w:right="40" w:firstLine="332"/>
        <w:spacing w:after="0" w:line="282" w:lineRule="auto"/>
        <w:tabs>
          <w:tab w:leader="none" w:pos="8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Trustee to authenticate and deliver promptly to each Holder of the Initial Securities Exchange Securities equal in principal amount to the Initial Securities of such Holder so accepted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ind w:firstLine="324"/>
        <w:spacing w:after="0" w:line="254" w:lineRule="auto"/>
        <w:rPr>
          <w:sz w:val="20"/>
          <w:szCs w:val="20"/>
          <w:color w:val="auto"/>
        </w:rPr>
      </w:pPr>
      <w:r>
        <w:rPr>
          <w:rFonts w:ascii="Times New Roman" w:cs="Times New Roman" w:eastAsia="Times New Roman" w:hAnsi="Times New Roman"/>
          <w:sz w:val="18"/>
          <w:szCs w:val="18"/>
          <w:color w:val="auto"/>
        </w:rPr>
        <w:t>Each Holder participating in the Registered Exchange Offer shall be required to represent to the Company and the Guarantors that at the time of the consummation of the Registered Exchange Offer (i) any Initial Securities being exchanged by such Holder, and any Exchange Securities received by such Holder, have been or will be acquired in the ordinary course of business, (ii) such Holder is not engaged and does not intend to engage in and will have no arrangements or understanding with any person to participate in the distribution of the Initial Securities or the Exchange Securities within the meaning of the Securities Act, (iii) such Holder is not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defined in Rule 405 of the Securities Act, of the Company or any Guarantor or if it is an affiliate, such Holder will comply with the registration and prospectus delivery requirements of the Securities Act to the extent applicable, (iv) if such Holder is not a broker-dealer, that it is not engaged in, and does not intend to engage in, the distribution of the Exchange Securities and (v) if such Holder is a broker-dealer, that it will receive Exchange Securities for its own account in exchange for Initial Securities that were acquired as a result of market-making activities or other trading activities and that it will be required to acknowledge that it will deliver a prospectus in connection with any resale of such Exchange Securities.</w:t>
      </w:r>
    </w:p>
    <w:p>
      <w:pPr>
        <w:spacing w:after="0" w:line="185" w:lineRule="exact"/>
        <w:rPr>
          <w:sz w:val="20"/>
          <w:szCs w:val="20"/>
          <w:color w:val="auto"/>
        </w:rPr>
      </w:pPr>
    </w:p>
    <w:p>
      <w:pPr>
        <w:ind w:left="620" w:hanging="444"/>
        <w:spacing w:after="0"/>
        <w:tabs>
          <w:tab w:leader="none" w:pos="62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Shelf Registration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(i) because of any change in law or in applicable interpretations thereof by the staff of the Commission, the Company and the Guarantors determine that they are not permitted to effect a Registered Exchange Offer, as contemplated by Section 1 hereof, (ii) the Registered Exchange Offer is not consummated within 360 days of the Issue Date, (iii) any Holder (other than as a result of the status of any such Holder as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the Company or any Guarantor or as a broker-dealer) notifies the Company and the Guarantors prior to the 20th day following completion of the Registered Exchange Offer that it is not eligible to participate in the Registered Exchange Offer or, in the case of any Holder that participates in the Registered Exchange Offer, such Holder does not receive freely tradeable Exchange Securities on the date of the exchange (it being understood that the requirement that an Exchanging Dealer deliver a prospectus containing the information set forth in (a) Annex A hereto on the cover, (b) Annex B hereto in the “</w:t>
      </w:r>
      <w:r>
        <w:rPr>
          <w:rFonts w:ascii="Times New Roman" w:cs="Times New Roman" w:eastAsia="Times New Roman" w:hAnsi="Times New Roman"/>
          <w:sz w:val="18"/>
          <w:szCs w:val="18"/>
          <w:b w:val="1"/>
          <w:bCs w:val="1"/>
          <w:color w:val="auto"/>
        </w:rPr>
        <w:t>Description of the Exchange Offer</w:t>
      </w:r>
      <w:r>
        <w:rPr>
          <w:rFonts w:ascii="Times New Roman" w:cs="Times New Roman" w:eastAsia="Times New Roman" w:hAnsi="Times New Roman"/>
          <w:sz w:val="18"/>
          <w:szCs w:val="18"/>
          <w:color w:val="auto"/>
        </w:rPr>
        <w:t>” or similar section, and (c) Annex C hereto in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in connection with a sale of any such Exchange Securities received by such Exchanging Dealer pursuant to the Registered Exchange Offer shall not result in such Exchange Securities being not “</w:t>
      </w:r>
      <w:r>
        <w:rPr>
          <w:rFonts w:ascii="Times New Roman" w:cs="Times New Roman" w:eastAsia="Times New Roman" w:hAnsi="Times New Roman"/>
          <w:sz w:val="18"/>
          <w:szCs w:val="18"/>
          <w:b w:val="1"/>
          <w:bCs w:val="1"/>
          <w:color w:val="auto"/>
        </w:rPr>
        <w:t>freely transferable</w:t>
      </w:r>
      <w:r>
        <w:rPr>
          <w:rFonts w:ascii="Times New Roman" w:cs="Times New Roman" w:eastAsia="Times New Roman" w:hAnsi="Times New Roman"/>
          <w:sz w:val="18"/>
          <w:szCs w:val="18"/>
          <w:color w:val="auto"/>
        </w:rPr>
        <w:t>”), or (iv) the Company and the Guarantors so elect, the Company and the Guarantors shall, at their reasonable costs, take the following actions:</w:t>
      </w:r>
    </w:p>
    <w:p>
      <w:pPr>
        <w:spacing w:after="0" w:line="186" w:lineRule="exact"/>
        <w:rPr>
          <w:sz w:val="20"/>
          <w:szCs w:val="20"/>
          <w:color w:val="auto"/>
        </w:rPr>
      </w:pPr>
    </w:p>
    <w:p>
      <w:pPr>
        <w:ind w:right="60" w:firstLine="332"/>
        <w:spacing w:after="0" w:line="254" w:lineRule="auto"/>
        <w:tabs>
          <w:tab w:leader="none" w:pos="8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as promptly as practicable (but in no event more than 180 days after so required or requested pursuant to this Section 2) file with the Commission and thereafter shall use their commercially reasonable efforts to cause to be declared effective (unless it becomes effective automatically upon filing), within 270 days after the Company and the Guarantors are so required or requested pursuant to this Section 2, a registration statement (the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and, together with the Exchange Offer Registration Statement,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an appropriate form under the Securities Act relating to the offer and sale of the Transfer Restricted Securities (as defined in Section 6 hereof) by the Holders thereof from time to time in accordance with the methods of distribution set forth in the Shelf Registration Statement and Rule 415 under the Securities Act (hereinafter, the “</w:t>
      </w:r>
      <w:r>
        <w:rPr>
          <w:rFonts w:ascii="Times New Roman" w:cs="Times New Roman" w:eastAsia="Times New Roman" w:hAnsi="Times New Roman"/>
          <w:sz w:val="18"/>
          <w:szCs w:val="18"/>
          <w:b w:val="1"/>
          <w:bCs w:val="1"/>
          <w:color w:val="auto"/>
        </w:rPr>
        <w:t>Shelf Registration</w:t>
      </w:r>
      <w:r>
        <w:rPr>
          <w:rFonts w:ascii="Times New Roman" w:cs="Times New Roman" w:eastAsia="Times New Roman" w:hAnsi="Times New Roman"/>
          <w:sz w:val="18"/>
          <w:szCs w:val="18"/>
          <w:color w:val="auto"/>
        </w:rPr>
        <w:t>”) or, if permitted by 430B under the Securities Act, otherwise designate an existing effective Shelf Registration Statement for use by the Holders as a Shelf Registration Statement relating to the resales of the Transfer Restricted Securities; provided, however, that no Holder (other than a Dealer Manager) shall be entitled to have the Securities held by it covered by such Shelf Registration Statement unless such Holder agrees in writing to be bound by all the provisions of this Agreement applicable to such Holder.</w:t>
      </w:r>
    </w:p>
    <w:p>
      <w:pPr>
        <w:spacing w:after="0" w:line="186" w:lineRule="exact"/>
        <w:rPr>
          <w:rFonts w:ascii="Times New Roman" w:cs="Times New Roman" w:eastAsia="Times New Roman" w:hAnsi="Times New Roman"/>
          <w:sz w:val="18"/>
          <w:szCs w:val="18"/>
          <w:color w:val="auto"/>
        </w:rPr>
      </w:pPr>
    </w:p>
    <w:p>
      <w:pPr>
        <w:ind w:right="100" w:firstLine="332"/>
        <w:spacing w:after="0" w:line="261" w:lineRule="auto"/>
        <w:tabs>
          <w:tab w:leader="none" w:pos="84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their commercially reasonable efforts to keep the Shelf Registration Statement continuously effective in order to permit the prospectus included therein to be lawfully delivered by the Holders of the relevant Securities, for a period of one year (or for such longer period if extended pursuant to Section 3(f) below) from effectiveness of the Shelf Registration Statement or such shorter period that will terminate when all the Securities covered by the Shelf Registration Statement have been sold pursuant thereto.</w:t>
      </w:r>
    </w:p>
    <w:p>
      <w:pPr>
        <w:spacing w:after="0" w:line="176" w:lineRule="exact"/>
        <w:rPr>
          <w:rFonts w:ascii="Times New Roman" w:cs="Times New Roman" w:eastAsia="Times New Roman" w:hAnsi="Times New Roman"/>
          <w:sz w:val="18"/>
          <w:szCs w:val="18"/>
          <w:color w:val="auto"/>
        </w:rPr>
      </w:pPr>
    </w:p>
    <w:p>
      <w:pPr>
        <w:ind w:left="620" w:hanging="444"/>
        <w:spacing w:after="0"/>
        <w:tabs>
          <w:tab w:leader="none" w:pos="62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Registration Procedures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any Shelf Registration contemplated by Section 2 hereof and, to the extent applicable, any Registered Exchange Offer contemplated by Section 1 hereof, the following provisions shall apply:</w:t>
      </w:r>
    </w:p>
    <w:p>
      <w:pPr>
        <w:spacing w:after="0" w:line="162" w:lineRule="exact"/>
        <w:rPr>
          <w:sz w:val="20"/>
          <w:szCs w:val="20"/>
          <w:color w:val="auto"/>
        </w:rPr>
      </w:pPr>
    </w:p>
    <w:p>
      <w:pPr>
        <w:ind w:right="980" w:firstLine="332"/>
        <w:spacing w:after="0" w:line="282" w:lineRule="auto"/>
        <w:tabs>
          <w:tab w:leader="none" w:pos="8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(i) include the information set forth in Annex A hereto on the cover, in Annex B hereto in the “</w:t>
      </w:r>
      <w:r>
        <w:rPr>
          <w:rFonts w:ascii="Times New Roman" w:cs="Times New Roman" w:eastAsia="Times New Roman" w:hAnsi="Times New Roman"/>
          <w:sz w:val="18"/>
          <w:szCs w:val="18"/>
          <w:b w:val="1"/>
          <w:bCs w:val="1"/>
          <w:color w:val="auto"/>
        </w:rPr>
        <w:t>Description of the Exchange Offer</w:t>
      </w:r>
      <w:r>
        <w:rPr>
          <w:rFonts w:ascii="Times New Roman" w:cs="Times New Roman" w:eastAsia="Times New Roman" w:hAnsi="Times New Roman"/>
          <w:sz w:val="18"/>
          <w:szCs w:val="18"/>
          <w:color w:val="auto"/>
        </w:rPr>
        <w:t>” or similar section and in Annex C hereto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4" w:name="page65"/>
    <w:bookmarkEnd w:id="64"/>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section of the prospectus forming a part of the Exchange Offer Registration Statement and include the information set forth in Annex D hereto in any Letter of Transmittal delivered pursuant to the Registered Exchange Offer; (ii) include within the prospectus contained in the Exchange Offer Registration Statement a section entitled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which shall contain a summary statement of the positions taken or policies made by the staff of the Commission with respect to the potential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status of any broker-dealer that is the beneficial owner (as defined in Rule 13d-3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Exchange Securities received by such broker-dealer in the Registered Exchange Offer (a “</w:t>
      </w:r>
      <w:r>
        <w:rPr>
          <w:rFonts w:ascii="Times New Roman" w:cs="Times New Roman" w:eastAsia="Times New Roman" w:hAnsi="Times New Roman"/>
          <w:sz w:val="18"/>
          <w:szCs w:val="18"/>
          <w:b w:val="1"/>
          <w:bCs w:val="1"/>
          <w:color w:val="auto"/>
        </w:rPr>
        <w:t>Participating Broker-Dealer</w:t>
      </w:r>
      <w:r>
        <w:rPr>
          <w:rFonts w:ascii="Times New Roman" w:cs="Times New Roman" w:eastAsia="Times New Roman" w:hAnsi="Times New Roman"/>
          <w:sz w:val="18"/>
          <w:szCs w:val="18"/>
          <w:color w:val="auto"/>
        </w:rPr>
        <w:t>”); and (iv) in the case of a Shelf Registration Statement, include in the prospectus included in the Shelf Registration Statement (or, if permitted by Commission Rule 430B(b), in a prospectus supplement that becomes a part thereof pursuant to Commission Rule 430B(f)) that is delivered to any Holder pursuant to Section 3(d), the names of the Holders, who propose to sell Securities pursuant to the Shelf Registration Statement, as selling security holders.</w:t>
      </w:r>
    </w:p>
    <w:p>
      <w:pPr>
        <w:spacing w:after="0" w:line="186" w:lineRule="exact"/>
        <w:rPr>
          <w:sz w:val="20"/>
          <w:szCs w:val="20"/>
          <w:color w:val="auto"/>
        </w:rPr>
      </w:pPr>
    </w:p>
    <w:p>
      <w:pPr>
        <w:ind w:right="20" w:firstLine="332"/>
        <w:spacing w:after="0" w:line="261" w:lineRule="auto"/>
        <w:tabs>
          <w:tab w:leader="none" w:pos="8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give notice to the Dealer Managers, the Holders of the Securities (in case of any Shelf Registration Statement) and any Participating Broker-Dealer from whom the Company and the Guarantors have received prior written notice that it will be a Participating Broker-Dealer in the Registered Exchange Offer (which notice pursuant to clauses (i)-(iv) hereof shall be accompanied by an instruction to suspend the use of the prospectus until the requisite changes have been made):</w:t>
      </w:r>
    </w:p>
    <w:p>
      <w:pPr>
        <w:spacing w:after="0" w:line="180" w:lineRule="exact"/>
        <w:rPr>
          <w:sz w:val="20"/>
          <w:szCs w:val="20"/>
          <w:color w:val="auto"/>
        </w:rPr>
      </w:pPr>
    </w:p>
    <w:p>
      <w:pPr>
        <w:ind w:right="80" w:firstLine="332"/>
        <w:spacing w:after="0" w:line="282" w:lineRule="auto"/>
        <w:tabs>
          <w:tab w:leader="none" w:pos="80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or any amendment thereto has been filed with the Commission and when the Registration Statement or any post-effective amendment thereto has become effective;</w:t>
      </w:r>
    </w:p>
    <w:p>
      <w:pPr>
        <w:spacing w:after="0" w:line="161"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amendments or supplements to the Registration Statement or the prospectus included therein;</w:t>
      </w:r>
    </w:p>
    <w:p>
      <w:pPr>
        <w:spacing w:after="0" w:line="225" w:lineRule="exact"/>
        <w:rPr>
          <w:rFonts w:ascii="Times New Roman" w:cs="Times New Roman" w:eastAsia="Times New Roman" w:hAnsi="Times New Roman"/>
          <w:sz w:val="18"/>
          <w:szCs w:val="18"/>
          <w:color w:val="auto"/>
        </w:rPr>
      </w:pPr>
    </w:p>
    <w:p>
      <w:pPr>
        <w:ind w:right="340" w:firstLine="332"/>
        <w:spacing w:after="0" w:line="266" w:lineRule="auto"/>
        <w:tabs>
          <w:tab w:leader="none" w:pos="90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the initiation of any proceedings for that purpose and of the happening of any event that causes the Company or any Guarantor to become an “</w:t>
      </w:r>
      <w:r>
        <w:rPr>
          <w:rFonts w:ascii="Times New Roman" w:cs="Times New Roman" w:eastAsia="Times New Roman" w:hAnsi="Times New Roman"/>
          <w:sz w:val="18"/>
          <w:szCs w:val="18"/>
          <w:b w:val="1"/>
          <w:bCs w:val="1"/>
          <w:color w:val="auto"/>
        </w:rPr>
        <w:t>ineligible issuer,</w:t>
      </w:r>
      <w:r>
        <w:rPr>
          <w:rFonts w:ascii="Times New Roman" w:cs="Times New Roman" w:eastAsia="Times New Roman" w:hAnsi="Times New Roman"/>
          <w:sz w:val="18"/>
          <w:szCs w:val="18"/>
          <w:color w:val="auto"/>
        </w:rPr>
        <w:t>” as defined in Commission Rule 405;</w:t>
      </w:r>
    </w:p>
    <w:p>
      <w:pPr>
        <w:spacing w:after="0" w:line="176" w:lineRule="exact"/>
        <w:rPr>
          <w:rFonts w:ascii="Times New Roman" w:cs="Times New Roman" w:eastAsia="Times New Roman" w:hAnsi="Times New Roman"/>
          <w:sz w:val="18"/>
          <w:szCs w:val="18"/>
          <w:color w:val="auto"/>
        </w:rPr>
      </w:pPr>
    </w:p>
    <w:p>
      <w:pPr>
        <w:ind w:right="140" w:firstLine="332"/>
        <w:spacing w:after="0" w:line="282" w:lineRule="auto"/>
        <w:tabs>
          <w:tab w:leader="none" w:pos="8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and the Guarantors or their legal counsel of any notification with respect to the suspension of the qualification of the Securities for sale in any jurisdiction or the initiation or overtly threatening of any proceeding for such purpose.</w:t>
      </w:r>
    </w:p>
    <w:p>
      <w:pPr>
        <w:spacing w:after="0" w:line="162" w:lineRule="exact"/>
        <w:rPr>
          <w:sz w:val="20"/>
          <w:szCs w:val="20"/>
          <w:color w:val="auto"/>
        </w:rPr>
      </w:pPr>
    </w:p>
    <w:p>
      <w:pPr>
        <w:ind w:right="380" w:firstLine="332"/>
        <w:spacing w:after="0" w:line="282" w:lineRule="auto"/>
        <w:tabs>
          <w:tab w:leader="none" w:pos="8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commercially reasonable effort to obtain the withdrawal at the earliest possible time, of any order suspending the effectiveness of the Registration Statement.</w:t>
      </w:r>
    </w:p>
    <w:p>
      <w:pPr>
        <w:spacing w:after="0" w:line="161" w:lineRule="exact"/>
        <w:rPr>
          <w:rFonts w:ascii="Times New Roman" w:cs="Times New Roman" w:eastAsia="Times New Roman" w:hAnsi="Times New Roman"/>
          <w:sz w:val="18"/>
          <w:szCs w:val="18"/>
          <w:color w:val="auto"/>
        </w:rPr>
      </w:pPr>
    </w:p>
    <w:p>
      <w:pPr>
        <w:ind w:right="20" w:firstLine="332"/>
        <w:spacing w:after="0" w:line="258" w:lineRule="auto"/>
        <w:tabs>
          <w:tab w:leader="none" w:pos="8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during the Shelf Registration Period,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and the Guarantors consent, subject to the provisions of this Agreement, to the use of the prospectus or any amendment or supplement thereto by each of the selling Holders of the Securities in connection with the offering and sale of the Securities covered by the prospectus, or any amendment or supplement thereto, included in the Shelf Registration Statement.</w:t>
      </w:r>
    </w:p>
    <w:p>
      <w:pPr>
        <w:spacing w:after="0" w:line="183" w:lineRule="exact"/>
        <w:rPr>
          <w:rFonts w:ascii="Times New Roman" w:cs="Times New Roman" w:eastAsia="Times New Roman" w:hAnsi="Times New Roman"/>
          <w:sz w:val="18"/>
          <w:szCs w:val="18"/>
          <w:color w:val="auto"/>
        </w:rPr>
      </w:pPr>
    </w:p>
    <w:p>
      <w:pPr>
        <w:ind w:right="100" w:firstLine="332"/>
        <w:spacing w:after="0" w:line="255" w:lineRule="auto"/>
        <w:tabs>
          <w:tab w:leader="none" w:pos="8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deliver to each Dealer Manager, any Exchanging Dealer, any Participating Broker-Dealer and such other persons required to deliver a prospectus following the Registered Exchange Offer, without charge, as many electronic copies of the final prospectus included in the Exchange Offer Registration Statement and any amendment or supplement thereto as such persons may reasonably request. The Company and the Guarantors consent, subject to the provisions of this Agreement, to the use of the prospectus or any amendment or supplement thereto by any Dealer Manager, if necessary, any Participating Broker-Dealer and such other persons required to deliver a prospectus following the Registered Exchange Offer in connection with the offering and sale of the Exchange Securities covered by the prospectus, or any amendment or supplement thereto, included in such Exchange Offer Registration Statement.</w:t>
      </w:r>
    </w:p>
    <w:p>
      <w:pPr>
        <w:spacing w:after="0" w:line="189" w:lineRule="exact"/>
        <w:rPr>
          <w:rFonts w:ascii="Times New Roman" w:cs="Times New Roman" w:eastAsia="Times New Roman" w:hAnsi="Times New Roman"/>
          <w:sz w:val="18"/>
          <w:szCs w:val="18"/>
          <w:color w:val="auto"/>
        </w:rPr>
      </w:pPr>
    </w:p>
    <w:p>
      <w:pPr>
        <w:ind w:firstLine="332"/>
        <w:spacing w:after="0" w:line="266" w:lineRule="auto"/>
        <w:tabs>
          <w:tab w:leader="none" w:pos="8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paragraphs (i) through (iv) of Section 3(b) above during the period for which the Company and the Guarantors are required to maintain an effective Registration Statement, the Company and the Guarantors shall promptly prepare and file a post-effective amendment to the Registration Statement or a supplement to the related prospectus and any other required document so that, as thereafter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65" w:name="page66"/>
    <w:bookmarkEnd w:id="65"/>
    <w:p>
      <w:pPr>
        <w:spacing w:after="0" w:line="252" w:lineRule="auto"/>
        <w:rPr>
          <w:sz w:val="20"/>
          <w:szCs w:val="20"/>
          <w:color w:val="auto"/>
        </w:rPr>
      </w:pPr>
      <w:r>
        <w:rPr>
          <w:rFonts w:ascii="Times New Roman" w:cs="Times New Roman" w:eastAsia="Times New Roman" w:hAnsi="Times New Roman"/>
          <w:sz w:val="18"/>
          <w:szCs w:val="18"/>
          <w:color w:val="auto"/>
        </w:rPr>
        <w:t>to Holders of the Securities or purchasers of Securities, the prospectus will not contain an untrue statement of a material fact or omit to state any material fact required to be stated therein or necessary to make the statements therein, in light of the circumstances under which they were made, not misleading. The Company and the Guarantors shall also promptly provide notice to the Dealer Managers, the Holders of the Securities (in case of any Shelf Registration Statement) and any known Participating Broker-Dealer of their determination to suspend the availability of a Registration Statement and the related prospectus because the continued effectiveness and use of such Registration Statement and prospectus included therein would require the disclosure of confidential information or interfere with any acquisition, corporate reorganization or other material transaction involving the Company and the Guarantors or any of their respective consolidated subsidiaries (it being understood that such notice may disclose only the existence of such determination and need not disclose the nature of the basis therefor, which may be kept confidential for such period as may reasonably be required for bona fide business reasons). If the Company and the Guarantors notify the Dealer Managers, the Holders of the Securities and any known Participating Broker-Dealer in accordance with paragraphs (i) through (iv) of Section 3(b) above to suspend the use of the prospectus until the requisite changes to the prospectus have been made, then the Dealer Managers, the Holders of the Securities and any such Participating Broker-Dealers shall suspend use of such prospectus, and the period of effectiveness of the Shelf Registration Statement provided for in Section 2(b) above and the Exchange Offer Registration Statement provided for in Section 1 above, as applicable, shall each be extended by the number of days from and including the date of the giving of such notice to and including the date when the Dealer Managers, the Holders of the Securities and any known Participating Broker-Dealer shall have received such amended or supplemented prospectus pursuant to this Section 3(f). During the period during which the Company and the Guarantors are required to maintain an effective Shelf Registration Statement pursuant to this Agreement, the Company and the Guarantors will prior to the three-year expiration of that Shelf Registration Statement file, and use their commercially reasonable efforts to cause to be declared effective (unless it becomes effective automatically upon filing) within a period that avoids any interruption in the ability of Holders of Securities covered by the expiring Shelf Registration Statement to make registered dispositions, a new registration statement relating to the Securities, which shall be deemed the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for purposes of this Agreement.</w:t>
      </w:r>
    </w:p>
    <w:p>
      <w:pPr>
        <w:spacing w:after="0" w:line="192" w:lineRule="exact"/>
        <w:rPr>
          <w:sz w:val="20"/>
          <w:szCs w:val="20"/>
          <w:color w:val="auto"/>
        </w:rPr>
      </w:pPr>
    </w:p>
    <w:p>
      <w:pPr>
        <w:ind w:right="160" w:firstLine="332"/>
        <w:spacing w:after="0" w:line="266" w:lineRule="auto"/>
        <w:tabs>
          <w:tab w:leader="none" w:pos="84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applicable Registration Statement, the Company and the Guarantors will provide a CUSIP number for the Initial Securities or the Exchange Securities, as the case may be, and provide the applicable trustee with printed certificates for the Initial Securities or the Exchange Securities, as the case may be, in a form eligible for deposit with The Depository Trust Company.</w:t>
      </w:r>
    </w:p>
    <w:p>
      <w:pPr>
        <w:spacing w:after="0" w:line="176" w:lineRule="exact"/>
        <w:rPr>
          <w:rFonts w:ascii="Times New Roman" w:cs="Times New Roman" w:eastAsia="Times New Roman" w:hAnsi="Times New Roman"/>
          <w:sz w:val="18"/>
          <w:szCs w:val="18"/>
          <w:color w:val="auto"/>
        </w:rPr>
      </w:pPr>
    </w:p>
    <w:p>
      <w:pPr>
        <w:ind w:right="160" w:firstLine="332"/>
        <w:spacing w:after="0" w:line="282" w:lineRule="auto"/>
        <w:tabs>
          <w:tab w:leader="none" w:pos="8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will comply in all material respects with all rules and regulations of the Commission to the extent and so long as they are applicable to the Registered Exchange Offer or the Shelf Registration.</w:t>
      </w:r>
    </w:p>
    <w:p>
      <w:pPr>
        <w:spacing w:after="0" w:line="157" w:lineRule="exact"/>
        <w:rPr>
          <w:rFonts w:ascii="Times New Roman" w:cs="Times New Roman" w:eastAsia="Times New Roman" w:hAnsi="Times New Roman"/>
          <w:sz w:val="18"/>
          <w:szCs w:val="18"/>
          <w:color w:val="auto"/>
        </w:rPr>
      </w:pPr>
    </w:p>
    <w:p>
      <w:pPr>
        <w:ind w:right="80" w:firstLine="332"/>
        <w:spacing w:after="0" w:line="262" w:lineRule="auto"/>
        <w:tabs>
          <w:tab w:leader="none" w:pos="8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cause the Indenture to be qualified under the Trust Indenture Act of 1939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as amended, in a timely manner and containing such changes, if any, as shall be necessary for such qualification. In the event that such qualification would require the appointment of a new trustee under the Indenture, the Company and the Guarantors shall appoint a new trustee thereunder pursuant to the applicable provisions of the Indenture.</w:t>
      </w:r>
    </w:p>
    <w:p>
      <w:pPr>
        <w:spacing w:after="0" w:line="180" w:lineRule="exact"/>
        <w:rPr>
          <w:rFonts w:ascii="Times New Roman" w:cs="Times New Roman" w:eastAsia="Times New Roman" w:hAnsi="Times New Roman"/>
          <w:sz w:val="18"/>
          <w:szCs w:val="18"/>
          <w:color w:val="auto"/>
        </w:rPr>
      </w:pPr>
    </w:p>
    <w:p>
      <w:pPr>
        <w:ind w:right="60" w:firstLine="332"/>
        <w:spacing w:after="0" w:line="261" w:lineRule="auto"/>
        <w:tabs>
          <w:tab w:leader="none" w:pos="8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may require each Holder of Securities to be sold pursuant to the Shelf Registration Statement to furnish to the Company and the Guarantors such information regarding the Holder and the distribution of the Securities as the Company and the Guarantors may from time to time reasonably require for inclusion in the Shelf Registration Statement, and the Company and the Guarantors may exclude from such registration the Securities of any Holder that fails to furnish such information within a reasonable time after receiving such request.</w:t>
      </w:r>
    </w:p>
    <w:p>
      <w:pPr>
        <w:spacing w:after="0" w:line="180" w:lineRule="exact"/>
        <w:rPr>
          <w:rFonts w:ascii="Times New Roman" w:cs="Times New Roman" w:eastAsia="Times New Roman" w:hAnsi="Times New Roman"/>
          <w:sz w:val="18"/>
          <w:szCs w:val="18"/>
          <w:color w:val="auto"/>
        </w:rPr>
      </w:pPr>
    </w:p>
    <w:p>
      <w:pPr>
        <w:ind w:right="160" w:firstLine="332"/>
        <w:spacing w:after="0" w:line="282" w:lineRule="auto"/>
        <w:tabs>
          <w:tab w:leader="none" w:pos="8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their commercially reasonable efforts to take all other steps necessary to effect the registration of the Securities covered by a Registration Statement contemplated hereby.</w:t>
      </w:r>
    </w:p>
    <w:p>
      <w:pPr>
        <w:spacing w:after="0" w:line="157" w:lineRule="exact"/>
        <w:rPr>
          <w:rFonts w:ascii="Times New Roman" w:cs="Times New Roman" w:eastAsia="Times New Roman" w:hAnsi="Times New Roman"/>
          <w:sz w:val="18"/>
          <w:szCs w:val="18"/>
          <w:color w:val="auto"/>
        </w:rPr>
      </w:pPr>
    </w:p>
    <w:p>
      <w:pPr>
        <w:ind w:left="620" w:hanging="444"/>
        <w:spacing w:after="0"/>
        <w:tabs>
          <w:tab w:leader="none" w:pos="62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Registration Expenses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and the Guarantors shall bear all fees and expenses incurred in connection with the performance of their obligations under Sections 1 through 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6" w:name="page67"/>
    <w:bookmarkEnd w:id="66"/>
    <w:p>
      <w:pPr>
        <w:ind w:left="444" w:hanging="444"/>
        <w:spacing w:after="0"/>
        <w:tabs>
          <w:tab w:leader="none" w:pos="444"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rFonts w:ascii="Times New Roman" w:cs="Times New Roman" w:eastAsia="Times New Roman" w:hAnsi="Times New Roman"/>
          <w:sz w:val="18"/>
          <w:szCs w:val="18"/>
          <w:b w:val="1"/>
          <w:bCs w:val="1"/>
          <w:i w:val="1"/>
          <w:iCs w:val="1"/>
          <w:color w:val="auto"/>
        </w:rPr>
      </w:pPr>
    </w:p>
    <w:p>
      <w:pPr>
        <w:ind w:left="-176" w:firstLine="332"/>
        <w:spacing w:after="0" w:line="251" w:lineRule="auto"/>
        <w:tabs>
          <w:tab w:leader="none" w:pos="65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agree to indemnify and hold harmless each Holder of the Securities, any Participating Broker-Dealer and each person, if any, who controls such Holder or such Participating Broker-Dealer within the meaning of the Securities Act (each Holder, any Participating Broker-Dealer and such controlling persons are referred to collectively as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any loss, claim, damage or liability, joint or several, and any action in respect thereof, to which that Indemnified Party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preliminary prospectus or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as defined in Commission Rule 433 (“</w:t>
      </w:r>
      <w:r>
        <w:rPr>
          <w:rFonts w:ascii="Times New Roman" w:cs="Times New Roman" w:eastAsia="Times New Roman" w:hAnsi="Times New Roman"/>
          <w:sz w:val="18"/>
          <w:szCs w:val="18"/>
          <w:b w:val="1"/>
          <w:bCs w:val="1"/>
          <w:color w:val="auto"/>
        </w:rPr>
        <w:t>Issuer FWP</w:t>
      </w:r>
      <w:r>
        <w:rPr>
          <w:rFonts w:ascii="Times New Roman" w:cs="Times New Roman" w:eastAsia="Times New Roman" w:hAnsi="Times New Roman"/>
          <w:sz w:val="18"/>
          <w:szCs w:val="18"/>
          <w:color w:val="auto"/>
        </w:rPr>
        <w:t>”), or arises out of, or is based upon, the omission or alleged omission to state therein a material fact required to be stated therein or necessary to make the statements therein not misleading, and shall reimburse each Indemnified Party for any legal and other expenses reasonably incurred by that Underwriter or controlling person in investigating or defending or preparing to defend against any such loss, claim, damage, liability or action as such expenses are incurred (but no more frequently than annually); provided, however, that (i) the Company and the Guarantors shall not be liable in any such case to the extent that such loss, claim, damage or liability arises out of or is based upon any untrue statement or alleged untrue statement or omission or alleged omission made in a Registration Statement or prospectus or in any amendment or supplement thereto or in any preliminary prospectus or Issuer FWP in reliance upon and in conformity with written information furnished to the Company and the Guarantors by or on behalf of such Holder or Participating Broker-Dealer specifically for inclusion therein and (ii) with respect to any untrue statement or omission or alleged untrue statement or omission made in any preliminary prospectus relating to a Shelf Registration Statement, the indemnity agreement contained in this subsection (a) shall not inure to the benefit of any Holder or Participating Broker-Dealer from whom the person asserting any such losses, claims, damages or liabilities purchased the Securities concerned, to the extent that a prospectus relating to such Securities was required to be delivered (including through satisfaction of the conditions of Commission Rule 172) by such Holder or Participating Broker-Dealer under the Securities Act in connection with such purchase and any such loss, claim, damage or liability of such Holder or Participating Broker-Dealer results from the fact that there was not conveyed to such person, at or prior to the time of the sale of such Securities to such person, an amended or supplemented prospectus or, if permitted by Section 3(d), an Issuer FWP correcting such untrue statement or omission or alleged untrue statement or omission if the Company and the Guarantors had previously furnished copies thereof to such Holder or Participating Broker-Dealer; provided further, however, that this indemnity agreement will be in addition to any liability which the Company and the Guarantors may otherwise have to such Indemnified Party.</w:t>
      </w:r>
    </w:p>
    <w:p>
      <w:pPr>
        <w:spacing w:after="0" w:line="207" w:lineRule="exact"/>
        <w:rPr>
          <w:rFonts w:ascii="Times New Roman" w:cs="Times New Roman" w:eastAsia="Times New Roman" w:hAnsi="Times New Roman"/>
          <w:sz w:val="18"/>
          <w:szCs w:val="18"/>
          <w:color w:val="auto"/>
        </w:rPr>
      </w:pPr>
    </w:p>
    <w:p>
      <w:pPr>
        <w:ind w:left="-176" w:firstLine="332"/>
        <w:spacing w:after="0" w:line="253" w:lineRule="auto"/>
        <w:tabs>
          <w:tab w:leader="none" w:pos="67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the Securities and each Participating Broker-Dealer, severally and not jointly, will indemnify and hold harmless the Company and the Guarantors, their respective directors, each of their respective officers who signed the applicable Registration Statement and any person who controls the Company or any Guarantor within the meaning of the Securities Act or the Exchange Act from and against any loss, claim, damage or liability, joint or several, and any action in respect thereof, to which the Company and the Guarantors, or any such director, officer or controlling person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Issuer FWP, or arises out of, or is based upon, the omission or alleged omission to state therein a material fact required to be stated therein or necessary to make the statements therein not misleading, and shall reimburse the Company and the Guarantors for any legal and other expenses reasonably incurred by the Company and the Guarantors, or any such director, officer or controlling person in investigating or defending or preparing to defend against any such loss, claim, damage, liability or action as such expenses are incurred (but no more frequently than annually), but in each case only to the extent that the untrue statement or alleged untrue statement or omission or alleged omission was made in reliance upon and in conformity with information furnished in writing to the Company and the Guarantors by such Holder or Participating Broker-Dealer specifically for inclusion therein. This indemnity agreement will be in addition to any liability which such Holder may otherwise have to the Company and the Guarantors or any of their respective directors, officers or controlling persons.</w:t>
      </w:r>
    </w:p>
    <w:p>
      <w:pPr>
        <w:spacing w:after="0" w:line="188" w:lineRule="exact"/>
        <w:rPr>
          <w:rFonts w:ascii="Times New Roman" w:cs="Times New Roman" w:eastAsia="Times New Roman" w:hAnsi="Times New Roman"/>
          <w:sz w:val="18"/>
          <w:szCs w:val="18"/>
          <w:color w:val="auto"/>
        </w:rPr>
      </w:pPr>
    </w:p>
    <w:p>
      <w:pPr>
        <w:jc w:val="both"/>
        <w:ind w:left="-176" w:right="180" w:firstLine="332"/>
        <w:spacing w:after="0" w:line="261" w:lineRule="auto"/>
        <w:tabs>
          <w:tab w:leader="none" w:pos="66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5 of notice of any claim or the commencement of any action, the indemnified party shall, if a claim in respect thereof is to be made against the indemnifying party under this Paragraph 5, notify the indemnifying party in writing of the claim or the commencement of that action, provided that the failure to notify the indemnifying party shall not relieve it from any liability which it may have to an indemnified party under Section 5(a) or 5(b) except to the extent that it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349250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4"/>
          </w:cols>
          <w:pgMar w:left="416" w:top="576" w:right="239" w:bottom="1440" w:gutter="0" w:footer="0" w:header="0"/>
        </w:sectPr>
      </w:pPr>
    </w:p>
    <w:bookmarkStart w:id="67" w:name="page68"/>
    <w:bookmarkEnd w:id="67"/>
    <w:p>
      <w:pPr>
        <w:ind w:right="60"/>
        <w:spacing w:after="0" w:line="252" w:lineRule="auto"/>
        <w:rPr>
          <w:sz w:val="20"/>
          <w:szCs w:val="20"/>
          <w:color w:val="auto"/>
        </w:rPr>
      </w:pPr>
      <w:r>
        <w:rPr>
          <w:rFonts w:ascii="Times New Roman" w:cs="Times New Roman" w:eastAsia="Times New Roman" w:hAnsi="Times New Roman"/>
          <w:sz w:val="18"/>
          <w:szCs w:val="18"/>
          <w:color w:val="auto"/>
        </w:rPr>
        <w:t>materially prejudiced (through the forfeiture of substantive rights or defenses) by such failure; and provided, further, that the failure to notify the indemnifying party shall not relieve it from any liability which it may have to an indemnified party otherwise than under Section 5(a) or 5(b).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5 for any legal or other expenses subsequently incurred by the indemnified party in connection with the defense thereof other than reasonable costs of investigation. If the indemnifying party shall not elect to assume the defense of such action, such indemnifying party will reimburse such indemnified party for the reasonable fees and expenses of any counsel retained by them. In the event that the parties to any such action (including impleaded parties) include both the Company and the Guarantors and one or more Holders or Participating Broker-Dealers and either (i) the indemnifying party or parties and indemnified party or parties mutually agree or (ii) representation of both the indemnifying party or parties and the indemnified party or parties by the same counsel is inappropriate under applicable standards of professional conduct or in the opinion of such counsel due to actual or potential differing interests between them, then the indemnifying party shall not have the right to assume the defense of such action on behalf of such indemnified party and will reimburse such indemnified party for the reasonable fees and expenses of any counsel retained by them and satisfactory to the indemnifying party, it being understood that the indemnifying party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Joint-Lead Dealer Managers (as defined in the Offering Memorandum) in the case of an action in which one or more Holders, Participating Broker-Dealers or controlling persons are indemnified parties and by the Company and the Guarantors in the case of an action in which the Company and the Guarantors or any of their respective directors, officers or controlling persons are indemnified parties. The indemnifying party or parties shall not be liable under this Agreement with respect to any settlement made by any indemnified party or parties without prior written consent by the indemnifying party or parties to such settlement.</w:t>
      </w:r>
    </w:p>
    <w:p>
      <w:pPr>
        <w:spacing w:after="0" w:line="191" w:lineRule="exact"/>
        <w:rPr>
          <w:sz w:val="20"/>
          <w:szCs w:val="20"/>
          <w:color w:val="auto"/>
        </w:rPr>
      </w:pPr>
    </w:p>
    <w:p>
      <w:pPr>
        <w:ind w:firstLine="332"/>
        <w:spacing w:after="0" w:line="252" w:lineRule="auto"/>
        <w:tabs>
          <w:tab w:leader="none" w:pos="8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5 shall for any reason be unavailable to an indemnified party under Section 5(a) or 5(b) hereof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in such proportion as is appropriate to reflect the relative benefits received by the Company and the Guarantors on the one hand and the Holders or Participating Broker-Dealers on the other hand from the exchange of the Securities, pursuant to the Registered Exchange Offer. If, however, this allocation is not permitted by applicable law, then each indemnifying party shall contribute to the amount paid or payable by such indemnified party as a result of such loss, claim, damage or liability, or action in respect thereof, in such proportion as shall be appropriate to reflect the relative benefits received by the Company and the Guarantors on the one hand and the Holders or Participating Broker-Dealers on the other hand from the exchange of the Securities, pursuant to the Registered Exchange Offer, and the relative fault of the Company and the Guarantors on the one hand and the Holders or Participating Broker-Dealers on the other hand with respect to the statements or omissions which resulted in such loss, claim, damage or liability, or action in respect thereof, as well as any other relevant equitable considerations. The relative fault shall be determined by reference to whether the untrue or alleged untrue statement of a material fact or omission or alleged omission to state a material fact relates to information supplied by the Company and the Guarantors or the Holders or Participating Broker-Dealers, the intent of the parties and their relative knowledge, access to information and opportunity to correct or prevent such statement or omission. The amount paid or payable by an indemnified party as a result of the loss, claim, damage or liability, or action in respect thereof, referred to above in this Section 5(d) shall be deemed to include, for purposes of this Section 5(d), any legal or other expenses reasonably incurred by such indemnified party in connection with investigating or defending any such action or claim. Notwithstanding the provisions of this Paragraph 9(d), no Holder of Securities or Participating Broker-Dealer shall be required to contribute any amount in excess of the amount by which the net proceeds received by such Holders or Participating Broker-Dealer from the sale of the Securities pursuant to a Registration Statement exceeds the amount of damages which such Holders or Participating Broker-Dealer have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8" w:name="page69"/>
    <w:bookmarkEnd w:id="68"/>
    <w:p>
      <w:pPr>
        <w:ind w:right="340" w:firstLine="332"/>
        <w:spacing w:after="0" w:line="282" w:lineRule="auto"/>
        <w:tabs>
          <w:tab w:leader="none" w:pos="8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contained in this Section 5 shall survive the sale of the Securities pursuant to a Registration Statement and shall remain in full force and effect, regardless of any termination or cancellation of this Agreement or any investigation made by or on behalf of any indemnified party.</w:t>
      </w:r>
    </w:p>
    <w:p>
      <w:pPr>
        <w:spacing w:after="0" w:line="157" w:lineRule="exact"/>
        <w:rPr>
          <w:rFonts w:ascii="Times New Roman" w:cs="Times New Roman" w:eastAsia="Times New Roman" w:hAnsi="Times New Roman"/>
          <w:sz w:val="18"/>
          <w:szCs w:val="18"/>
          <w:color w:val="auto"/>
        </w:rPr>
      </w:pPr>
    </w:p>
    <w:p>
      <w:pPr>
        <w:ind w:left="620" w:hanging="444"/>
        <w:spacing w:after="0"/>
        <w:tabs>
          <w:tab w:leader="none" w:pos="62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 Interest Under Certain Circumstances</w:t>
      </w:r>
    </w:p>
    <w:p>
      <w:pPr>
        <w:spacing w:after="0" w:line="225" w:lineRule="exact"/>
        <w:rPr>
          <w:rFonts w:ascii="Times New Roman" w:cs="Times New Roman" w:eastAsia="Times New Roman" w:hAnsi="Times New Roman"/>
          <w:sz w:val="18"/>
          <w:szCs w:val="18"/>
          <w:b w:val="1"/>
          <w:bCs w:val="1"/>
          <w:i w:val="1"/>
          <w:iCs w:val="1"/>
          <w:color w:val="auto"/>
        </w:rPr>
      </w:pPr>
    </w:p>
    <w:p>
      <w:pPr>
        <w:ind w:right="380" w:firstLine="332"/>
        <w:spacing w:after="0" w:line="286" w:lineRule="auto"/>
        <w:tabs>
          <w:tab w:leader="none" w:pos="82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(the “</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with respect to the Initial Securities shall be assessed as follows if any of the following events occur (each such event in clauses (i) through (iv) below a “</w:t>
      </w:r>
      <w:r>
        <w:rPr>
          <w:rFonts w:ascii="Times New Roman" w:cs="Times New Roman" w:eastAsia="Times New Roman" w:hAnsi="Times New Roman"/>
          <w:sz w:val="18"/>
          <w:szCs w:val="18"/>
          <w:b w:val="1"/>
          <w:bCs w:val="1"/>
          <w:color w:val="auto"/>
        </w:rPr>
        <w:t>Registration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820" w:hanging="488"/>
        <w:spacing w:after="0"/>
        <w:tabs>
          <w:tab w:leader="none" w:pos="8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Offer Registration Statement is not declared effective by the Commission on or prior to the 270th day after the Issue Date;</w:t>
      </w:r>
    </w:p>
    <w:p>
      <w:pPr>
        <w:spacing w:after="0" w:line="225" w:lineRule="exact"/>
        <w:rPr>
          <w:rFonts w:ascii="Times New Roman" w:cs="Times New Roman" w:eastAsia="Times New Roman" w:hAnsi="Times New Roman"/>
          <w:sz w:val="18"/>
          <w:szCs w:val="18"/>
          <w:color w:val="auto"/>
        </w:rPr>
      </w:pPr>
    </w:p>
    <w:p>
      <w:pPr>
        <w:ind w:right="320" w:firstLine="332"/>
        <w:spacing w:after="0" w:line="266" w:lineRule="auto"/>
        <w:tabs>
          <w:tab w:leader="none" w:pos="85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the Registered Exchange Offer is consummated within 360 days after the Issue Date nor, if required in lieu thereof, the Shelf Registration Statement has become effective within 270 days after the date, if any, on which the Company and the Guarantors became obligated to file the Shelf Registration Statement;</w:t>
      </w:r>
    </w:p>
    <w:p>
      <w:pPr>
        <w:spacing w:after="0" w:line="176" w:lineRule="exact"/>
        <w:rPr>
          <w:rFonts w:ascii="Times New Roman" w:cs="Times New Roman" w:eastAsia="Times New Roman" w:hAnsi="Times New Roman"/>
          <w:sz w:val="18"/>
          <w:szCs w:val="18"/>
          <w:color w:val="auto"/>
        </w:rPr>
      </w:pPr>
    </w:p>
    <w:p>
      <w:pPr>
        <w:ind w:right="300" w:firstLine="332"/>
        <w:spacing w:after="0" w:line="266" w:lineRule="auto"/>
        <w:tabs>
          <w:tab w:leader="none" w:pos="90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Exchange Offer Registration Statement is declared effective such Registration Statement thereafter ceases to be effective or usable (except as permitted in paragraph (b) in connection with resales of Transfer Restricted Securities) prior to the consummation of the Registered Exchange Offer (unless such ineffectiveness is cured within the 270-day period described in Section 6(a)(i) above); or</w:t>
      </w:r>
    </w:p>
    <w:p>
      <w:pPr>
        <w:spacing w:after="0" w:line="176" w:lineRule="exact"/>
        <w:rPr>
          <w:rFonts w:ascii="Times New Roman" w:cs="Times New Roman" w:eastAsia="Times New Roman" w:hAnsi="Times New Roman"/>
          <w:sz w:val="18"/>
          <w:szCs w:val="18"/>
          <w:color w:val="auto"/>
        </w:rPr>
      </w:pPr>
    </w:p>
    <w:p>
      <w:pPr>
        <w:ind w:firstLine="332"/>
        <w:spacing w:after="0" w:line="253" w:lineRule="auto"/>
        <w:tabs>
          <w:tab w:leader="none" w:pos="89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Shelf Registration Statement, if applicable, is declared (or becomes automatically) effective, and for a period time that exceeds 180 days in the aggregate in any 12-month period in which the Registration Statement is required to be effective (A) such Registration Statement thereafter ceases to be effective during the period required herein; or (B) such Registration Statement or the related prospectus ceases to be usable (except as permitted in paragraph (b)) in connection with resales of Transfer Restricted Securities during the periods specified herein because either (1) any event occurs as a result of which the related prospectus forming part of such Registration Statement would include any untrue statement of a material fact or omit to state any material fact necessary to make the statements therein in the light of the circumstances under which they were made not misleading, (2) it shall be necessary to amend such Registration Statement or supplement the related prospectus, to comply with the Securities Act or the Exchange Act or the respective rules thereunder, or</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expired before a replacement Shelf Registration Statement has become effective.</w:t>
      </w:r>
    </w:p>
    <w:p>
      <w:pPr>
        <w:spacing w:after="0" w:line="20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Additional Interest shall accrue on the Initial Securities over and above the interest set forth in the title of the Securities from and including the date on which any such Registration Default shall occur to but excluding the date on which all such Registration Defaults have been cured. Additional Interest shall accrue at a rate of 0.25% per annum while any Registration Default is continuing, until all Registration Defaults have been cured.</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Following the cure of all Registration Defaults, the accrual of Additional Interest on the Initial Securities will cease and the interest rate will revert to the applicable original rate set forth in the title of the Securities. In no event shall the Company and the Guarantors be obligated to pay Additional Interest (i) for more than one Registration Default under this Section 6(a) at any one time, (ii) for a period of more than one year (or for such longer period as extended pursuant to Section 3(f)) from the Issue Date for any Registration Default referred to in Section 6(a)(iv)(B) with respect to a Registration Statement or (iii) on any Securities that, at the time of such Registration Default, are not Transfer Restricted Securities.</w:t>
      </w:r>
    </w:p>
    <w:p>
      <w:pPr>
        <w:spacing w:after="0" w:line="184" w:lineRule="exact"/>
        <w:rPr>
          <w:sz w:val="20"/>
          <w:szCs w:val="20"/>
          <w:color w:val="auto"/>
        </w:rPr>
      </w:pPr>
    </w:p>
    <w:p>
      <w:pPr>
        <w:ind w:right="100" w:firstLine="332"/>
        <w:spacing w:after="0" w:line="255" w:lineRule="auto"/>
        <w:tabs>
          <w:tab w:leader="none" w:pos="8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Default referred to in Section 6(a)(iii) or Section 6(a)(iv)(B) hereof shall be deemed not to have occurred and be continuing in relation to a Registration Statement or the related prospectus if (i) such Registration Default has occurred solely as a result of (x) the filing of a post-effective amendment to such Registration Statement to incorporate annual audited financial information with respect to the Company and the Guarantors where such post-effective amendment is not yet effective and needs to be declared effective to permit Holders to use the related prospectus or (y) other material events with respect to the Company and the Guarantors that would need to be described in such Registration Statement or the related prospectus and (ii) in the case of clause (y), the Company and the Guarantors are proceeding promptly and in good faith to amend or supplement such Registration Statement and related prospectus to describe such events; provided, however, that in any case if such Registration Default occurs for a continuous period in excess of 30 days, Additional Interest shall be payable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accordance with the above paragraph from the day such Registration Default occurs until such Registration Default is cured.</w:t>
      </w:r>
    </w:p>
    <w:p>
      <w:pPr>
        <w:spacing w:after="0" w:line="225" w:lineRule="exact"/>
        <w:rPr>
          <w:sz w:val="20"/>
          <w:szCs w:val="20"/>
          <w:color w:val="auto"/>
        </w:rPr>
      </w:pPr>
    </w:p>
    <w:p>
      <w:pPr>
        <w:ind w:right="60" w:firstLine="332"/>
        <w:spacing w:after="0" w:line="261" w:lineRule="auto"/>
        <w:tabs>
          <w:tab w:leader="none" w:pos="8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of Additional Interest due pursuant to clause (i), (ii), (iii) or (iv) of Section 6(a) above will be payable in cash on the regular interest payment dates with respect to the Initial Securities. The amount of Additional Interest will be determined by multiplying the applicable Additional Interest rate by the principal amount of the Initial Securities,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Any amounts of Additional Interest due pursuant to clause (i), (ii), (iii) or (iv) of section 6(a) above will constitute liquated damages and will be the exclusive remedy, monetary or otherwise, available to any Holder with respect to any Registration Default.</w:t>
      </w:r>
    </w:p>
    <w:p>
      <w:pPr>
        <w:spacing w:after="0" w:line="158" w:lineRule="exact"/>
        <w:rPr>
          <w:sz w:val="20"/>
          <w:szCs w:val="20"/>
          <w:color w:val="auto"/>
        </w:rPr>
      </w:pPr>
    </w:p>
    <w:p>
      <w:pPr>
        <w:ind w:firstLine="332"/>
        <w:spacing w:after="0" w:line="255" w:lineRule="auto"/>
        <w:tabs>
          <w:tab w:leader="none" w:pos="84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Restricted Securities</w:t>
      </w:r>
      <w:r>
        <w:rPr>
          <w:rFonts w:ascii="Times New Roman" w:cs="Times New Roman" w:eastAsia="Times New Roman" w:hAnsi="Times New Roman"/>
          <w:sz w:val="18"/>
          <w:szCs w:val="18"/>
          <w:color w:val="auto"/>
        </w:rPr>
        <w:t>” means each Security until (i) the date on which such Transfer Restricted Security has been exchanged by a person other than a broker-dealer for a freely transferable Exchange Security in the Registered Exchange Offer, (ii) following the exchange by a broker-dealer in the Registered Exchange Offer of a Initial Security for an Exchange Security, the date on which such Exchange Security is sold to a purchaser who receives from such broker-dealer on or prior to the date of such sale a copy of the prospectus contained in the Exchange Offer Registration Statement, (iii) the date on which such Initial Security has been effectively registered under the Securities Act and disposed of in accordance with the Shelf Registration Statement, (iv) the date on which such Initial Security is distributed to the public pursuant to Rule 144 under the Securities Act or (v) the earliest date that is no less than two years after the Issue Date on which such Security (except for Securities held by an affiliate of the Company or any Guarantor) may be resold in reliance on paragraph (b)(1) of Rule 144 under the Securities Act.</w:t>
      </w:r>
    </w:p>
    <w:p>
      <w:pPr>
        <w:spacing w:after="0" w:line="185" w:lineRule="exact"/>
        <w:rPr>
          <w:rFonts w:ascii="Times New Roman" w:cs="Times New Roman" w:eastAsia="Times New Roman" w:hAnsi="Times New Roman"/>
          <w:sz w:val="18"/>
          <w:szCs w:val="18"/>
          <w:color w:val="auto"/>
        </w:rPr>
      </w:pPr>
    </w:p>
    <w:p>
      <w:pPr>
        <w:ind w:left="620" w:hanging="444"/>
        <w:spacing w:after="0"/>
        <w:tabs>
          <w:tab w:leader="none" w:pos="62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Rules 144 and 144A</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and the Guarantors shall, to the extent they are required to do so under the Exchange Act, use their commercially reasonable efforts to file the reports required to be filed by them under the Exchange Act in a timely manner and, if at any time the Company and the Guarantors are not required to file such reports, they will, upon the request of any Holder of Initial Securities, use their commercially reasonable efforts to make publicly available other information so long as necessary to permit sales of their securities pursuant to Rules 144 and 144A. The Company and the Guarantors covenant that they will take such further action as any Holder of Initial Securities may reasonably request, all to the extent required from time to time to enable such Holder to sell Initial Securities without registration under the Securities Act within the limitation of the exemptions provided by Rules 144 and 144A (including the requirements of Rule 144A(d)(4)). Upon the request of any Holder of Initial Securities, the Company and the Guarantors shall deliver to such Holder a written statement as to whether they have complied with such requirements. Notwithstanding the foregoing, nothing in this Section 7 shall be deemed to require the Company and the Guarantors to register any of their respective securities pursuant to the Exchange Act.</w:t>
      </w:r>
    </w:p>
    <w:p>
      <w:pPr>
        <w:spacing w:after="0" w:line="185" w:lineRule="exact"/>
        <w:rPr>
          <w:sz w:val="20"/>
          <w:szCs w:val="20"/>
          <w:color w:val="auto"/>
        </w:rPr>
      </w:pPr>
    </w:p>
    <w:p>
      <w:pPr>
        <w:ind w:left="620" w:hanging="444"/>
        <w:spacing w:after="0"/>
        <w:tabs>
          <w:tab w:leader="none" w:pos="62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Miscellaneous</w:t>
      </w:r>
    </w:p>
    <w:p>
      <w:pPr>
        <w:spacing w:after="0" w:line="227" w:lineRule="exact"/>
        <w:rPr>
          <w:rFonts w:ascii="Times New Roman" w:cs="Times New Roman" w:eastAsia="Times New Roman" w:hAnsi="Times New Roman"/>
          <w:sz w:val="18"/>
          <w:szCs w:val="18"/>
          <w:b w:val="1"/>
          <w:bCs w:val="1"/>
          <w:i w:val="1"/>
          <w:iCs w:val="1"/>
          <w:color w:val="auto"/>
        </w:rPr>
      </w:pPr>
    </w:p>
    <w:p>
      <w:pPr>
        <w:ind w:firstLine="332"/>
        <w:spacing w:after="0" w:line="259" w:lineRule="auto"/>
        <w:tabs>
          <w:tab w:leader="none" w:pos="83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provisions of this Agreement may not be amended, modified or supplemented, and waivers or consents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departures from the provisions hereof may not be given, except by the Company and the Guarantors and the written consent of the Majority Holders of the Securities affected by such amendment, modification, supplement, waiver or consents. As used herein, “</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 means, as of any date, Holders of a majority of the aggregate principal amount of such Securities; provided that any Securities owned directly or indirectly by the Company and the Guarantors or any of their respective affiliates shall not be counted in determining whether the consent by the Holders was given.</w:t>
      </w:r>
    </w:p>
    <w:p>
      <w:pPr>
        <w:spacing w:after="0" w:line="179" w:lineRule="exact"/>
        <w:rPr>
          <w:rFonts w:ascii="Times New Roman" w:cs="Times New Roman" w:eastAsia="Times New Roman" w:hAnsi="Times New Roman"/>
          <w:sz w:val="18"/>
          <w:szCs w:val="18"/>
          <w:color w:val="auto"/>
        </w:rPr>
      </w:pPr>
    </w:p>
    <w:p>
      <w:pPr>
        <w:ind w:right="320" w:firstLine="332"/>
        <w:spacing w:after="0" w:line="284" w:lineRule="auto"/>
        <w:tabs>
          <w:tab w:leader="none" w:pos="84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provided for or permitted hereunder shall be made in writing by hand 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facsimile transmission, email, or air courier which guarantees overnight delivery:</w:t>
      </w:r>
    </w:p>
    <w:p>
      <w:pPr>
        <w:spacing w:after="0" w:line="160" w:lineRule="exact"/>
        <w:rPr>
          <w:sz w:val="20"/>
          <w:szCs w:val="20"/>
          <w:color w:val="auto"/>
        </w:rPr>
      </w:pPr>
    </w:p>
    <w:p>
      <w:pPr>
        <w:ind w:left="860" w:hanging="528"/>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of the Securities, at the most current address given by such Holder to the Company and the Guarantors.</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Dealer Managers: to the addresses listed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Cahill Gordon &amp; Reindel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 Pine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Michael Reddy, Esq.</w:t>
      </w:r>
    </w:p>
    <w:p>
      <w:pPr>
        <w:spacing w:after="0" w:line="207"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if to the Company and the Guarantors, at the following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number: (215) 286-7744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Arthur R. Block and William E. Dordelman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1600 El Camino Real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number: (650) 752-2111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Bruce K. Dallas, Esq.</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174" w:lineRule="exact"/>
        <w:rPr>
          <w:sz w:val="20"/>
          <w:szCs w:val="20"/>
          <w:color w:val="auto"/>
        </w:rPr>
      </w:pPr>
    </w:p>
    <w:p>
      <w:pPr>
        <w:ind w:right="120" w:firstLine="332"/>
        <w:spacing w:after="0" w:line="267" w:lineRule="auto"/>
        <w:tabs>
          <w:tab w:leader="none" w:pos="8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Inconsistent Agreements</w:t>
      </w:r>
      <w:r>
        <w:rPr>
          <w:rFonts w:ascii="Times New Roman" w:cs="Times New Roman" w:eastAsia="Times New Roman" w:hAnsi="Times New Roman"/>
          <w:sz w:val="18"/>
          <w:szCs w:val="18"/>
          <w:color w:val="auto"/>
        </w:rPr>
        <w:t>. The Company and the Guarantors have not, as of the date hereof, entered into, nor shall they, on or after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enter into, any agreement with respect to its securities that is inconsistent with the rights granted to the Holders herein or otherwise conflicts with the provisions hereof.</w:t>
      </w:r>
    </w:p>
    <w:p>
      <w:pPr>
        <w:spacing w:after="0" w:line="173" w:lineRule="exact"/>
        <w:rPr>
          <w:rFonts w:ascii="Times New Roman" w:cs="Times New Roman" w:eastAsia="Times New Roman" w:hAnsi="Times New Roman"/>
          <w:sz w:val="18"/>
          <w:szCs w:val="18"/>
          <w:color w:val="auto"/>
        </w:rPr>
      </w:pPr>
    </w:p>
    <w:p>
      <w:pPr>
        <w:ind w:firstLine="332"/>
        <w:spacing w:after="0" w:line="259" w:lineRule="auto"/>
        <w:tabs>
          <w:tab w:leader="none" w:pos="8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the successors, assigns and transferees of each of the parties,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and without need for an express assignment, subsequent Holders. If any transferee of any Holder shall acquire Securities in any manner, whether by operation of law or otherwise, such Holder shall be deemed to have agreed to be bound by and subject to all the terms of this Agreement, and by taking and holding such Securities such transferee shall be conclusively deemed to have agreed to be bound by and to perform all of the terms and provisions of this Agreement.</w:t>
      </w:r>
    </w:p>
    <w:p>
      <w:pPr>
        <w:spacing w:after="0" w:line="179" w:lineRule="exact"/>
        <w:rPr>
          <w:rFonts w:ascii="Times New Roman" w:cs="Times New Roman" w:eastAsia="Times New Roman" w:hAnsi="Times New Roman"/>
          <w:sz w:val="18"/>
          <w:szCs w:val="18"/>
          <w:color w:val="auto"/>
        </w:rPr>
      </w:pPr>
    </w:p>
    <w:p>
      <w:pPr>
        <w:ind w:right="200" w:firstLine="332"/>
        <w:spacing w:after="0" w:line="284" w:lineRule="auto"/>
        <w:tabs>
          <w:tab w:leader="none" w:pos="8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and by the parties hereto in separate counterparts,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so executed shall be deemed to be an original and all of which taken together shall constitute one and the same agreement.</w:t>
      </w:r>
    </w:p>
    <w:p>
      <w:pPr>
        <w:spacing w:after="0" w:line="15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280" w:firstLine="332"/>
        <w:spacing w:after="0" w:line="284" w:lineRule="auto"/>
        <w:tabs>
          <w:tab w:leader="none" w:pos="8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PRINCIPLES OF CONFLICTS OF LAWS.</w:t>
      </w:r>
    </w:p>
    <w:p>
      <w:pPr>
        <w:spacing w:after="0" w:line="158" w:lineRule="exact"/>
        <w:rPr>
          <w:rFonts w:ascii="Times New Roman" w:cs="Times New Roman" w:eastAsia="Times New Roman" w:hAnsi="Times New Roman"/>
          <w:sz w:val="18"/>
          <w:szCs w:val="18"/>
          <w:color w:val="auto"/>
        </w:rPr>
      </w:pPr>
    </w:p>
    <w:p>
      <w:pPr>
        <w:ind w:right="60" w:firstLine="332"/>
        <w:spacing w:after="0" w:line="267" w:lineRule="auto"/>
        <w:tabs>
          <w:tab w:leader="none" w:pos="8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one or more of the provisions contained herein, or the application thereof in any circumstance, is held invalid, illegal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unenforceable, the validity, legality and enforceability of any such provision in every other respect and of the remaining provisions contained herein shall not be affected or impaired thereby.</w:t>
      </w:r>
    </w:p>
    <w:p>
      <w:pPr>
        <w:spacing w:after="0" w:line="173" w:lineRule="exact"/>
        <w:rPr>
          <w:rFonts w:ascii="Times New Roman" w:cs="Times New Roman" w:eastAsia="Times New Roman" w:hAnsi="Times New Roman"/>
          <w:sz w:val="18"/>
          <w:szCs w:val="18"/>
          <w:color w:val="auto"/>
        </w:rPr>
      </w:pPr>
    </w:p>
    <w:p>
      <w:pPr>
        <w:ind w:right="120" w:firstLine="332"/>
        <w:spacing w:after="0" w:line="267" w:lineRule="auto"/>
        <w:tabs>
          <w:tab w:leader="none" w:pos="80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Held by the Company and the Guarantors</w:t>
      </w:r>
      <w:r>
        <w:rPr>
          <w:rFonts w:ascii="Times New Roman" w:cs="Times New Roman" w:eastAsia="Times New Roman" w:hAnsi="Times New Roman"/>
          <w:sz w:val="18"/>
          <w:szCs w:val="18"/>
          <w:color w:val="auto"/>
        </w:rPr>
        <w:t>. Whenever the consent or approval of Holders of a specified percentage of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Securities is required hereunder, Securities held by the Company and the Guarantors or their respective affiliates (other than subsequent Holders of Securities if such subsequent Holders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deemed to be affiliates solely by reason of their holdings of such Securities) shall not be counted in determining whether such consent or approval was given by the Holders of such required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1160780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72" w:name="page73"/>
    <w:bookmarkEnd w:id="72"/>
    <w:p>
      <w:pPr>
        <w:ind w:firstLine="324"/>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and the Guarantors a counterpart hereof, whereupon this instrument, along with all counterparts, will become a binding agreement among the several Dealer Managers and the Company and the Guarantors in accordance with its terms.</w:t>
      </w:r>
    </w:p>
    <w:p>
      <w:pPr>
        <w:spacing w:after="0" w:line="1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 Dordelman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0" w:lineRule="exact"/>
        <w:rPr>
          <w:sz w:val="20"/>
          <w:szCs w:val="20"/>
          <w:color w:val="auto"/>
        </w:rPr>
      </w:pPr>
    </w:p>
    <w:p>
      <w:pPr>
        <w:spacing w:after="0" w:line="2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 Dordelman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0" w:lineRule="exact"/>
        <w:rPr>
          <w:sz w:val="20"/>
          <w:szCs w:val="20"/>
          <w:color w:val="auto"/>
        </w:rPr>
      </w:pPr>
    </w:p>
    <w:p>
      <w:pPr>
        <w:spacing w:after="0" w:line="2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 Dordelman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Ben Oren</w:t>
      </w:r>
    </w:p>
    <w:p>
      <w:pPr>
        <w:spacing w:after="0" w:line="27"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8"/>
          <w:szCs w:val="18"/>
          <w:color w:val="auto"/>
        </w:rPr>
        <w:t>Name:</w:t>
        <w:tab/>
        <w:t>Ben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25641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Greene</w:t>
      </w:r>
    </w:p>
    <w:p>
      <w:pPr>
        <w:spacing w:after="0" w:line="27"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2564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D. Barsamian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Name:Matthew D. Barsamian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478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Ritu Ketkar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478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Ryan Montgomery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Name:Ryan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478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A. Nass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Name:Daniel A. Nass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478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Dealer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98"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Co-Dealer Manager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03"/>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00" w:type="dxa"/>
            <w:vAlign w:val="bottom"/>
          </w:tcPr>
          <w:p>
            <w:pPr>
              <w:spacing w:after="0"/>
              <w:rPr>
                <w:sz w:val="24"/>
                <w:szCs w:val="24"/>
                <w:color w:val="auto"/>
              </w:rPr>
            </w:pP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Notes Exchanged For New Notes</w:t>
            </w:r>
          </w:p>
        </w:tc>
      </w:tr>
      <w:tr>
        <w:trPr>
          <w:trHeight w:val="212"/>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Security</w:t>
            </w:r>
          </w:p>
        </w:tc>
        <w:tc>
          <w:tcPr>
            <w:tcW w:w="100" w:type="dxa"/>
            <w:vAlign w:val="bottom"/>
          </w:tcPr>
          <w:p>
            <w:pPr>
              <w:spacing w:after="0"/>
              <w:rPr>
                <w:sz w:val="18"/>
                <w:szCs w:val="18"/>
                <w:color w:val="auto"/>
              </w:rPr>
            </w:pPr>
          </w:p>
        </w:tc>
        <w:tc>
          <w:tcPr>
            <w:tcW w:w="242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00" w:type="dxa"/>
            <w:vAlign w:val="bottom"/>
          </w:tcPr>
          <w:p>
            <w:pPr>
              <w:spacing w:after="0"/>
              <w:rPr>
                <w:sz w:val="18"/>
                <w:szCs w:val="18"/>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CUSIP Number</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($000)</w:t>
            </w:r>
          </w:p>
        </w:tc>
        <w:tc>
          <w:tcPr>
            <w:tcW w:w="2840" w:type="dxa"/>
            <w:vAlign w:val="bottom"/>
            <w:gridSpan w:val="2"/>
          </w:tcPr>
          <w:p>
            <w:pPr>
              <w:jc w:val="right"/>
              <w:ind w:right="1097"/>
              <w:spacing w:after="0"/>
              <w:rPr>
                <w:sz w:val="20"/>
                <w:szCs w:val="20"/>
                <w:color w:val="auto"/>
              </w:rPr>
            </w:pPr>
            <w:r>
              <w:rPr>
                <w:rFonts w:ascii="Times New Roman" w:cs="Times New Roman" w:eastAsia="Times New Roman" w:hAnsi="Times New Roman"/>
                <w:sz w:val="16"/>
                <w:szCs w:val="16"/>
                <w:b w:val="1"/>
                <w:bCs w:val="1"/>
                <w:color w:val="auto"/>
              </w:rPr>
              <w:t>($000)</w:t>
            </w:r>
          </w:p>
        </w:tc>
        <w:tc>
          <w:tcPr>
            <w:tcW w:w="100" w:type="dxa"/>
            <w:vAlign w:val="bottom"/>
          </w:tcPr>
          <w:p>
            <w:pPr>
              <w:spacing w:after="0"/>
              <w:rPr>
                <w:sz w:val="18"/>
                <w:szCs w:val="18"/>
                <w:color w:val="auto"/>
              </w:rPr>
            </w:pPr>
          </w:p>
        </w:tc>
      </w:tr>
      <w:tr>
        <w:trPr>
          <w:trHeight w:val="188"/>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6.950%</w:t>
            </w: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Notes due 2037</w:t>
            </w:r>
          </w:p>
        </w:tc>
        <w:tc>
          <w:tcPr>
            <w:tcW w:w="100" w:type="dxa"/>
            <w:vAlign w:val="bottom"/>
          </w:tcPr>
          <w:p>
            <w:pPr>
              <w:spacing w:after="0"/>
              <w:rPr>
                <w:sz w:val="16"/>
                <w:szCs w:val="16"/>
                <w:color w:val="auto"/>
              </w:rPr>
            </w:pPr>
          </w:p>
        </w:tc>
        <w:tc>
          <w:tcPr>
            <w:tcW w:w="2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6"/>
                <w:szCs w:val="16"/>
                <w:color w:val="auto"/>
              </w:rPr>
            </w:pPr>
          </w:p>
        </w:tc>
        <w:tc>
          <w:tcPr>
            <w:tcW w:w="17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20030NAV3</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$2,000,000</w:t>
            </w:r>
          </w:p>
        </w:tc>
        <w:tc>
          <w:tcPr>
            <w:tcW w:w="100" w:type="dxa"/>
            <w:vAlign w:val="bottom"/>
          </w:tcPr>
          <w:p>
            <w:pPr>
              <w:spacing w:after="0"/>
              <w:rPr>
                <w:sz w:val="16"/>
                <w:szCs w:val="16"/>
                <w:color w:val="auto"/>
              </w:rPr>
            </w:pPr>
          </w:p>
        </w:tc>
        <w:tc>
          <w:tcPr>
            <w:tcW w:w="2740" w:type="dxa"/>
            <w:vAlign w:val="bottom"/>
            <w:tcBorders>
              <w:top w:val="single" w:sz="8" w:color="auto"/>
            </w:tcBorders>
          </w:tcPr>
          <w:p>
            <w:pPr>
              <w:jc w:val="right"/>
              <w:ind w:right="877"/>
              <w:spacing w:after="0"/>
              <w:rPr>
                <w:sz w:val="20"/>
                <w:szCs w:val="20"/>
                <w:color w:val="auto"/>
              </w:rPr>
            </w:pPr>
            <w:r>
              <w:rPr>
                <w:rFonts w:ascii="Times New Roman" w:cs="Times New Roman" w:eastAsia="Times New Roman" w:hAnsi="Times New Roman"/>
                <w:sz w:val="16"/>
                <w:szCs w:val="16"/>
                <w:color w:val="auto"/>
              </w:rPr>
              <w:t>$1,212,275</w:t>
            </w:r>
          </w:p>
        </w:tc>
        <w:tc>
          <w:tcPr>
            <w:tcW w:w="100" w:type="dxa"/>
            <w:vAlign w:val="bottom"/>
          </w:tcPr>
          <w:p>
            <w:pPr>
              <w:spacing w:after="0"/>
              <w:rPr>
                <w:sz w:val="16"/>
                <w:szCs w:val="16"/>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6.550%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2039</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20030NAY7</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  800,000</w:t>
            </w:r>
          </w:p>
        </w:tc>
        <w:tc>
          <w:tcPr>
            <w:tcW w:w="2840" w:type="dxa"/>
            <w:vAlign w:val="bottom"/>
            <w:gridSpan w:val="2"/>
          </w:tcPr>
          <w:p>
            <w:pPr>
              <w:jc w:val="right"/>
              <w:ind w:right="897"/>
              <w:spacing w:after="0"/>
              <w:rPr>
                <w:sz w:val="20"/>
                <w:szCs w:val="20"/>
                <w:color w:val="auto"/>
              </w:rPr>
            </w:pPr>
            <w:r>
              <w:rPr>
                <w:rFonts w:ascii="Times New Roman" w:cs="Times New Roman" w:eastAsia="Times New Roman" w:hAnsi="Times New Roman"/>
                <w:sz w:val="16"/>
                <w:szCs w:val="16"/>
                <w:color w:val="auto"/>
              </w:rPr>
              <w:t>$386,332</w:t>
            </w:r>
          </w:p>
        </w:tc>
        <w:tc>
          <w:tcPr>
            <w:tcW w:w="100" w:type="dxa"/>
            <w:vAlign w:val="bottom"/>
          </w:tcPr>
          <w:p>
            <w:pPr>
              <w:spacing w:after="0"/>
              <w:rPr>
                <w:sz w:val="17"/>
                <w:szCs w:val="17"/>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6.400%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March 1, 2040</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20030NBB6</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$1,000,000</w:t>
            </w:r>
          </w:p>
        </w:tc>
        <w:tc>
          <w:tcPr>
            <w:tcW w:w="2840" w:type="dxa"/>
            <w:vAlign w:val="bottom"/>
            <w:gridSpan w:val="2"/>
          </w:tcPr>
          <w:p>
            <w:pPr>
              <w:jc w:val="right"/>
              <w:ind w:right="897"/>
              <w:spacing w:after="0"/>
              <w:rPr>
                <w:sz w:val="20"/>
                <w:szCs w:val="20"/>
                <w:color w:val="auto"/>
              </w:rPr>
            </w:pPr>
            <w:r>
              <w:rPr>
                <w:rFonts w:ascii="Times New Roman" w:cs="Times New Roman" w:eastAsia="Times New Roman" w:hAnsi="Times New Roman"/>
                <w:sz w:val="16"/>
                <w:szCs w:val="16"/>
                <w:color w:val="auto"/>
              </w:rPr>
              <w:t>$518,257</w:t>
            </w:r>
          </w:p>
        </w:tc>
        <w:tc>
          <w:tcPr>
            <w:tcW w:w="100" w:type="dxa"/>
            <w:vAlign w:val="bottom"/>
          </w:tcPr>
          <w:p>
            <w:pPr>
              <w:spacing w:after="0"/>
              <w:rPr>
                <w:sz w:val="17"/>
                <w:szCs w:val="17"/>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6.400%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April 30, 2040</w:t>
            </w:r>
          </w:p>
        </w:tc>
        <w:tc>
          <w:tcPr>
            <w:tcW w:w="100" w:type="dxa"/>
            <w:vAlign w:val="bottom"/>
          </w:tcPr>
          <w:p>
            <w:pPr>
              <w:spacing w:after="0"/>
              <w:rPr>
                <w:sz w:val="21"/>
                <w:szCs w:val="21"/>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NBCUniversal Media, LLC</w:t>
            </w:r>
          </w:p>
        </w:tc>
        <w:tc>
          <w:tcPr>
            <w:tcW w:w="100" w:type="dxa"/>
            <w:vAlign w:val="bottom"/>
          </w:tcPr>
          <w:p>
            <w:pPr>
              <w:spacing w:after="0"/>
              <w:rPr>
                <w:sz w:val="21"/>
                <w:szCs w:val="21"/>
                <w:color w:val="auto"/>
              </w:rPr>
            </w:pPr>
          </w:p>
        </w:tc>
        <w:tc>
          <w:tcPr>
            <w:tcW w:w="1720" w:type="dxa"/>
            <w:vAlign w:val="bottom"/>
          </w:tcPr>
          <w:p>
            <w:pPr>
              <w:ind w:left="260"/>
              <w:spacing w:after="0" w:line="242" w:lineRule="exact"/>
              <w:rPr>
                <w:sz w:val="20"/>
                <w:szCs w:val="20"/>
                <w:color w:val="auto"/>
              </w:rPr>
            </w:pPr>
            <w:r>
              <w:rPr>
                <w:rFonts w:ascii="Times New Roman" w:cs="Times New Roman" w:eastAsia="Times New Roman" w:hAnsi="Times New Roman"/>
                <w:sz w:val="16"/>
                <w:szCs w:val="16"/>
                <w:color w:val="auto"/>
              </w:rPr>
              <w:t>63946BAF7</w:t>
            </w:r>
            <w:r>
              <w:rPr>
                <w:rFonts w:ascii="Times New Roman" w:cs="Times New Roman" w:eastAsia="Times New Roman" w:hAnsi="Times New Roman"/>
                <w:sz w:val="27"/>
                <w:szCs w:val="27"/>
                <w:color w:val="auto"/>
                <w:vertAlign w:val="superscript"/>
              </w:rPr>
              <w:t>(3)</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$1,000,000</w:t>
            </w:r>
          </w:p>
        </w:tc>
        <w:tc>
          <w:tcPr>
            <w:tcW w:w="2840" w:type="dxa"/>
            <w:vAlign w:val="bottom"/>
            <w:gridSpan w:val="2"/>
          </w:tcPr>
          <w:p>
            <w:pPr>
              <w:jc w:val="right"/>
              <w:ind w:right="897"/>
              <w:spacing w:after="0"/>
              <w:rPr>
                <w:sz w:val="20"/>
                <w:szCs w:val="20"/>
                <w:color w:val="auto"/>
              </w:rPr>
            </w:pPr>
            <w:r>
              <w:rPr>
                <w:rFonts w:ascii="Times New Roman" w:cs="Times New Roman" w:eastAsia="Times New Roman" w:hAnsi="Times New Roman"/>
                <w:sz w:val="16"/>
                <w:szCs w:val="16"/>
                <w:color w:val="auto"/>
              </w:rPr>
              <w:t>$441,578</w:t>
            </w:r>
          </w:p>
        </w:tc>
        <w:tc>
          <w:tcPr>
            <w:tcW w:w="100" w:type="dxa"/>
            <w:vAlign w:val="bottom"/>
          </w:tcPr>
          <w:p>
            <w:pPr>
              <w:spacing w:after="0"/>
              <w:rPr>
                <w:sz w:val="21"/>
                <w:szCs w:val="21"/>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6.450%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2037</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20030NAM3</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$1,850,000</w:t>
            </w:r>
          </w:p>
        </w:tc>
        <w:tc>
          <w:tcPr>
            <w:tcW w:w="2840" w:type="dxa"/>
            <w:vAlign w:val="bottom"/>
            <w:gridSpan w:val="2"/>
          </w:tcPr>
          <w:p>
            <w:pPr>
              <w:jc w:val="right"/>
              <w:ind w:right="897"/>
              <w:spacing w:after="0"/>
              <w:rPr>
                <w:sz w:val="20"/>
                <w:szCs w:val="20"/>
                <w:color w:val="auto"/>
              </w:rPr>
            </w:pPr>
            <w:r>
              <w:rPr>
                <w:rFonts w:ascii="Times New Roman" w:cs="Times New Roman" w:eastAsia="Times New Roman" w:hAnsi="Times New Roman"/>
                <w:sz w:val="16"/>
                <w:szCs w:val="16"/>
                <w:color w:val="auto"/>
              </w:rPr>
              <w:t>$945,645</w:t>
            </w:r>
          </w:p>
        </w:tc>
        <w:tc>
          <w:tcPr>
            <w:tcW w:w="100" w:type="dxa"/>
            <w:vAlign w:val="bottom"/>
          </w:tcPr>
          <w:p>
            <w:pPr>
              <w:spacing w:after="0"/>
              <w:rPr>
                <w:sz w:val="17"/>
                <w:szCs w:val="17"/>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6.400%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2038</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20030NAX9</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$1,000,000</w:t>
            </w:r>
          </w:p>
        </w:tc>
        <w:tc>
          <w:tcPr>
            <w:tcW w:w="2840" w:type="dxa"/>
            <w:vAlign w:val="bottom"/>
            <w:gridSpan w:val="2"/>
          </w:tcPr>
          <w:p>
            <w:pPr>
              <w:jc w:val="right"/>
              <w:ind w:right="897"/>
              <w:spacing w:after="0"/>
              <w:rPr>
                <w:sz w:val="20"/>
                <w:szCs w:val="20"/>
                <w:color w:val="auto"/>
              </w:rPr>
            </w:pPr>
            <w:r>
              <w:rPr>
                <w:rFonts w:ascii="Times New Roman" w:cs="Times New Roman" w:eastAsia="Times New Roman" w:hAnsi="Times New Roman"/>
                <w:sz w:val="16"/>
                <w:szCs w:val="16"/>
                <w:color w:val="auto"/>
              </w:rPr>
              <w:t>$428,085</w:t>
            </w:r>
          </w:p>
        </w:tc>
        <w:tc>
          <w:tcPr>
            <w:tcW w:w="100" w:type="dxa"/>
            <w:vAlign w:val="bottom"/>
          </w:tcPr>
          <w:p>
            <w:pPr>
              <w:spacing w:after="0"/>
              <w:rPr>
                <w:sz w:val="17"/>
                <w:szCs w:val="17"/>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6.500%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2035</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20030NAK7</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$1,000,000</w:t>
            </w:r>
          </w:p>
        </w:tc>
        <w:tc>
          <w:tcPr>
            <w:tcW w:w="100" w:type="dxa"/>
            <w:vAlign w:val="bottom"/>
          </w:tcPr>
          <w:p>
            <w:pPr>
              <w:spacing w:after="0"/>
              <w:rPr>
                <w:sz w:val="17"/>
                <w:szCs w:val="17"/>
                <w:color w:val="auto"/>
              </w:rPr>
            </w:pPr>
          </w:p>
        </w:tc>
        <w:tc>
          <w:tcPr>
            <w:tcW w:w="28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5.950% Notes due 2041</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NBCUniversal Media, LLC</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63946BAG5</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$1,200,000</w:t>
            </w:r>
          </w:p>
        </w:tc>
        <w:tc>
          <w:tcPr>
            <w:tcW w:w="100" w:type="dxa"/>
            <w:vAlign w:val="bottom"/>
          </w:tcPr>
          <w:p>
            <w:pPr>
              <w:spacing w:after="0"/>
              <w:rPr>
                <w:sz w:val="17"/>
                <w:szCs w:val="17"/>
                <w:color w:val="auto"/>
              </w:rPr>
            </w:pPr>
          </w:p>
        </w:tc>
        <w:tc>
          <w:tcPr>
            <w:tcW w:w="28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5.650%</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2035</w:t>
            </w:r>
          </w:p>
        </w:tc>
        <w:tc>
          <w:tcPr>
            <w:tcW w:w="100" w:type="dxa"/>
            <w:vAlign w:val="bottom"/>
          </w:tcPr>
          <w:p>
            <w:pPr>
              <w:spacing w:after="0"/>
              <w:rPr>
                <w:sz w:val="17"/>
                <w:szCs w:val="17"/>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Comcast Corporation</w:t>
            </w:r>
          </w:p>
        </w:tc>
        <w:tc>
          <w:tcPr>
            <w:tcW w:w="10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20030NAF8</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  750,000</w:t>
            </w:r>
          </w:p>
        </w:tc>
        <w:tc>
          <w:tcPr>
            <w:tcW w:w="100" w:type="dxa"/>
            <w:vAlign w:val="bottom"/>
          </w:tcPr>
          <w:p>
            <w:pPr>
              <w:spacing w:after="0"/>
              <w:rPr>
                <w:sz w:val="17"/>
                <w:szCs w:val="17"/>
                <w:color w:val="auto"/>
              </w:rPr>
            </w:pPr>
          </w:p>
        </w:tc>
        <w:tc>
          <w:tcPr>
            <w:tcW w:w="28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$10,600,000</w:t>
            </w:r>
          </w:p>
        </w:tc>
        <w:tc>
          <w:tcPr>
            <w:tcW w:w="2840" w:type="dxa"/>
            <w:vAlign w:val="bottom"/>
            <w:gridSpan w:val="2"/>
          </w:tcPr>
          <w:p>
            <w:pPr>
              <w:jc w:val="right"/>
              <w:ind w:right="877"/>
              <w:spacing w:after="0"/>
              <w:rPr>
                <w:sz w:val="20"/>
                <w:szCs w:val="20"/>
                <w:color w:val="auto"/>
              </w:rPr>
            </w:pPr>
            <w:r>
              <w:rPr>
                <w:rFonts w:ascii="Times New Roman" w:cs="Times New Roman" w:eastAsia="Times New Roman" w:hAnsi="Times New Roman"/>
                <w:sz w:val="16"/>
                <w:szCs w:val="16"/>
                <w:b w:val="1"/>
                <w:bCs w:val="1"/>
                <w:color w:val="auto"/>
              </w:rPr>
              <w:t>$3,932,172</w:t>
            </w:r>
          </w:p>
        </w:tc>
        <w:tc>
          <w:tcPr>
            <w:tcW w:w="100" w:type="dxa"/>
            <w:vAlign w:val="bottom"/>
          </w:tcPr>
          <w:p>
            <w:pPr>
              <w:spacing w:after="0"/>
              <w:rPr>
                <w:sz w:val="18"/>
                <w:szCs w:val="18"/>
                <w:color w:val="auto"/>
              </w:rPr>
            </w:pPr>
          </w:p>
        </w:tc>
      </w:tr>
      <w:tr>
        <w:trPr>
          <w:trHeight w:val="2059"/>
        </w:trPr>
        <w:tc>
          <w:tcPr>
            <w:tcW w:w="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0" w:name="page81"/>
    <w:bookmarkEnd w:id="80"/>
    <w:p>
      <w:pPr>
        <w:ind w:left="1060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by such broker-dealer as a result of market-making activities or other trading activities. The Company and the Guarantors have agreed that, for a period of 90 days after the Expiration Date (as defined herein), they will make this Prospectus available to any broker-dealer for use in connection with any such resale. See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1" w:name="page82"/>
    <w:bookmarkEnd w:id="81"/>
    <w:p>
      <w:pPr>
        <w:ind w:left="1062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4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in exchange for Securities, where such Initial Securities were acquired by such broker-dealer as a result of market-making activities or other trading activities, hereby acknowledges that it will deliver a prospectus in connection with any resale of such Exchange Securities. See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as a result of market-making activities or other trading activities. The Company and the Guarantors have agreed that, for a period of 90 days after the Expiration Date, they will make this prospectus, as amended or supplemented, available to any broker-dealer for use in connection with any such resale. In</w:t>
      </w:r>
    </w:p>
    <w:p>
      <w:pPr>
        <w:spacing w:after="0" w:line="3" w:lineRule="exact"/>
        <w:rPr>
          <w:sz w:val="20"/>
          <w:szCs w:val="20"/>
          <w:color w:val="auto"/>
        </w:rPr>
      </w:pPr>
    </w:p>
    <w:p>
      <w:pPr>
        <w:spacing w:after="0"/>
        <w:tabs>
          <w:tab w:leader="none" w:pos="1540" w:val="left"/>
          <w:tab w:leader="none" w:pos="2280" w:val="left"/>
        </w:tabs>
        <w:rPr>
          <w:sz w:val="20"/>
          <w:szCs w:val="20"/>
          <w:color w:val="auto"/>
        </w:rPr>
      </w:pPr>
      <w:r>
        <w:rPr>
          <w:rFonts w:ascii="Times New Roman" w:cs="Times New Roman" w:eastAsia="Times New Roman" w:hAnsi="Times New Roman"/>
          <w:sz w:val="18"/>
          <w:szCs w:val="18"/>
          <w:color w:val="auto"/>
        </w:rPr>
        <w:t>addition, until</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 all dealers effecting transactions in the Exchange Securities may be required to deliver a prospectus.</w:t>
      </w:r>
      <w:r>
        <w:rPr>
          <w:rFonts w:ascii="Times New Roman" w:cs="Times New Roman" w:eastAsia="Times New Roman" w:hAnsi="Times New Roman"/>
          <w:sz w:val="28"/>
          <w:szCs w:val="28"/>
          <w:color w:val="auto"/>
          <w:vertAlign w:val="superscript"/>
        </w:rPr>
        <w:t>1</w:t>
      </w:r>
    </w:p>
    <w:p>
      <w:pPr>
        <w:spacing w:after="0" w:line="13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and the Guarantors will not receive any proceeds from any sale of Exchange Securities by broker-dealers. Exchange Securities received by broker- 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within the meaning of the Securities Act and any profit on any such resale of Exchange Securities and any commission or concessions received by any such persons may be deemed to be underwriting compensation under the Securities Act.</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a period of 90 days after the Expiration Date the Company and the Guarantors will promptly send additional electronic copies of this Prospectus and any amendment or supplement to this Prospectus to any broker-dealer that requests such documents. The Company and the Guarantors have agreed to pay all expenses incident to the Exchange Offer other than commissions or concessions of any brokers or dealers and will indemnify the Holders of the Securities (including any broker-dealers) against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1089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0" w:hanging="128"/>
        <w:spacing w:after="0"/>
        <w:tabs>
          <w:tab w:leader="none" w:pos="460" w:val="left"/>
        </w:tabs>
        <w:numPr>
          <w:ilvl w:val="0"/>
          <w:numId w:val="1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the legend required by Item 502(e) of Regulation S-K will appear on the back cover page of the Exchange Offer prospectus,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9" w:lineRule="exact"/>
        <w:rPr>
          <w:sz w:val="20"/>
          <w:szCs w:val="20"/>
          <w:color w:val="auto"/>
        </w:rPr>
      </w:pPr>
    </w:p>
    <w:p>
      <w:pPr>
        <w:ind w:right="400" w:firstLine="332"/>
        <w:spacing w:after="0" w:line="282" w:lineRule="auto"/>
        <w:tabs>
          <w:tab w:leader="none" w:pos="5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YOU ARE A BROKER-DEALER AND WISH TO RECEIVE 10 ADDITIONAL COPIES OF THE PROSPECTUS AND 10 COPIES OF ANY AMENDMENTS OR SUPPLEMENTS THERETO.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42449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163195</wp:posOffset>
            </wp:positionV>
            <wp:extent cx="41249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17145</wp:posOffset>
            </wp:positionV>
            <wp:extent cx="4124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the undersigned is not a broker-dealer, the undersigned represents that it is not engaged in, and does not intend to engage in, a distribution of Exchange Securities. If the undersigned is a broker-dealer that will receive Exchange Securities for its own account in exchange for Initial Securities that were acquired as a result of market-making activities or other trading activities, it acknowledges that it will deliver a prospectus in connection with any resale of such Exchange Securities; however, by so acknowledging and by delivering a prospectus, the undersigned will not be deemed to admit that it is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within the meaning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decimal"/>
      <w:start w:val="1"/>
    </w:lvl>
  </w:abstractNum>
  <w:abstractNum w:abstractNumId="2">
    <w:nsid w:val="70C6A529"/>
    <w:multiLevelType w:val="hybridMultilevel"/>
    <w:lvl w:ilvl="0">
      <w:lvlJc w:val="left"/>
      <w:lvlText w:val="%1."/>
      <w:numFmt w:val="decimal"/>
      <w:start w:val="2"/>
    </w:lvl>
  </w:abstractNum>
  <w:abstractNum w:abstractNumId="3">
    <w:nsid w:val="520EEDD1"/>
    <w:multiLevelType w:val="hybridMultilevel"/>
    <w:lvl w:ilvl="0">
      <w:lvlJc w:val="left"/>
      <w:lvlText w:val="%1."/>
      <w:numFmt w:val="decimal"/>
      <w:start w:val="3"/>
    </w:lvl>
  </w:abstractNum>
  <w:abstractNum w:abstractNumId="4">
    <w:nsid w:val="374A3FE6"/>
    <w:multiLevelType w:val="hybridMultilevel"/>
    <w:lvl w:ilvl="0">
      <w:lvlJc w:val="left"/>
      <w:lvlText w:val="%1."/>
      <w:numFmt w:val="decimal"/>
      <w:start w:val="4"/>
    </w:lvl>
  </w:abstractNum>
  <w:abstractNum w:abstractNumId="5">
    <w:nsid w:val="4F4EF005"/>
    <w:multiLevelType w:val="hybridMultilevel"/>
    <w:lvl w:ilvl="0">
      <w:lvlJc w:val="left"/>
      <w:lvlText w:val="%1."/>
      <w:numFmt w:val="decimal"/>
      <w:start w:val="5"/>
    </w:lvl>
  </w:abstractNum>
  <w:abstractNum w:abstractNumId="6">
    <w:nsid w:val="23F9C13C"/>
    <w:multiLevelType w:val="hybridMultilevel"/>
    <w:lvl w:ilvl="0">
      <w:lvlJc w:val="left"/>
      <w:lvlText w:val="%1."/>
      <w:numFmt w:val="decimal"/>
      <w:start w:val="6"/>
    </w:lvl>
  </w:abstractNum>
  <w:abstractNum w:abstractNumId="7">
    <w:nsid w:val="649BB77C"/>
    <w:multiLevelType w:val="hybridMultilevel"/>
    <w:lvl w:ilvl="0">
      <w:lvlJc w:val="left"/>
      <w:lvlText w:val="%1."/>
      <w:numFmt w:val="decimal"/>
      <w:start w:val="7"/>
    </w:lvl>
  </w:abstractNum>
  <w:abstractNum w:abstractNumId="8">
    <w:nsid w:val="275AC794"/>
    <w:multiLevelType w:val="hybridMultilevel"/>
    <w:lvl w:ilvl="0">
      <w:lvlJc w:val="left"/>
      <w:lvlText w:val="%1."/>
      <w:numFmt w:val="decimal"/>
      <w:start w:val="8"/>
    </w:lvl>
  </w:abstractNum>
  <w:abstractNum w:abstractNumId="9">
    <w:nsid w:val="39386575"/>
    <w:multiLevelType w:val="hybridMultilevel"/>
    <w:lvl w:ilvl="0">
      <w:lvlJc w:val="left"/>
      <w:lvlText w:val="%1."/>
      <w:numFmt w:val="decimal"/>
      <w:start w:val="9"/>
    </w:lvl>
  </w:abstractNum>
  <w:abstractNum w:abstractNumId="10">
    <w:nsid w:val="1CF10FD8"/>
    <w:multiLevelType w:val="hybridMultilevel"/>
    <w:lvl w:ilvl="0">
      <w:lvlJc w:val="left"/>
      <w:lvlText w:val="%1."/>
      <w:numFmt w:val="decimal"/>
      <w:start w:val="10"/>
    </w:lvl>
  </w:abstractNum>
  <w:abstractNum w:abstractNumId="11">
    <w:nsid w:val="180115BE"/>
    <w:multiLevelType w:val="hybridMultilevel"/>
    <w:lvl w:ilvl="0">
      <w:lvlJc w:val="left"/>
      <w:lvlText w:val="%1."/>
      <w:numFmt w:val="decimal"/>
      <w:start w:val="11"/>
    </w:lvl>
  </w:abstractNum>
  <w:abstractNum w:abstractNumId="12">
    <w:nsid w:val="235BA861"/>
    <w:multiLevelType w:val="hybridMultilevel"/>
    <w:lvl w:ilvl="0">
      <w:lvlJc w:val="left"/>
      <w:lvlText w:val="%1."/>
      <w:numFmt w:val="decimal"/>
      <w:start w:val="12"/>
    </w:lvl>
  </w:abstractNum>
  <w:abstractNum w:abstractNumId="13">
    <w:nsid w:val="47398C89"/>
    <w:multiLevelType w:val="hybridMultilevel"/>
    <w:lvl w:ilvl="0">
      <w:lvlJc w:val="left"/>
      <w:lvlText w:val="%1."/>
      <w:numFmt w:val="decimal"/>
      <w:start w:val="13"/>
    </w:lvl>
  </w:abstractNum>
  <w:abstractNum w:abstractNumId="14">
    <w:nsid w:val="354FE9F9"/>
    <w:multiLevelType w:val="hybridMultilevel"/>
    <w:lvl w:ilvl="0">
      <w:lvlJc w:val="left"/>
      <w:lvlText w:val="%1."/>
      <w:numFmt w:val="decimal"/>
      <w:start w:val="14"/>
    </w:lvl>
  </w:abstractNum>
  <w:abstractNum w:abstractNumId="15">
    <w:nsid w:val="15B5AF5C"/>
    <w:multiLevelType w:val="hybridMultilevel"/>
    <w:lvl w:ilvl="0">
      <w:lvlJc w:val="left"/>
      <w:lvlText w:val="%1."/>
      <w:numFmt w:val="decimal"/>
      <w:start w:val="15"/>
    </w:lvl>
  </w:abstractNum>
  <w:abstractNum w:abstractNumId="16">
    <w:nsid w:val="741226BB"/>
    <w:multiLevelType w:val="hybridMultilevel"/>
    <w:lvl w:ilvl="0">
      <w:lvlJc w:val="left"/>
      <w:lvlText w:val="%1."/>
      <w:numFmt w:val="decimal"/>
      <w:start w:val="16"/>
    </w:lvl>
  </w:abstractNum>
  <w:abstractNum w:abstractNumId="17">
    <w:nsid w:val="D34B6A8"/>
    <w:multiLevelType w:val="hybridMultilevel"/>
    <w:lvl w:ilvl="0">
      <w:lvlJc w:val="left"/>
      <w:lvlText w:val="%1."/>
      <w:numFmt w:val="decimal"/>
      <w:start w:val="17"/>
    </w:lvl>
  </w:abstractNum>
  <w:abstractNum w:abstractNumId="18">
    <w:nsid w:val="10233C99"/>
    <w:multiLevelType w:val="hybridMultilevel"/>
    <w:lvl w:ilvl="0">
      <w:lvlJc w:val="left"/>
      <w:lvlText w:val="%1."/>
      <w:numFmt w:val="decimal"/>
      <w:start w:val="18"/>
    </w:lvl>
  </w:abstractNum>
  <w:abstractNum w:abstractNumId="19">
    <w:nsid w:val="3F6AB60F"/>
    <w:multiLevelType w:val="hybridMultilevel"/>
    <w:lvl w:ilvl="0">
      <w:lvlJc w:val="left"/>
      <w:lvlText w:val="%1."/>
      <w:numFmt w:val="decimal"/>
      <w:start w:val="19"/>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lowerLetter"/>
      <w:start w:val="1"/>
    </w:lvl>
    <w:lvl w:ilvl="1">
      <w:lvlJc w:val="left"/>
      <w:lvlText w:val="(%2)"/>
      <w:numFmt w:val="lowerRoman"/>
      <w:start w:val="1"/>
    </w:lvl>
  </w:abstractNum>
  <w:abstractNum w:abstractNumId="24">
    <w:nsid w:val="310C50B3"/>
    <w:multiLevelType w:val="hybridMultilevel"/>
    <w:lvl w:ilvl="0">
      <w:lvlJc w:val="left"/>
      <w:lvlText w:val="%1."/>
      <w:numFmt w:val="decimal"/>
      <w:start w:val="2"/>
    </w:lvl>
  </w:abstractNum>
  <w:abstractNum w:abstractNumId="25">
    <w:nsid w:val="5FF87E05"/>
    <w:multiLevelType w:val="hybridMultilevel"/>
    <w:lvl w:ilvl="0">
      <w:lvlJc w:val="left"/>
      <w:lvlText w:val="(%1)"/>
      <w:numFmt w:val="lowerLetter"/>
      <w:start w:val="1"/>
    </w:lvl>
    <w:lvl w:ilvl="1">
      <w:lvlJc w:val="left"/>
      <w:lvlText w:val="(%2)"/>
      <w:numFmt w:val="lowerRoman"/>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2"/>
    </w:lvl>
  </w:abstractNum>
  <w:abstractNum w:abstractNumId="28">
    <w:nsid w:val="1DBABF00"/>
    <w:multiLevelType w:val="hybridMultilevel"/>
    <w:lvl w:ilvl="0">
      <w:lvlJc w:val="left"/>
      <w:lvlText w:val="%1."/>
      <w:numFmt w:val="decimal"/>
      <w:start w:val="3"/>
    </w:lvl>
  </w:abstractNum>
  <w:abstractNum w:abstractNumId="29">
    <w:nsid w:val="4AD084E9"/>
    <w:multiLevelType w:val="hybridMultilevel"/>
    <w:lvl w:ilvl="0">
      <w:lvlJc w:val="left"/>
      <w:lvlText w:val="%1."/>
      <w:numFmt w:val="decimal"/>
      <w:start w:val="4"/>
    </w:lvl>
  </w:abstractNum>
  <w:abstractNum w:abstractNumId="30">
    <w:nsid w:val="1F48EAA1"/>
    <w:multiLevelType w:val="hybridMultilevel"/>
    <w:lvl w:ilvl="0">
      <w:lvlJc w:val="left"/>
      <w:lvlText w:val="%1."/>
      <w:numFmt w:val="decimal"/>
      <w:start w:val="5"/>
    </w:lvl>
  </w:abstractNum>
  <w:abstractNum w:abstractNumId="31">
    <w:nsid w:val="1381823A"/>
    <w:multiLevelType w:val="hybridMultilevel"/>
    <w:lvl w:ilvl="0">
      <w:lvlJc w:val="left"/>
      <w:lvlText w:val="%1."/>
      <w:numFmt w:val="decimal"/>
      <w:start w:val="6"/>
    </w:lvl>
  </w:abstractNum>
  <w:abstractNum w:abstractNumId="32">
    <w:nsid w:val="5DB70AE5"/>
    <w:multiLevelType w:val="hybridMultilevel"/>
    <w:lvl w:ilvl="0">
      <w:lvlJc w:val="left"/>
      <w:lvlText w:val="%1."/>
      <w:numFmt w:val="decimal"/>
      <w:start w:val="7"/>
    </w:lvl>
  </w:abstractNum>
  <w:abstractNum w:abstractNumId="33">
    <w:nsid w:val="100F8FCA"/>
    <w:multiLevelType w:val="hybridMultilevel"/>
    <w:lvl w:ilvl="0">
      <w:lvlJc w:val="left"/>
      <w:lvlText w:val="%1."/>
      <w:numFmt w:val="decimal"/>
      <w:start w:val="8"/>
    </w:lvl>
  </w:abstractNum>
  <w:abstractNum w:abstractNumId="34">
    <w:nsid w:val="6590700B"/>
    <w:multiLevelType w:val="hybridMultilevel"/>
    <w:lvl w:ilvl="0">
      <w:lvlJc w:val="left"/>
      <w:lvlText w:val="%1."/>
      <w:numFmt w:val="decimal"/>
      <w:start w:val="9"/>
    </w:lvl>
  </w:abstractNum>
  <w:abstractNum w:abstractNumId="35">
    <w:nsid w:val="15014ACB"/>
    <w:multiLevelType w:val="hybridMultilevel"/>
    <w:lvl w:ilvl="0">
      <w:lvlJc w:val="left"/>
      <w:lvlText w:val="%1."/>
      <w:numFmt w:val="decimal"/>
      <w:start w:val="10"/>
    </w:lvl>
  </w:abstractNum>
  <w:abstractNum w:abstractNumId="36">
    <w:nsid w:val="5F5E7FD0"/>
    <w:multiLevelType w:val="hybridMultilevel"/>
    <w:lvl w:ilvl="0">
      <w:lvlJc w:val="left"/>
      <w:lvlText w:val="%1."/>
      <w:numFmt w:val="decimal"/>
      <w:start w:val="11"/>
    </w:lvl>
  </w:abstractNum>
  <w:abstractNum w:abstractNumId="37">
    <w:nsid w:val="98A3148"/>
    <w:multiLevelType w:val="hybridMultilevel"/>
    <w:lvl w:ilvl="0">
      <w:lvlJc w:val="left"/>
      <w:lvlText w:val="%1."/>
      <w:numFmt w:val="decimal"/>
      <w:start w:val="12"/>
    </w:lvl>
  </w:abstractNum>
  <w:abstractNum w:abstractNumId="38">
    <w:nsid w:val="799D0247"/>
    <w:multiLevelType w:val="hybridMultilevel"/>
    <w:lvl w:ilvl="0">
      <w:lvlJc w:val="left"/>
      <w:lvlText w:val="%1."/>
      <w:numFmt w:val="decimal"/>
      <w:start w:val="13"/>
    </w:lvl>
  </w:abstractNum>
  <w:abstractNum w:abstractNumId="39">
    <w:nsid w:val="6B94764"/>
    <w:multiLevelType w:val="hybridMultilevel"/>
    <w:lvl w:ilvl="0">
      <w:lvlJc w:val="left"/>
      <w:lvlText w:val="%1."/>
      <w:numFmt w:val="decimal"/>
      <w:start w:val="14"/>
    </w:lvl>
  </w:abstractNum>
  <w:abstractNum w:abstractNumId="40">
    <w:nsid w:val="42C296BD"/>
    <w:multiLevelType w:val="hybridMultilevel"/>
    <w:lvl w:ilvl="0">
      <w:lvlJc w:val="left"/>
      <w:lvlText w:val="%1."/>
      <w:numFmt w:val="decimal"/>
      <w:start w:val="15"/>
    </w:lvl>
  </w:abstractNum>
  <w:abstractNum w:abstractNumId="41">
    <w:nsid w:val="168E121F"/>
    <w:multiLevelType w:val="hybridMultilevel"/>
    <w:lvl w:ilvl="0">
      <w:lvlJc w:val="left"/>
      <w:lvlText w:val="%1."/>
      <w:numFmt w:val="decimal"/>
      <w:start w:val="16"/>
    </w:lvl>
  </w:abstractNum>
  <w:abstractNum w:abstractNumId="42">
    <w:nsid w:val="1EBA5D23"/>
    <w:multiLevelType w:val="hybridMultilevel"/>
    <w:lvl w:ilvl="0">
      <w:lvlJc w:val="left"/>
      <w:lvlText w:val="%1."/>
      <w:numFmt w:val="decimal"/>
      <w:start w:val="17"/>
    </w:lvl>
  </w:abstractNum>
  <w:abstractNum w:abstractNumId="43">
    <w:nsid w:val="661E3F1E"/>
    <w:multiLevelType w:val="hybridMultilevel"/>
    <w:lvl w:ilvl="0">
      <w:lvlJc w:val="left"/>
      <w:lvlText w:val="%1."/>
      <w:numFmt w:val="decimal"/>
      <w:start w:val="18"/>
    </w:lvl>
  </w:abstractNum>
  <w:abstractNum w:abstractNumId="44">
    <w:nsid w:val="5DC79EA8"/>
    <w:multiLevelType w:val="hybridMultilevel"/>
    <w:lvl w:ilvl="0">
      <w:lvlJc w:val="left"/>
      <w:lvlText w:val="%1."/>
      <w:numFmt w:val="decimal"/>
      <w:start w:val="19"/>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lowerLetter"/>
      <w:start w:val="1"/>
    </w:lvl>
    <w:lvl w:ilvl="1">
      <w:lvlJc w:val="left"/>
      <w:lvlText w:val="(%2)"/>
      <w:numFmt w:val="lowerRoman"/>
      <w:start w:val="1"/>
    </w:lvl>
  </w:abstractNum>
  <w:abstractNum w:abstractNumId="49">
    <w:nsid w:val="BF72B14"/>
    <w:multiLevelType w:val="hybridMultilevel"/>
    <w:lvl w:ilvl="0">
      <w:lvlJc w:val="left"/>
      <w:lvlText w:val="%1."/>
      <w:numFmt w:val="decimal"/>
      <w:start w:val="2"/>
    </w:lvl>
  </w:abstractNum>
  <w:abstractNum w:abstractNumId="50">
    <w:nsid w:val="11447B73"/>
    <w:multiLevelType w:val="hybridMultilevel"/>
    <w:lvl w:ilvl="0">
      <w:lvlJc w:val="left"/>
      <w:lvlText w:val="(%1)"/>
      <w:numFmt w:val="lowerLetter"/>
      <w:start w:val="1"/>
    </w:lvl>
    <w:lvl w:ilvl="1">
      <w:lvlJc w:val="left"/>
      <w:lvlText w:val="(%2)"/>
      <w:numFmt w:val="lowerRoman"/>
      <w:start w:val="1"/>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2"/>
    </w:lvl>
  </w:abstractNum>
  <w:abstractNum w:abstractNumId="53">
    <w:nsid w:val="8F2B15E"/>
    <w:multiLevelType w:val="hybridMultilevel"/>
    <w:lvl w:ilvl="0">
      <w:lvlJc w:val="left"/>
      <w:lvlText w:val="%1."/>
      <w:numFmt w:val="decimal"/>
      <w:start w:val="3"/>
    </w:lvl>
  </w:abstractNum>
  <w:abstractNum w:abstractNumId="54">
    <w:nsid w:val="1A32234B"/>
    <w:multiLevelType w:val="hybridMultilevel"/>
    <w:lvl w:ilvl="0">
      <w:lvlJc w:val="left"/>
      <w:lvlText w:val="%1."/>
      <w:numFmt w:val="decimal"/>
      <w:start w:val="4"/>
    </w:lvl>
  </w:abstractNum>
  <w:abstractNum w:abstractNumId="55">
    <w:nsid w:val="3B0FD379"/>
    <w:multiLevelType w:val="hybridMultilevel"/>
    <w:lvl w:ilvl="0">
      <w:lvlJc w:val="left"/>
      <w:lvlText w:val="%1."/>
      <w:numFmt w:val="decimal"/>
      <w:start w:val="5"/>
    </w:lvl>
  </w:abstractNum>
  <w:abstractNum w:abstractNumId="56">
    <w:nsid w:val="68EB2F63"/>
    <w:multiLevelType w:val="hybridMultilevel"/>
    <w:lvl w:ilvl="0">
      <w:lvlJc w:val="left"/>
      <w:lvlText w:val="%1."/>
      <w:numFmt w:val="decimal"/>
      <w:start w:val="6"/>
    </w:lvl>
  </w:abstractNum>
  <w:abstractNum w:abstractNumId="57">
    <w:nsid w:val="4962813B"/>
    <w:multiLevelType w:val="hybridMultilevel"/>
    <w:lvl w:ilvl="0">
      <w:lvlJc w:val="left"/>
      <w:lvlText w:val="%1."/>
      <w:numFmt w:val="decimal"/>
      <w:start w:val="7"/>
    </w:lvl>
  </w:abstractNum>
  <w:abstractNum w:abstractNumId="58">
    <w:nsid w:val="60B6DF70"/>
    <w:multiLevelType w:val="hybridMultilevel"/>
    <w:lvl w:ilvl="0">
      <w:lvlJc w:val="left"/>
      <w:lvlText w:val="%1."/>
      <w:numFmt w:val="decimal"/>
      <w:start w:val="8"/>
    </w:lvl>
  </w:abstractNum>
  <w:abstractNum w:abstractNumId="59">
    <w:nsid w:val="6A5EE64"/>
    <w:multiLevelType w:val="hybridMultilevel"/>
    <w:lvl w:ilvl="0">
      <w:lvlJc w:val="left"/>
      <w:lvlText w:val="%1."/>
      <w:numFmt w:val="decimal"/>
      <w:start w:val="9"/>
    </w:lvl>
  </w:abstractNum>
  <w:abstractNum w:abstractNumId="60">
    <w:nsid w:val="14330624"/>
    <w:multiLevelType w:val="hybridMultilevel"/>
    <w:lvl w:ilvl="0">
      <w:lvlJc w:val="left"/>
      <w:lvlText w:val="%1."/>
      <w:numFmt w:val="decimal"/>
      <w:start w:val="10"/>
    </w:lvl>
  </w:abstractNum>
  <w:abstractNum w:abstractNumId="61">
    <w:nsid w:val="7FFFCA11"/>
    <w:multiLevelType w:val="hybridMultilevel"/>
    <w:lvl w:ilvl="0">
      <w:lvlJc w:val="left"/>
      <w:lvlText w:val="%1."/>
      <w:numFmt w:val="decimal"/>
      <w:start w:val="11"/>
    </w:lvl>
  </w:abstractNum>
  <w:abstractNum w:abstractNumId="62">
    <w:nsid w:val="1A27709E"/>
    <w:multiLevelType w:val="hybridMultilevel"/>
    <w:lvl w:ilvl="0">
      <w:lvlJc w:val="left"/>
      <w:lvlText w:val="%1."/>
      <w:numFmt w:val="decimal"/>
      <w:start w:val="12"/>
    </w:lvl>
  </w:abstractNum>
  <w:abstractNum w:abstractNumId="63">
    <w:nsid w:val="71EA1109"/>
    <w:multiLevelType w:val="hybridMultilevel"/>
    <w:lvl w:ilvl="0">
      <w:lvlJc w:val="left"/>
      <w:lvlText w:val="%1."/>
      <w:numFmt w:val="decimal"/>
      <w:start w:val="13"/>
    </w:lvl>
  </w:abstractNum>
  <w:abstractNum w:abstractNumId="64">
    <w:nsid w:val="100F59DC"/>
    <w:multiLevelType w:val="hybridMultilevel"/>
    <w:lvl w:ilvl="0">
      <w:lvlJc w:val="left"/>
      <w:lvlText w:val="%1."/>
      <w:numFmt w:val="decimal"/>
      <w:start w:val="14"/>
    </w:lvl>
  </w:abstractNum>
  <w:abstractNum w:abstractNumId="65">
    <w:nsid w:val="7FB7E0AA"/>
    <w:multiLevelType w:val="hybridMultilevel"/>
    <w:lvl w:ilvl="0">
      <w:lvlJc w:val="left"/>
      <w:lvlText w:val="%1."/>
      <w:numFmt w:val="decimal"/>
      <w:start w:val="15"/>
    </w:lvl>
  </w:abstractNum>
  <w:abstractNum w:abstractNumId="66">
    <w:nsid w:val="6EB5BD4"/>
    <w:multiLevelType w:val="hybridMultilevel"/>
    <w:lvl w:ilvl="0">
      <w:lvlJc w:val="left"/>
      <w:lvlText w:val="%1."/>
      <w:numFmt w:val="decimal"/>
      <w:start w:val="16"/>
    </w:lvl>
  </w:abstractNum>
  <w:abstractNum w:abstractNumId="67">
    <w:nsid w:val="6F6DD9AC"/>
    <w:multiLevelType w:val="hybridMultilevel"/>
    <w:lvl w:ilvl="0">
      <w:lvlJc w:val="left"/>
      <w:lvlText w:val="%1."/>
      <w:numFmt w:val="decimal"/>
      <w:start w:val="17"/>
    </w:lvl>
  </w:abstractNum>
  <w:abstractNum w:abstractNumId="68">
    <w:nsid w:val="94211F2"/>
    <w:multiLevelType w:val="hybridMultilevel"/>
    <w:lvl w:ilvl="0">
      <w:lvlJc w:val="left"/>
      <w:lvlText w:val="%1."/>
      <w:numFmt w:val="decimal"/>
      <w:start w:val="18"/>
    </w:lvl>
  </w:abstractNum>
  <w:abstractNum w:abstractNumId="69">
    <w:nsid w:val="885E1B"/>
    <w:multiLevelType w:val="hybridMultilevel"/>
    <w:lvl w:ilvl="0">
      <w:lvlJc w:val="left"/>
      <w:lvlText w:val="%1."/>
      <w:numFmt w:val="decimal"/>
      <w:start w:val="19"/>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lowerLetter"/>
      <w:start w:val="1"/>
    </w:lvl>
    <w:lvl w:ilvl="1">
      <w:lvlJc w:val="left"/>
      <w:lvlText w:val="(%2)"/>
      <w:numFmt w:val="lowerRoman"/>
      <w:start w:val="1"/>
    </w:lvl>
  </w:abstractNum>
  <w:abstractNum w:abstractNumId="74">
    <w:nsid w:val="3222E7CD"/>
    <w:multiLevelType w:val="hybridMultilevel"/>
    <w:lvl w:ilvl="0">
      <w:lvlJc w:val="left"/>
      <w:lvlText w:val="%1."/>
      <w:numFmt w:val="decimal"/>
      <w:start w:val="2"/>
    </w:lvl>
  </w:abstractNum>
  <w:abstractNum w:abstractNumId="75">
    <w:nsid w:val="74DE0EE3"/>
    <w:multiLevelType w:val="hybridMultilevel"/>
    <w:lvl w:ilvl="0">
      <w:lvlJc w:val="left"/>
      <w:lvlText w:val="(%1)"/>
      <w:numFmt w:val="lowerLetter"/>
      <w:start w:val="1"/>
    </w:lvl>
    <w:lvl w:ilvl="1">
      <w:lvlJc w:val="left"/>
      <w:lvlText w:val="(%2)"/>
      <w:numFmt w:val="lowerRoman"/>
      <w:start w:val="1"/>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1"/>
    </w:lvl>
  </w:abstractNum>
  <w:abstractNum w:abstractNumId="79">
    <w:nsid w:val="4A2AC315"/>
    <w:multiLevelType w:val="hybridMultilevel"/>
    <w:lvl w:ilvl="0">
      <w:lvlJc w:val="left"/>
      <w:lvlText w:val="%1."/>
      <w:numFmt w:val="decimal"/>
      <w:start w:val="2"/>
    </w:lvl>
  </w:abstractNum>
  <w:abstractNum w:abstractNumId="80">
    <w:nsid w:val="39EE015C"/>
    <w:multiLevelType w:val="hybridMultilevel"/>
    <w:lvl w:ilvl="0">
      <w:lvlJc w:val="left"/>
      <w:lvlText w:val="%1"/>
      <w:numFmt w:val="decimal"/>
      <w:start w:val="1"/>
    </w:lvl>
    <w:lvl w:ilvl="1">
      <w:lvlJc w:val="left"/>
      <w:lvlText w:val="(%2)"/>
      <w:numFmt w:val="lowerLetter"/>
      <w:start w:val="1"/>
    </w:lvl>
  </w:abstractNum>
  <w:abstractNum w:abstractNumId="81">
    <w:nsid w:val="57FC4FBB"/>
    <w:multiLevelType w:val="hybridMultilevel"/>
    <w:lvl w:ilvl="0">
      <w:lvlJc w:val="left"/>
      <w:lvlText w:val="%1."/>
      <w:numFmt w:val="decimal"/>
      <w:start w:val="3"/>
    </w:lvl>
    <w:lvl w:ilvl="1">
      <w:lvlJc w:val="left"/>
      <w:lvlText w:val="%2"/>
      <w:numFmt w:val="lowerLetter"/>
      <w:start w:val="1"/>
    </w:lvl>
  </w:abstractNum>
  <w:abstractNum w:abstractNumId="82">
    <w:nsid w:val="CC1016F"/>
    <w:multiLevelType w:val="hybridMultilevel"/>
    <w:lvl w:ilvl="0">
      <w:lvlJc w:val="left"/>
      <w:lvlText w:val="(%1)"/>
      <w:numFmt w:val="lowerLetter"/>
      <w:start w:val="1"/>
    </w:lvl>
  </w:abstractNum>
  <w:abstractNum w:abstractNumId="83">
    <w:nsid w:val="43F18422"/>
    <w:multiLevelType w:val="hybridMultilevel"/>
    <w:lvl w:ilvl="0">
      <w:lvlJc w:val="left"/>
      <w:lvlText w:val="(%1)"/>
      <w:numFmt w:val="lowerLetter"/>
      <w:start w:val="2"/>
    </w:lvl>
  </w:abstractNum>
  <w:abstractNum w:abstractNumId="84">
    <w:nsid w:val="60EF0119"/>
    <w:multiLevelType w:val="hybridMultilevel"/>
    <w:lvl w:ilvl="0">
      <w:lvlJc w:val="left"/>
      <w:lvlText w:val="(%1)"/>
      <w:numFmt w:val="lowerRoman"/>
      <w:start w:val="1"/>
    </w:lvl>
  </w:abstractNum>
  <w:abstractNum w:abstractNumId="85">
    <w:nsid w:val="26F324BA"/>
    <w:multiLevelType w:val="hybridMultilevel"/>
    <w:lvl w:ilvl="0">
      <w:lvlJc w:val="left"/>
      <w:lvlText w:val="(%1)"/>
      <w:numFmt w:val="lowerLetter"/>
      <w:start w:val="3"/>
    </w:lvl>
  </w:abstractNum>
  <w:abstractNum w:abstractNumId="86">
    <w:nsid w:val="7F01579B"/>
    <w:multiLevelType w:val="hybridMultilevel"/>
    <w:lvl w:ilvl="0">
      <w:lvlJc w:val="left"/>
      <w:lvlText w:val="%1"/>
      <w:numFmt w:val="decimal"/>
      <w:start w:val="1"/>
    </w:lvl>
    <w:lvl w:ilvl="1">
      <w:lvlJc w:val="left"/>
      <w:lvlText w:val="(%2)"/>
      <w:numFmt w:val="lowerLetter"/>
      <w:start w:val="7"/>
    </w:lvl>
  </w:abstractNum>
  <w:abstractNum w:abstractNumId="87">
    <w:nsid w:val="49DA307D"/>
    <w:multiLevelType w:val="hybridMultilevel"/>
    <w:lvl w:ilvl="0">
      <w:lvlJc w:val="left"/>
      <w:lvlText w:val="%1."/>
      <w:numFmt w:val="decimal"/>
      <w:start w:val="4"/>
    </w:lvl>
    <w:lvl w:ilvl="1">
      <w:lvlJc w:val="left"/>
      <w:lvlText w:val="%2"/>
      <w:numFmt w:val="lowerLetter"/>
      <w:start w:val="1"/>
    </w:lvl>
  </w:abstractNum>
  <w:abstractNum w:abstractNumId="88">
    <w:nsid w:val="7055A5F5"/>
    <w:multiLevelType w:val="hybridMultilevel"/>
    <w:lvl w:ilvl="0">
      <w:lvlJc w:val="left"/>
      <w:lvlText w:val="%1."/>
      <w:numFmt w:val="decimal"/>
      <w:start w:val="5"/>
    </w:lvl>
    <w:lvl w:ilvl="1">
      <w:lvlJc w:val="left"/>
      <w:lvlText w:val="(%2)"/>
      <w:numFmt w:val="lowerLetter"/>
      <w:start w:val="1"/>
    </w:lvl>
  </w:abstractNum>
  <w:abstractNum w:abstractNumId="89">
    <w:nsid w:val="5FB8370B"/>
    <w:multiLevelType w:val="hybridMultilevel"/>
    <w:lvl w:ilvl="0">
      <w:lvlJc w:val="left"/>
      <w:lvlText w:val="(%1)"/>
      <w:numFmt w:val="lowerLetter"/>
      <w:start w:val="4"/>
    </w:lvl>
  </w:abstractNum>
  <w:abstractNum w:abstractNumId="90">
    <w:nsid w:val="50801EE1"/>
    <w:multiLevelType w:val="hybridMultilevel"/>
    <w:lvl w:ilvl="0">
      <w:lvlJc w:val="left"/>
      <w:lvlText w:val="%1"/>
      <w:numFmt w:val="decimal"/>
      <w:start w:val="1"/>
    </w:lvl>
    <w:lvl w:ilvl="1">
      <w:lvlJc w:val="left"/>
      <w:lvlText w:val="(%2)"/>
      <w:numFmt w:val="lowerLetter"/>
      <w:start w:val="5"/>
    </w:lvl>
  </w:abstractNum>
  <w:abstractNum w:abstractNumId="91">
    <w:nsid w:val="488AC1A"/>
    <w:multiLevelType w:val="hybridMultilevel"/>
    <w:lvl w:ilvl="0">
      <w:lvlJc w:val="left"/>
      <w:lvlText w:val="%1."/>
      <w:numFmt w:val="decimal"/>
      <w:start w:val="6"/>
    </w:lvl>
    <w:lvl w:ilvl="1">
      <w:lvlJc w:val="left"/>
      <w:lvlText w:val="(%2)"/>
      <w:numFmt w:val="lowerLetter"/>
      <w:start w:val="1"/>
    </w:lvl>
  </w:abstractNum>
  <w:abstractNum w:abstractNumId="92">
    <w:nsid w:val="5FB8011C"/>
    <w:multiLevelType w:val="hybridMultilevel"/>
    <w:lvl w:ilvl="0">
      <w:lvlJc w:val="left"/>
      <w:lvlText w:val="%1"/>
      <w:numFmt w:val="decimal"/>
      <w:start w:val="1"/>
    </w:lvl>
    <w:lvl w:ilvl="1">
      <w:lvlJc w:val="left"/>
      <w:lvlText w:val="(%2)"/>
      <w:numFmt w:val="lowerRoman"/>
      <w:start w:val="1"/>
    </w:lvl>
  </w:abstractNum>
  <w:abstractNum w:abstractNumId="93">
    <w:nsid w:val="6AA78F7F"/>
    <w:multiLevelType w:val="hybridMultilevel"/>
    <w:lvl w:ilvl="0">
      <w:lvlJc w:val="left"/>
      <w:lvlText w:val="(%1)"/>
      <w:numFmt w:val="decimal"/>
      <w:start w:val="3"/>
    </w:lvl>
    <w:lvl w:ilvl="1">
      <w:lvlJc w:val="left"/>
      <w:lvlText w:val="%2"/>
      <w:numFmt w:val="lowerRoman"/>
      <w:start w:val="1"/>
    </w:lvl>
  </w:abstractNum>
  <w:abstractNum w:abstractNumId="94">
    <w:nsid w:val="7672BD23"/>
    <w:multiLevelType w:val="hybridMultilevel"/>
    <w:lvl w:ilvl="0">
      <w:lvlJc w:val="left"/>
      <w:lvlText w:val="(%1)"/>
      <w:numFmt w:val="lowerLetter"/>
      <w:start w:val="2"/>
    </w:lvl>
  </w:abstractNum>
  <w:abstractNum w:abstractNumId="95">
    <w:nsid w:val="6FC75AF8"/>
    <w:multiLevelType w:val="hybridMultilevel"/>
    <w:lvl w:ilvl="0">
      <w:lvlJc w:val="left"/>
      <w:lvlText w:val="(%1)"/>
      <w:numFmt w:val="lowerLetter"/>
      <w:start w:val="3"/>
    </w:lvl>
  </w:abstractNum>
  <w:abstractNum w:abstractNumId="96">
    <w:nsid w:val="6A5F7029"/>
    <w:multiLevelType w:val="hybridMultilevel"/>
    <w:lvl w:ilvl="0">
      <w:lvlJc w:val="left"/>
      <w:lvlText w:val="%1"/>
      <w:numFmt w:val="decimal"/>
      <w:start w:val="1"/>
    </w:lvl>
    <w:lvl w:ilvl="1">
      <w:lvlJc w:val="left"/>
      <w:lvlText w:val="(%2)"/>
      <w:numFmt w:val="lowerLetter"/>
      <w:start w:val="4"/>
    </w:lvl>
  </w:abstractNum>
  <w:abstractNum w:abstractNumId="97">
    <w:nsid w:val="7D5E18F8"/>
    <w:multiLevelType w:val="hybridMultilevel"/>
    <w:lvl w:ilvl="0">
      <w:lvlJc w:val="left"/>
      <w:lvlText w:val="%1."/>
      <w:numFmt w:val="decimal"/>
      <w:start w:val="7"/>
    </w:lvl>
    <w:lvl w:ilvl="1">
      <w:lvlJc w:val="left"/>
      <w:lvlText w:val="%2"/>
      <w:numFmt w:val="lowerLetter"/>
      <w:start w:val="1"/>
    </w:lvl>
  </w:abstractNum>
  <w:abstractNum w:abstractNumId="98">
    <w:nsid w:val="5F3534A4"/>
    <w:multiLevelType w:val="hybridMultilevel"/>
    <w:lvl w:ilvl="0">
      <w:lvlJc w:val="left"/>
      <w:lvlText w:val="%1."/>
      <w:numFmt w:val="decimal"/>
      <w:start w:val="8"/>
    </w:lvl>
    <w:lvl w:ilvl="1">
      <w:lvlJc w:val="left"/>
      <w:lvlText w:val="(%2)"/>
      <w:numFmt w:val="lowerLetter"/>
      <w:start w:val="1"/>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lowerLetter"/>
      <w:start w:val="3"/>
    </w:lvl>
  </w:abstractNum>
  <w:abstractNum w:abstractNumId="101">
    <w:nsid w:val="555C55B5"/>
    <w:multiLevelType w:val="hybridMultilevel"/>
    <w:lvl w:ilvl="0">
      <w:lvlJc w:val="left"/>
      <w:lvlText w:val="1"/>
      <w:numFmt w:val="bullet"/>
      <w:start w:val="1"/>
    </w:lvl>
  </w:abstractNum>
  <w:abstractNum w:abstractNumId="102">
    <w:nsid w:val="3FA62AC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2019-12-29T04:13:29Z</dcterms:created>
  <dcterms:modified xsi:type="dcterms:W3CDTF">2019-12-29T04:13:29Z</dcterms:modified>
</cp:coreProperties>
</file>