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cs="Arial" w:eastAsia="Arial" w:hAnsi="Arial"/>
          <w:sz w:val="43"/>
          <w:szCs w:val="43"/>
          <w:b w:val="1"/>
          <w:bCs w:val="1"/>
          <w:color w:val="auto"/>
        </w:rPr>
        <w:t xml:space="preserve"> FORM 4 </w:t>
      </w:r>
      <w:r>
        <w:rPr>
          <w:sz w:val="1"/>
          <w:szCs w:val="1"/>
          <w:color w:val="auto"/>
        </w:rPr>
        <w:drawing>
          <wp:inline distT="0" distB="0" distL="0" distR="0">
            <wp:extent cx="34290" cy="368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6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20" w:right="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 Section 16. Form 4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20" w:right="220" w:hanging="247"/>
        <w:spacing w:after="0" w:line="212" w:lineRule="auto"/>
        <w:tabs>
          <w:tab w:leader="none" w:pos="420" w:val="left"/>
        </w:tabs>
        <w:numPr>
          <w:ilvl w:val="0"/>
          <w:numId w:val="1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or Form 5 obligations may continue.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1(b).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(Print or Type Responses)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560" w:type="dxa"/>
            <w:vAlign w:val="bottom"/>
          </w:tcPr>
          <w:p>
            <w:pPr>
              <w:jc w:val="center"/>
              <w:ind w:right="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6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Washington, D.C. 20549</w:t>
            </w:r>
          </w:p>
        </w:tc>
        <w:tc>
          <w:tcPr>
            <w:tcW w:w="2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Number: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3235-0287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Expires:</w:t>
            </w:r>
          </w:p>
        </w:tc>
        <w:tc>
          <w:tcPr>
            <w:tcW w:w="13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6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20" w:type="dxa"/>
            <w:vAlign w:val="bottom"/>
            <w:gridSpan w:val="2"/>
          </w:tcPr>
          <w:p>
            <w:pPr>
              <w:ind w:left="2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7"/>
              </w:rPr>
              <w:t>hours per response.......................0.5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52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-1416685</wp:posOffset>
            </wp:positionH>
            <wp:positionV relativeFrom="paragraph">
              <wp:posOffset>-973455</wp:posOffset>
            </wp:positionV>
            <wp:extent cx="7272020" cy="53854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85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Section 30(h) of the Investment Company Act of 1940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80" w:space="140"/>
            <w:col w:w="9200"/>
          </w:cols>
          <w:pgMar w:left="240" w:top="609" w:right="239" w:bottom="1440" w:gutter="0" w:footer="0" w:header="0"/>
        </w:sect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1. Name and Address of Reporting Person*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2.</w:t>
            </w: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Issuer Name and Ticker or Trading Symbol</w:t>
            </w:r>
          </w:p>
        </w:tc>
      </w:tr>
      <w:tr>
        <w:trPr>
          <w:trHeight w:val="42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Comcast Corporation (formerly named AT&amp;T Comcast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Armstrong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92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C.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Michael</w:t>
            </w: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Corporation): CMCSA and CMCSK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38"/>
        </w:trPr>
        <w:tc>
          <w:tcPr>
            <w:tcW w:w="130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</w:tcPr>
          <w:p>
            <w:pPr>
              <w:jc w:val="center"/>
              <w:ind w:right="61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(First)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3.</w:t>
            </w: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2020" w:type="dxa"/>
            <w:vAlign w:val="bottom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Statement for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49"/>
        </w:trPr>
        <w:tc>
          <w:tcPr>
            <w:tcW w:w="130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Comcast Corporation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02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November 20, 2002</w:t>
            </w:r>
          </w:p>
        </w:tc>
      </w:tr>
      <w:tr>
        <w:trPr>
          <w:trHeight w:val="166"/>
        </w:trPr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25" w:right="980" w:hanging="125"/>
        <w:spacing w:after="0" w:line="239" w:lineRule="auto"/>
        <w:tabs>
          <w:tab w:leader="none" w:pos="12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 xml:space="preserve">o </w:t>
      </w:r>
      <w:r>
        <w:rPr>
          <w:rFonts w:ascii="Arial" w:cs="Arial" w:eastAsia="Arial" w:hAnsi="Arial"/>
          <w:sz w:val="11"/>
          <w:szCs w:val="11"/>
          <w:color w:val="auto"/>
        </w:rPr>
        <w:t>10% Owner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165"/>
        <w:spacing w:after="0"/>
        <w:tabs>
          <w:tab w:leader="none" w:pos="136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 xml:space="preserve">x </w:t>
      </w:r>
      <w:r>
        <w:rPr>
          <w:rFonts w:ascii="Arial" w:cs="Arial" w:eastAsia="Arial" w:hAnsi="Arial"/>
          <w:sz w:val="13"/>
          <w:szCs w:val="13"/>
          <w:color w:val="auto"/>
        </w:rPr>
        <w:t>Officer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 xml:space="preserve">o </w:t>
      </w:r>
      <w:r>
        <w:rPr>
          <w:rFonts w:ascii="Arial" w:cs="Arial" w:eastAsia="Arial" w:hAnsi="Arial"/>
          <w:sz w:val="12"/>
          <w:szCs w:val="12"/>
          <w:color w:val="auto"/>
        </w:rPr>
        <w:t>Other (specify below)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jc w:val="right"/>
        <w:ind w:right="2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(give title below)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p>
      <w:pPr>
        <w:jc w:val="right"/>
        <w:ind w:right="2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Chairman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40" w:space="15"/>
            <w:col w:w="3565"/>
          </w:cols>
          <w:pgMar w:left="240" w:top="609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9"/>
              </w:rPr>
              <w:t>(Street)</w:t>
            </w: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If Amendment, Date of</w:t>
            </w: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0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7. Individual or Joint/Group Filing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14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2000" w:type="dxa"/>
            <w:vAlign w:val="bottom"/>
            <w:gridSpan w:val="2"/>
          </w:tcPr>
          <w:p>
            <w:pPr>
              <w:ind w:left="22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Applicable 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x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PA</w:t>
            </w: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 xml:space="preserve">o 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 Person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ind w:right="1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(State)</w:t>
            </w:r>
          </w:p>
        </w:tc>
        <w:tc>
          <w:tcPr>
            <w:tcW w:w="2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40" w:type="dxa"/>
            <w:vAlign w:val="bottom"/>
            <w:gridSpan w:val="8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8"/>
              </w:rPr>
              <w:t>Table I -- Non-Derivative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4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Trans-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 Deemed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Trans-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4. Securities Acquired 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Amount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Owner-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Nature of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Execution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or Disposed 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(Instr. 3, 4 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(A)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26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1240" w:type="dxa"/>
            <w:vAlign w:val="bottom"/>
          </w:tcPr>
          <w:p>
            <w:pPr>
              <w:jc w:val="center"/>
              <w:ind w:right="1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left="7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Price</w:t>
            </w:r>
          </w:p>
        </w:tc>
        <w:tc>
          <w:tcPr>
            <w:tcW w:w="108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(D)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(Instr.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206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11/18/02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jc w:val="right"/>
              <w:ind w:right="3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80,664</w:t>
            </w:r>
          </w:p>
        </w:tc>
        <w:tc>
          <w:tcPr>
            <w:tcW w:w="3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2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80,664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4(b)(v).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09" w:right="2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4 (continued)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-- Derivative Securities Acquired, Disposed of, or Beneficially Owned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</w:t>
      </w:r>
      <w:r>
        <w:rPr>
          <w:rFonts w:ascii="Arial" w:cs="Arial" w:eastAsia="Arial" w:hAnsi="Arial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131445</wp:posOffset>
            </wp:positionV>
            <wp:extent cx="42545" cy="2907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0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1107440</wp:posOffset>
            </wp:positionH>
            <wp:positionV relativeFrom="paragraph">
              <wp:posOffset>140335</wp:posOffset>
            </wp:positionV>
            <wp:extent cx="42545" cy="28898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1510030</wp:posOffset>
            </wp:positionH>
            <wp:positionV relativeFrom="paragraph">
              <wp:posOffset>140335</wp:posOffset>
            </wp:positionV>
            <wp:extent cx="42545" cy="28898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1896110</wp:posOffset>
            </wp:positionH>
            <wp:positionV relativeFrom="paragraph">
              <wp:posOffset>140335</wp:posOffset>
            </wp:positionV>
            <wp:extent cx="42545" cy="288988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2419350</wp:posOffset>
            </wp:positionH>
            <wp:positionV relativeFrom="paragraph">
              <wp:posOffset>140335</wp:posOffset>
            </wp:positionV>
            <wp:extent cx="42545" cy="288988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140335</wp:posOffset>
            </wp:positionV>
            <wp:extent cx="42545" cy="288988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3559810</wp:posOffset>
            </wp:positionH>
            <wp:positionV relativeFrom="paragraph">
              <wp:posOffset>140335</wp:posOffset>
            </wp:positionV>
            <wp:extent cx="42545" cy="288988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4391660</wp:posOffset>
            </wp:positionH>
            <wp:positionV relativeFrom="paragraph">
              <wp:posOffset>140335</wp:posOffset>
            </wp:positionV>
            <wp:extent cx="42545" cy="288988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5403850</wp:posOffset>
            </wp:positionH>
            <wp:positionV relativeFrom="paragraph">
              <wp:posOffset>140335</wp:posOffset>
            </wp:positionV>
            <wp:extent cx="42545" cy="2889885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5798185</wp:posOffset>
            </wp:positionH>
            <wp:positionV relativeFrom="paragraph">
              <wp:posOffset>140335</wp:posOffset>
            </wp:positionV>
            <wp:extent cx="42545" cy="288988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6261100</wp:posOffset>
            </wp:positionH>
            <wp:positionV relativeFrom="paragraph">
              <wp:posOffset>140335</wp:posOffset>
            </wp:positionV>
            <wp:extent cx="42545" cy="2889885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131445</wp:posOffset>
            </wp:positionV>
            <wp:extent cx="42545" cy="290703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90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6776085</wp:posOffset>
            </wp:positionH>
            <wp:positionV relativeFrom="paragraph">
              <wp:posOffset>140335</wp:posOffset>
            </wp:positionV>
            <wp:extent cx="42545" cy="2889885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898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Title of Derivative</w:t>
            </w:r>
          </w:p>
        </w:tc>
        <w:tc>
          <w:tcPr>
            <w:tcW w:w="13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2. Conver- 3. Trans-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Trans-</w:t>
            </w:r>
          </w:p>
        </w:tc>
        <w:tc>
          <w:tcPr>
            <w:tcW w:w="24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5. Number of Deriv- 6. Date Exercisable</w:t>
            </w:r>
          </w:p>
        </w:tc>
        <w:tc>
          <w:tcPr>
            <w:tcW w:w="16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Title and Amount of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 Price</w:t>
            </w: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 Number</w:t>
            </w: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Owner-</w:t>
            </w: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Nature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sion or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Execution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 Securities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and Expiration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Underlying Securities</w:t>
            </w: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Exercise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Acquired (A) or</w:t>
            </w: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(Instr. 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(Month/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any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(Instr. 8)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Disposed of 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Deri-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Security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vative</w:t>
            </w: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Day/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Securities: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Following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Amount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Reported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  V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Number 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1"/>
              </w:rPr>
              <w:t>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action(s)</w:t>
            </w:r>
          </w:p>
        </w:tc>
        <w:tc>
          <w:tcPr>
            <w:tcW w:w="820" w:type="dxa"/>
            <w:vAlign w:val="bottom"/>
          </w:tcPr>
          <w:p>
            <w:pPr>
              <w:ind w:left="2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2,364,000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2,364,000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5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2,364,000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Option to Purchase Class A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$25.0000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11/20/02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3"/>
              </w:rPr>
              <w:t>36,000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(3)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11/20/2012</w:t>
            </w:r>
          </w:p>
        </w:tc>
        <w:tc>
          <w:tcPr>
            <w:tcW w:w="980" w:type="dxa"/>
            <w:vAlign w:val="bottom"/>
          </w:tcPr>
          <w:p>
            <w:pPr>
              <w:jc w:val="center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Class A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9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36,000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132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36,000</w:t>
            </w:r>
          </w:p>
        </w:tc>
        <w:tc>
          <w:tcPr>
            <w:tcW w:w="82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Common Stock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2710815</wp:posOffset>
            </wp:positionH>
            <wp:positionV relativeFrom="paragraph">
              <wp:posOffset>-2172970</wp:posOffset>
            </wp:positionV>
            <wp:extent cx="42545" cy="217805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3371215</wp:posOffset>
            </wp:positionH>
            <wp:positionV relativeFrom="paragraph">
              <wp:posOffset>-2172970</wp:posOffset>
            </wp:positionV>
            <wp:extent cx="42545" cy="217805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3980180</wp:posOffset>
            </wp:positionH>
            <wp:positionV relativeFrom="paragraph">
              <wp:posOffset>-2172970</wp:posOffset>
            </wp:positionV>
            <wp:extent cx="42545" cy="217805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5009515</wp:posOffset>
            </wp:positionH>
            <wp:positionV relativeFrom="paragraph">
              <wp:posOffset>-2172970</wp:posOffset>
            </wp:positionV>
            <wp:extent cx="42545" cy="217805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178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Explanation of Responses: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580" w:right="500" w:hanging="426"/>
        <w:spacing w:after="0" w:line="286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6"/>
          <w:szCs w:val="16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Shares were acquired pursuant to the merger (the "Merger") of each of Comcast Holdings Corporation (formerly named Comcast Corporation) and Comcast Cable Communications Holdings, Inc. (formerly named AT&amp;T Broadband Corp.) with wholly-owned subsidiaries of the Issuer.</w:t>
      </w:r>
    </w:p>
    <w:p>
      <w:pPr>
        <w:ind w:left="580" w:right="360" w:hanging="426"/>
        <w:spacing w:after="0" w:line="250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716,000 shares are exercisable on 11/20/2004; 356,000 shares are exercisable on each of 11/20/2005, 11/20/2006 and 11/20/2007; 116,000 shares are exercisable on each of 11/20/2008, 11/20/2009, 11/20/2010, 11/20/2011 and 5/20/2012.</w:t>
      </w:r>
    </w:p>
    <w:p>
      <w:pPr>
        <w:ind w:left="580" w:right="800" w:hanging="426"/>
        <w:spacing w:after="0" w:line="250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4,000 shares are exercisable on each of 11/20/2004, 11/20/2005, 11/20/2006, 11/20/2007, 11/20/2008, 11/20/2009, 11/20/2010, 11/20/2011 and 5/20/2012.</w:t>
      </w:r>
    </w:p>
    <w:p>
      <w:pPr>
        <w:ind w:left="580" w:right="520" w:hanging="426"/>
        <w:spacing w:after="0" w:line="261" w:lineRule="auto"/>
        <w:tabs>
          <w:tab w:leader="none" w:pos="580" w:val="left"/>
        </w:tabs>
        <w:numPr>
          <w:ilvl w:val="0"/>
          <w:numId w:val="4"/>
        </w:numPr>
        <w:rPr>
          <w:rFonts w:ascii="Arial" w:cs="Arial" w:eastAsia="Arial" w:hAnsi="Arial"/>
          <w:sz w:val="18"/>
          <w:szCs w:val="18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With respect to equity awards converted in the Merger, the Reporting Person will file an amendment to this Form 4 when all variables necessary to calculate the conversions are known.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341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/s/ C. Michael Armstrong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November 20,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9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ind w:left="1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C. Michael Armstrong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5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39" w:lineRule="auto"/>
        <w:tabs>
          <w:tab w:leader="none" w:pos="720" w:val="left"/>
        </w:tabs>
        <w:numPr>
          <w:ilvl w:val="0"/>
          <w:numId w:val="5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Arial" w:cs="Arial" w:eastAsia="Arial" w:hAnsi="Arial"/>
          <w:sz w:val="14"/>
          <w:szCs w:val="14"/>
          <w:color w:val="auto"/>
        </w:rPr>
        <w:t>18 U.S.C. 1001 and 15 U.S.C. 78ff(a).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022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o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6"/>
    </w:lvl>
  </w:abstractNum>
  <w:abstractNum w:abstractNumId="2">
    <w:nsid w:val="625558EC"/>
    <w:multiLevelType w:val="hybridMultilevel"/>
    <w:lvl w:ilvl="0">
      <w:lvlJc w:val="left"/>
      <w:lvlText w:val="*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(%1)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2019-12-15T06:44:38Z</dcterms:created>
  <dcterms:modified xsi:type="dcterms:W3CDTF">2019-12-15T06:44:38Z</dcterms:modified>
</cp:coreProperties>
</file>