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QVC PROGRAMMING HOLDINGS, INC.</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2860"/>
        <w:spacing w:after="0"/>
        <w:rPr>
          <w:sz w:val="20"/>
          <w:szCs w:val="20"/>
          <w:color w:val="auto"/>
        </w:rPr>
      </w:pPr>
      <w:r>
        <w:rPr>
          <w:rFonts w:ascii="Courier New" w:cs="Courier New" w:eastAsia="Courier New" w:hAnsi="Courier New"/>
          <w:sz w:val="18"/>
          <w:szCs w:val="18"/>
          <w:color w:val="auto"/>
        </w:rPr>
        <w:t>TELE-COMMUNICATIONS, INC.</w:t>
      </w:r>
    </w:p>
    <w:p>
      <w:pPr>
        <w:ind w:left="2220"/>
        <w:spacing w:after="0"/>
        <w:rPr>
          <w:sz w:val="20"/>
          <w:szCs w:val="20"/>
          <w:color w:val="auto"/>
        </w:rPr>
      </w:pPr>
      <w:r>
        <w:rPr>
          <w:rFonts w:ascii="Courier New" w:cs="Courier New" w:eastAsia="Courier New" w:hAnsi="Courier New"/>
          <w:sz w:val="18"/>
          <w:szCs w:val="18"/>
          <w:color w:val="auto"/>
        </w:rPr>
        <w:t>(Name of Person(s) Filing Statement)</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96"/>
        </w:trPr>
        <w:tc>
          <w:tcPr>
            <w:tcW w:w="8120" w:type="dxa"/>
            <w:vAlign w:val="bottom"/>
            <w:gridSpan w:val="5"/>
          </w:tcPr>
          <w:p>
            <w:pPr>
              <w:ind w:left="2220"/>
              <w:spacing w:after="0"/>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514"/>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96"/>
        </w:trPr>
        <w:tc>
          <w:tcPr>
            <w:tcW w:w="2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(610) 430-1000</w:t>
            </w:r>
          </w:p>
        </w:tc>
        <w:tc>
          <w:tcPr>
            <w:tcW w:w="210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(303) 267-5500</w:t>
            </w:r>
          </w:p>
        </w:tc>
      </w:tr>
    </w:tbl>
    <w:p>
      <w:pPr>
        <w:spacing w:after="0" w:line="109" w:lineRule="exact"/>
        <w:rPr>
          <w:sz w:val="24"/>
          <w:szCs w:val="24"/>
          <w:color w:val="auto"/>
        </w:rPr>
      </w:pPr>
    </w:p>
    <w:p>
      <w:pPr>
        <w:jc w:val="right"/>
        <w:ind w:left="540" w:right="2519"/>
        <w:spacing w:after="0" w:line="42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320" w:type="dxa"/>
            <w:vAlign w:val="bottom"/>
          </w:tcPr>
          <w:p>
            <w:pPr>
              <w:spacing w:after="0"/>
              <w:rPr>
                <w:sz w:val="24"/>
                <w:szCs w:val="24"/>
                <w:color w:val="auto"/>
              </w:rPr>
            </w:pPr>
          </w:p>
        </w:tc>
        <w:tc>
          <w:tcPr>
            <w:tcW w:w="254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24"/>
                <w:szCs w:val="24"/>
                <w:color w:val="auto"/>
              </w:rPr>
            </w:pPr>
          </w:p>
        </w:tc>
      </w:tr>
      <w:tr>
        <w:trPr>
          <w:trHeight w:val="514"/>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Pamela S. Seymon</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96"/>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(212) 403-1000</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right="1999" w:firstLine="1264"/>
        <w:spacing w:after="0" w:line="298"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68" w:lineRule="exact"/>
        <w:rPr>
          <w:sz w:val="24"/>
          <w:szCs w:val="24"/>
          <w:color w:val="auto"/>
        </w:rPr>
      </w:pPr>
    </w:p>
    <w:p>
      <w:pPr>
        <w:ind w:right="1999" w:firstLine="1264"/>
        <w:spacing w:after="0" w:line="306"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w:t>
      </w:r>
    </w:p>
    <w:p>
      <w:pPr>
        <w:sectPr>
          <w:pgSz w:w="11900" w:h="16943"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persons.</w:t>
      </w:r>
    </w:p>
    <w:p>
      <w:pPr>
        <w:spacing w:after="0" w:line="201" w:lineRule="exact"/>
        <w:rPr>
          <w:sz w:val="20"/>
          <w:szCs w:val="20"/>
          <w:color w:val="auto"/>
        </w:rPr>
      </w:pPr>
    </w:p>
    <w:p>
      <w:pPr>
        <w:ind w:right="2619" w:firstLine="1264"/>
        <w:spacing w:after="0" w:line="347"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1"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The answer to Items 10(c) and 10(f) of Amendment No. 8 to the Schedule 14D-1 is incorporated herein by reference.</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The answer to Items 10(c) and 10(f) of Amendment No. 8 to the Schedule 14D-1 is incorporated herein by reference.</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(d)(13) -- Text of Press Release issued by Comcast and TCI on September 21, 1994.(*)</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Incorporated by reference to Amendment No. 8 to Schedule 14D-1.</w:t>
      </w: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99" w:firstLine="1264"/>
        <w:spacing w:after="0" w:line="292"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22,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ectPr>
          <w:pgSz w:w="11900" w:h="16838" w:orient="portrait"/>
          <w:cols w:equalWidth="0" w:num="1">
            <w:col w:w="10219"/>
          </w:cols>
          <w:pgMar w:left="24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264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NEAL S. GRABELL</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Neal S. Grabell</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Senior Vice President,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General Counsel and</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ind w:left="800"/>
              <w:spacing w:after="0"/>
              <w:rPr>
                <w:sz w:val="20"/>
                <w:szCs w:val="20"/>
                <w:color w:val="auto"/>
              </w:rPr>
            </w:pPr>
            <w:r>
              <w:rPr>
                <w:rFonts w:ascii="Courier New" w:cs="Courier New" w:eastAsia="Courier New" w:hAnsi="Courier New"/>
                <w:sz w:val="18"/>
                <w:szCs w:val="18"/>
                <w:color w:val="auto"/>
              </w:rPr>
              <w:t>Corporate Secretary</w:t>
            </w:r>
          </w:p>
        </w:tc>
        <w:tc>
          <w:tcPr>
            <w:tcW w:w="0" w:type="dxa"/>
            <w:vAlign w:val="bottom"/>
          </w:tcPr>
          <w:p>
            <w:pPr>
              <w:spacing w:after="0"/>
              <w:rPr>
                <w:sz w:val="1"/>
                <w:szCs w:val="1"/>
                <w:color w:val="auto"/>
              </w:rPr>
            </w:pPr>
          </w:p>
        </w:tc>
      </w:tr>
      <w:tr>
        <w:trPr>
          <w:trHeight w:val="608"/>
        </w:trPr>
        <w:tc>
          <w:tcPr>
            <w:tcW w:w="1320" w:type="dxa"/>
            <w:vAlign w:val="bottom"/>
          </w:tcPr>
          <w:p>
            <w:pPr>
              <w:spacing w:after="0"/>
              <w:rPr>
                <w:sz w:val="24"/>
                <w:szCs w:val="24"/>
                <w:color w:val="auto"/>
              </w:rPr>
            </w:pPr>
          </w:p>
        </w:tc>
        <w:tc>
          <w:tcPr>
            <w:tcW w:w="638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QVC PROGRAMMING HOLDINGS, INC.</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JULIAN A. BRODSKY</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Julian A. Brodsky</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Vice Chairman</w:t>
            </w:r>
          </w:p>
        </w:tc>
        <w:tc>
          <w:tcPr>
            <w:tcW w:w="0" w:type="dxa"/>
            <w:vAlign w:val="bottom"/>
          </w:tcPr>
          <w:p>
            <w:pPr>
              <w:spacing w:after="0"/>
              <w:rPr>
                <w:sz w:val="1"/>
                <w:szCs w:val="1"/>
                <w:color w:val="auto"/>
              </w:rPr>
            </w:pPr>
          </w:p>
        </w:tc>
      </w:tr>
      <w:tr>
        <w:trPr>
          <w:trHeight w:val="810"/>
        </w:trPr>
        <w:tc>
          <w:tcPr>
            <w:tcW w:w="1320" w:type="dxa"/>
            <w:vAlign w:val="bottom"/>
          </w:tcPr>
          <w:p>
            <w:pPr>
              <w:spacing w:after="0"/>
              <w:rPr>
                <w:sz w:val="24"/>
                <w:szCs w:val="24"/>
                <w:color w:val="auto"/>
              </w:rPr>
            </w:pPr>
          </w:p>
        </w:tc>
        <w:tc>
          <w:tcPr>
            <w:tcW w:w="638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COMCAST CORPORATION</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JULIAN A. BRODSKY</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Julian A. Brodsky</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Vice Chairman</w:t>
            </w:r>
          </w:p>
        </w:tc>
        <w:tc>
          <w:tcPr>
            <w:tcW w:w="0" w:type="dxa"/>
            <w:vAlign w:val="bottom"/>
          </w:tcPr>
          <w:p>
            <w:pPr>
              <w:spacing w:after="0"/>
              <w:rPr>
                <w:sz w:val="1"/>
                <w:szCs w:val="1"/>
                <w:color w:val="auto"/>
              </w:rPr>
            </w:pPr>
          </w:p>
        </w:tc>
      </w:tr>
      <w:tr>
        <w:trPr>
          <w:trHeight w:val="608"/>
        </w:trPr>
        <w:tc>
          <w:tcPr>
            <w:tcW w:w="1320" w:type="dxa"/>
            <w:vAlign w:val="bottom"/>
          </w:tcPr>
          <w:p>
            <w:pPr>
              <w:spacing w:after="0"/>
              <w:rPr>
                <w:sz w:val="24"/>
                <w:szCs w:val="24"/>
                <w:color w:val="auto"/>
              </w:rPr>
            </w:pPr>
          </w:p>
        </w:tc>
        <w:tc>
          <w:tcPr>
            <w:tcW w:w="638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TELE-COMMUNICATIONS, INC.</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STEPHEN M. BRETT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Stephen M. Brett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Executive Vice</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ind w:left="800"/>
              <w:spacing w:after="0"/>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r>
        <w:trPr>
          <w:trHeight w:val="608"/>
        </w:trPr>
        <w:tc>
          <w:tcPr>
            <w:tcW w:w="1320" w:type="dxa"/>
            <w:vAlign w:val="bottom"/>
          </w:tcPr>
          <w:p>
            <w:pPr>
              <w:spacing w:after="0"/>
              <w:rPr>
                <w:sz w:val="24"/>
                <w:szCs w:val="24"/>
                <w:color w:val="auto"/>
              </w:rPr>
            </w:pPr>
          </w:p>
        </w:tc>
        <w:tc>
          <w:tcPr>
            <w:tcW w:w="3260" w:type="dxa"/>
            <w:vAlign w:val="bottom"/>
            <w:gridSpan w:val="2"/>
          </w:tcPr>
          <w:p>
            <w:pPr>
              <w:ind w:left="1840"/>
              <w:spacing w:after="0"/>
              <w:rPr>
                <w:sz w:val="20"/>
                <w:szCs w:val="20"/>
                <w:color w:val="auto"/>
              </w:rPr>
            </w:pPr>
            <w:r>
              <w:rPr>
                <w:rFonts w:ascii="Courier New" w:cs="Courier New" w:eastAsia="Courier New" w:hAnsi="Courier New"/>
                <w:sz w:val="18"/>
                <w:szCs w:val="18"/>
                <w:color w:val="auto"/>
                <w:w w:val="99"/>
              </w:rPr>
              <w:t>EXHIBIT INDEX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640" w:type="dxa"/>
            <w:vAlign w:val="bottom"/>
            <w:vMerge w:val="restart"/>
          </w:tcPr>
          <w:p>
            <w:pPr>
              <w:ind w:left="1220"/>
              <w:spacing w:after="0"/>
              <w:rPr>
                <w:sz w:val="20"/>
                <w:szCs w:val="20"/>
                <w:color w:val="auto"/>
              </w:rPr>
            </w:pPr>
            <w:r>
              <w:rPr>
                <w:rFonts w:ascii="Courier New" w:cs="Courier New" w:eastAsia="Courier New" w:hAnsi="Courier New"/>
                <w:sz w:val="18"/>
                <w:szCs w:val="18"/>
                <w:color w:val="auto"/>
              </w:rPr>
              <w:t>Description</w:t>
            </w:r>
          </w:p>
        </w:tc>
        <w:tc>
          <w:tcPr>
            <w:tcW w:w="620" w:type="dxa"/>
            <w:vAlign w:val="bottom"/>
          </w:tcPr>
          <w:p>
            <w:pPr>
              <w:spacing w:after="0"/>
              <w:rPr>
                <w:sz w:val="24"/>
                <w:szCs w:val="24"/>
                <w:color w:val="auto"/>
              </w:rPr>
            </w:pPr>
          </w:p>
        </w:tc>
        <w:tc>
          <w:tcPr>
            <w:tcW w:w="3120" w:type="dxa"/>
            <w:vAlign w:val="bottom"/>
          </w:tcPr>
          <w:p>
            <w:pPr>
              <w:ind w:left="1740"/>
              <w:spacing w:after="0"/>
              <w:rPr>
                <w:sz w:val="20"/>
                <w:szCs w:val="20"/>
                <w:color w:val="auto"/>
              </w:rPr>
            </w:pPr>
            <w:r>
              <w:rPr>
                <w:rFonts w:ascii="Courier New" w:cs="Courier New" w:eastAsia="Courier New" w:hAnsi="Courier New"/>
                <w:sz w:val="18"/>
                <w:szCs w:val="18"/>
                <w:color w:val="auto"/>
              </w:rPr>
              <w:t>Sequentially</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ind w:left="1740"/>
              <w:spacing w:after="0"/>
              <w:rPr>
                <w:sz w:val="20"/>
                <w:szCs w:val="20"/>
                <w:color w:val="auto"/>
              </w:rPr>
            </w:pPr>
            <w:r>
              <w:rPr>
                <w:rFonts w:ascii="Courier New" w:cs="Courier New" w:eastAsia="Courier New" w:hAnsi="Courier New"/>
                <w:sz w:val="18"/>
                <w:szCs w:val="18"/>
                <w:color w:val="auto"/>
                <w:w w:val="96"/>
              </w:rPr>
              <w:t>Numbered Page</w:t>
            </w:r>
          </w:p>
        </w:tc>
        <w:tc>
          <w:tcPr>
            <w:tcW w:w="0" w:type="dxa"/>
            <w:vAlign w:val="bottom"/>
          </w:tcPr>
          <w:p>
            <w:pPr>
              <w:spacing w:after="0"/>
              <w:rPr>
                <w:sz w:val="1"/>
                <w:szCs w:val="1"/>
                <w:color w:val="auto"/>
              </w:rPr>
            </w:pPr>
          </w:p>
        </w:tc>
      </w:tr>
      <w:tr>
        <w:trPr>
          <w:trHeight w:val="311"/>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63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Text of Press Release issued by Comcast and TCI on</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3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September 21, 1994.(*)</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899"/>
      </w:cols>
      <w:pgMar w:left="560" w:top="8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2019-12-16T11:47:05Z</dcterms:created>
  <dcterms:modified xsi:type="dcterms:W3CDTF">2019-12-16T11:47:05Z</dcterms:modified>
</cp:coreProperties>
</file>