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333-101861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prospectus dated December 23,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144145</wp:posOffset>
            </wp:positionV>
            <wp:extent cx="1440815" cy="368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81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Arial" w:cs="Arial" w:eastAsia="Arial" w:hAnsi="Arial"/>
          <w:sz w:val="24"/>
          <w:szCs w:val="24"/>
          <w:b w:val="1"/>
          <w:bCs w:val="1"/>
          <w:color w:val="auto"/>
        </w:rPr>
        <w:t>$750,000,000 5.50% Notes due 2011</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24"/>
          <w:szCs w:val="24"/>
          <w:b w:val="1"/>
          <w:bCs w:val="1"/>
          <w:color w:val="auto"/>
        </w:rPr>
        <w:t>$750,000,000 7.05% Notes due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160020</wp:posOffset>
            </wp:positionV>
            <wp:extent cx="22555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right="40" w:firstLine="594"/>
        <w:spacing w:after="0" w:line="298" w:lineRule="auto"/>
        <w:rPr>
          <w:sz w:val="20"/>
          <w:szCs w:val="20"/>
          <w:color w:val="auto"/>
        </w:rPr>
      </w:pPr>
      <w:r>
        <w:rPr>
          <w:rFonts w:ascii="Arial" w:cs="Arial" w:eastAsia="Arial" w:hAnsi="Arial"/>
          <w:sz w:val="16"/>
          <w:szCs w:val="16"/>
          <w:color w:val="auto"/>
        </w:rPr>
        <w:t>We will pay interest on the notes on March 15 and September 15 of each year beginning on September 15, 2003. The notes due 2011 will bear interest at a rate of 5.50% per year and will mature on March 15, 2011. The notes due 2033 will bear interest at a rate of 7.05% per year and will mature on March 15, 2033. The notes will be unsecured and will rank equally with all of our unsecured and unsubordinated indebtedness. The notes will be fully and unconditionally guaranteed by our wholly-owned cable subsidiaries named in this prospectus supplement and in the accompanying prospectus.</w:t>
      </w:r>
    </w:p>
    <w:p>
      <w:pPr>
        <w:spacing w:after="0" w:line="194" w:lineRule="exact"/>
        <w:rPr>
          <w:sz w:val="20"/>
          <w:szCs w:val="20"/>
          <w:color w:val="auto"/>
        </w:rPr>
      </w:pPr>
    </w:p>
    <w:p>
      <w:pPr>
        <w:ind w:right="460" w:firstLine="432"/>
        <w:spacing w:after="0" w:line="268" w:lineRule="auto"/>
        <w:rPr>
          <w:sz w:val="20"/>
          <w:szCs w:val="20"/>
          <w:color w:val="auto"/>
        </w:rPr>
      </w:pPr>
      <w:r>
        <w:rPr>
          <w:rFonts w:ascii="Arial" w:cs="Arial" w:eastAsia="Arial" w:hAnsi="Arial"/>
          <w:sz w:val="18"/>
          <w:szCs w:val="18"/>
          <w:color w:val="auto"/>
        </w:rPr>
        <w:t>We may redeem any of the notes at any time by paying the greater of the principal amount of the notes or a “make-whole” amount, plus, in each case, accrued interest. See “Description of the Notes and the Cable Guarantees— Optional Redemption.”</w:t>
      </w:r>
    </w:p>
    <w:p>
      <w:pPr>
        <w:spacing w:after="0" w:line="167" w:lineRule="exact"/>
        <w:rPr>
          <w:sz w:val="20"/>
          <w:szCs w:val="20"/>
          <w:color w:val="auto"/>
        </w:rPr>
      </w:pPr>
    </w:p>
    <w:p>
      <w:pPr>
        <w:ind w:right="720" w:firstLine="540"/>
        <w:spacing w:after="0" w:line="256" w:lineRule="auto"/>
        <w:rPr>
          <w:sz w:val="20"/>
          <w:szCs w:val="20"/>
          <w:color w:val="auto"/>
        </w:rPr>
      </w:pPr>
      <w:r>
        <w:rPr>
          <w:rFonts w:ascii="Arial" w:cs="Arial" w:eastAsia="Arial" w:hAnsi="Arial"/>
          <w:sz w:val="22"/>
          <w:szCs w:val="22"/>
          <w:b w:val="1"/>
          <w:bCs w:val="1"/>
          <w:color w:val="auto"/>
        </w:rPr>
        <w:t>Investing in the notes involves risks that are described in the “Risk Factors” section beginning on page 3 of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120650</wp:posOffset>
            </wp:positionV>
            <wp:extent cx="22555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00" w:type="dxa"/>
            <w:vAlign w:val="bottom"/>
          </w:tcPr>
          <w:p>
            <w:pPr>
              <w:jc w:val="right"/>
              <w:ind w:right="619"/>
              <w:spacing w:after="0"/>
              <w:rPr>
                <w:sz w:val="20"/>
                <w:szCs w:val="20"/>
                <w:color w:val="auto"/>
              </w:rPr>
            </w:pPr>
            <w:r>
              <w:rPr>
                <w:rFonts w:ascii="Arial" w:cs="Arial" w:eastAsia="Arial" w:hAnsi="Arial"/>
                <w:sz w:val="14"/>
                <w:szCs w:val="14"/>
                <w:b w:val="1"/>
                <w:bCs w:val="1"/>
                <w:color w:val="auto"/>
              </w:rPr>
              <w:t>Price to</w:t>
            </w:r>
          </w:p>
        </w:tc>
        <w:tc>
          <w:tcPr>
            <w:tcW w:w="240" w:type="dxa"/>
            <w:vAlign w:val="bottom"/>
          </w:tcPr>
          <w:p>
            <w:pPr>
              <w:spacing w:after="0"/>
              <w:rPr>
                <w:sz w:val="14"/>
                <w:szCs w:val="14"/>
                <w:color w:val="auto"/>
              </w:rPr>
            </w:pPr>
          </w:p>
        </w:tc>
        <w:tc>
          <w:tcPr>
            <w:tcW w:w="1840" w:type="dxa"/>
            <w:vAlign w:val="bottom"/>
          </w:tcPr>
          <w:p>
            <w:pPr>
              <w:jc w:val="right"/>
              <w:ind w:right="452"/>
              <w:spacing w:after="0"/>
              <w:rPr>
                <w:sz w:val="20"/>
                <w:szCs w:val="20"/>
                <w:color w:val="auto"/>
              </w:rPr>
            </w:pPr>
            <w:r>
              <w:rPr>
                <w:rFonts w:ascii="Arial" w:cs="Arial" w:eastAsia="Arial" w:hAnsi="Arial"/>
                <w:sz w:val="14"/>
                <w:szCs w:val="14"/>
                <w:b w:val="1"/>
                <w:bCs w:val="1"/>
                <w:color w:val="auto"/>
              </w:rPr>
              <w:t>Underwriters’</w:t>
            </w:r>
          </w:p>
        </w:tc>
        <w:tc>
          <w:tcPr>
            <w:tcW w:w="240" w:type="dxa"/>
            <w:vAlign w:val="bottom"/>
          </w:tcPr>
          <w:p>
            <w:pPr>
              <w:spacing w:after="0"/>
              <w:rPr>
                <w:sz w:val="14"/>
                <w:szCs w:val="14"/>
                <w:color w:val="auto"/>
              </w:rPr>
            </w:pPr>
          </w:p>
        </w:tc>
        <w:tc>
          <w:tcPr>
            <w:tcW w:w="2040" w:type="dxa"/>
            <w:vAlign w:val="bottom"/>
          </w:tcPr>
          <w:p>
            <w:pPr>
              <w:jc w:val="right"/>
              <w:ind w:right="532"/>
              <w:spacing w:after="0"/>
              <w:rPr>
                <w:sz w:val="20"/>
                <w:szCs w:val="20"/>
                <w:color w:val="auto"/>
              </w:rPr>
            </w:pPr>
            <w:r>
              <w:rPr>
                <w:rFonts w:ascii="Arial" w:cs="Arial" w:eastAsia="Arial" w:hAnsi="Arial"/>
                <w:sz w:val="14"/>
                <w:szCs w:val="14"/>
                <w:b w:val="1"/>
                <w:bCs w:val="1"/>
                <w:color w:val="auto"/>
              </w:rPr>
              <w:t>Proceeds to Us</w:t>
            </w:r>
          </w:p>
        </w:tc>
      </w:tr>
      <w:tr>
        <w:trPr>
          <w:trHeight w:val="174"/>
        </w:trPr>
        <w:tc>
          <w:tcPr>
            <w:tcW w:w="4120" w:type="dxa"/>
            <w:vAlign w:val="bottom"/>
          </w:tcPr>
          <w:p>
            <w:pPr>
              <w:spacing w:after="0"/>
              <w:rPr>
                <w:sz w:val="15"/>
                <w:szCs w:val="15"/>
                <w:color w:val="auto"/>
              </w:rPr>
            </w:pPr>
          </w:p>
        </w:tc>
        <w:tc>
          <w:tcPr>
            <w:tcW w:w="1800" w:type="dxa"/>
            <w:vAlign w:val="bottom"/>
          </w:tcPr>
          <w:p>
            <w:pPr>
              <w:jc w:val="right"/>
              <w:ind w:right="479"/>
              <w:spacing w:after="0"/>
              <w:rPr>
                <w:sz w:val="20"/>
                <w:szCs w:val="20"/>
                <w:color w:val="auto"/>
              </w:rPr>
            </w:pPr>
            <w:r>
              <w:rPr>
                <w:rFonts w:ascii="Arial" w:cs="Arial" w:eastAsia="Arial" w:hAnsi="Arial"/>
                <w:sz w:val="14"/>
                <w:szCs w:val="14"/>
                <w:b w:val="1"/>
                <w:bCs w:val="1"/>
                <w:color w:val="auto"/>
              </w:rPr>
              <w:t>Investors(1)</w:t>
            </w:r>
          </w:p>
        </w:tc>
        <w:tc>
          <w:tcPr>
            <w:tcW w:w="240" w:type="dxa"/>
            <w:vAlign w:val="bottom"/>
          </w:tcPr>
          <w:p>
            <w:pPr>
              <w:spacing w:after="0"/>
              <w:rPr>
                <w:sz w:val="15"/>
                <w:szCs w:val="15"/>
                <w:color w:val="auto"/>
              </w:rPr>
            </w:pPr>
          </w:p>
        </w:tc>
        <w:tc>
          <w:tcPr>
            <w:tcW w:w="1840" w:type="dxa"/>
            <w:vAlign w:val="bottom"/>
          </w:tcPr>
          <w:p>
            <w:pPr>
              <w:jc w:val="right"/>
              <w:ind w:right="612"/>
              <w:spacing w:after="0"/>
              <w:rPr>
                <w:sz w:val="20"/>
                <w:szCs w:val="20"/>
                <w:color w:val="auto"/>
              </w:rPr>
            </w:pPr>
            <w:r>
              <w:rPr>
                <w:rFonts w:ascii="Arial" w:cs="Arial" w:eastAsia="Arial" w:hAnsi="Arial"/>
                <w:sz w:val="14"/>
                <w:szCs w:val="14"/>
                <w:b w:val="1"/>
                <w:bCs w:val="1"/>
                <w:color w:val="auto"/>
              </w:rPr>
              <w:t>Discount</w:t>
            </w:r>
          </w:p>
        </w:tc>
        <w:tc>
          <w:tcPr>
            <w:tcW w:w="240" w:type="dxa"/>
            <w:vAlign w:val="bottom"/>
          </w:tcPr>
          <w:p>
            <w:pPr>
              <w:spacing w:after="0"/>
              <w:rPr>
                <w:sz w:val="15"/>
                <w:szCs w:val="15"/>
                <w:color w:val="auto"/>
              </w:rPr>
            </w:pPr>
          </w:p>
        </w:tc>
        <w:tc>
          <w:tcPr>
            <w:tcW w:w="2040" w:type="dxa"/>
            <w:vAlign w:val="bottom"/>
          </w:tcPr>
          <w:p>
            <w:pPr>
              <w:jc w:val="right"/>
              <w:ind w:right="492"/>
              <w:spacing w:after="0"/>
              <w:rPr>
                <w:sz w:val="20"/>
                <w:szCs w:val="20"/>
                <w:color w:val="auto"/>
              </w:rPr>
            </w:pPr>
            <w:r>
              <w:rPr>
                <w:rFonts w:ascii="Arial" w:cs="Arial" w:eastAsia="Arial" w:hAnsi="Arial"/>
                <w:sz w:val="14"/>
                <w:szCs w:val="14"/>
                <w:b w:val="1"/>
                <w:bCs w:val="1"/>
                <w:color w:val="auto"/>
              </w:rPr>
              <w:t>Before Expenses</w:t>
            </w:r>
          </w:p>
        </w:tc>
      </w:tr>
      <w:tr>
        <w:trPr>
          <w:trHeight w:val="95"/>
        </w:trPr>
        <w:tc>
          <w:tcPr>
            <w:tcW w:w="4120" w:type="dxa"/>
            <w:vAlign w:val="bottom"/>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r>
      <w:tr>
        <w:trPr>
          <w:trHeight w:val="309"/>
        </w:trPr>
        <w:tc>
          <w:tcPr>
            <w:tcW w:w="4120" w:type="dxa"/>
            <w:vAlign w:val="bottom"/>
          </w:tcPr>
          <w:p>
            <w:pPr>
              <w:spacing w:after="0"/>
              <w:rPr>
                <w:sz w:val="20"/>
                <w:szCs w:val="20"/>
                <w:color w:val="auto"/>
              </w:rPr>
            </w:pPr>
            <w:r>
              <w:rPr>
                <w:rFonts w:ascii="Arial" w:cs="Arial" w:eastAsia="Arial" w:hAnsi="Arial"/>
                <w:sz w:val="18"/>
                <w:szCs w:val="18"/>
                <w:color w:val="auto"/>
              </w:rPr>
              <w:t>Per note due 2011</w:t>
            </w:r>
          </w:p>
        </w:tc>
        <w:tc>
          <w:tcPr>
            <w:tcW w:w="1800" w:type="dxa"/>
            <w:vAlign w:val="bottom"/>
          </w:tcPr>
          <w:p>
            <w:pPr>
              <w:jc w:val="right"/>
              <w:ind w:right="219"/>
              <w:spacing w:after="0"/>
              <w:rPr>
                <w:sz w:val="20"/>
                <w:szCs w:val="20"/>
                <w:color w:val="auto"/>
              </w:rPr>
            </w:pPr>
            <w:r>
              <w:rPr>
                <w:rFonts w:ascii="Arial" w:cs="Arial" w:eastAsia="Arial" w:hAnsi="Arial"/>
                <w:sz w:val="18"/>
                <w:szCs w:val="18"/>
                <w:color w:val="auto"/>
              </w:rPr>
              <w:t>99.5530%</w:t>
            </w:r>
          </w:p>
        </w:tc>
        <w:tc>
          <w:tcPr>
            <w:tcW w:w="2080" w:type="dxa"/>
            <w:vAlign w:val="bottom"/>
            <w:gridSpan w:val="2"/>
          </w:tcPr>
          <w:p>
            <w:pPr>
              <w:jc w:val="right"/>
              <w:ind w:right="372"/>
              <w:spacing w:after="0"/>
              <w:rPr>
                <w:sz w:val="20"/>
                <w:szCs w:val="20"/>
                <w:color w:val="auto"/>
              </w:rPr>
            </w:pPr>
            <w:r>
              <w:rPr>
                <w:rFonts w:ascii="Arial" w:cs="Arial" w:eastAsia="Arial" w:hAnsi="Arial"/>
                <w:sz w:val="18"/>
                <w:szCs w:val="18"/>
                <w:color w:val="auto"/>
              </w:rPr>
              <w:t>0.6375%</w:t>
            </w:r>
          </w:p>
        </w:tc>
        <w:tc>
          <w:tcPr>
            <w:tcW w:w="2280" w:type="dxa"/>
            <w:vAlign w:val="bottom"/>
            <w:gridSpan w:val="2"/>
          </w:tcPr>
          <w:p>
            <w:pPr>
              <w:jc w:val="right"/>
              <w:ind w:right="372"/>
              <w:spacing w:after="0"/>
              <w:rPr>
                <w:sz w:val="20"/>
                <w:szCs w:val="20"/>
                <w:color w:val="auto"/>
              </w:rPr>
            </w:pPr>
            <w:r>
              <w:rPr>
                <w:rFonts w:ascii="Arial" w:cs="Arial" w:eastAsia="Arial" w:hAnsi="Arial"/>
                <w:sz w:val="18"/>
                <w:szCs w:val="18"/>
                <w:color w:val="auto"/>
              </w:rPr>
              <w:t>98.9155%</w:t>
            </w:r>
          </w:p>
        </w:tc>
      </w:tr>
      <w:tr>
        <w:trPr>
          <w:trHeight w:val="216"/>
        </w:trPr>
        <w:tc>
          <w:tcPr>
            <w:tcW w:w="4120" w:type="dxa"/>
            <w:vAlign w:val="bottom"/>
          </w:tcPr>
          <w:p>
            <w:pPr>
              <w:ind w:left="240"/>
              <w:spacing w:after="0"/>
              <w:rPr>
                <w:sz w:val="20"/>
                <w:szCs w:val="20"/>
                <w:color w:val="auto"/>
              </w:rPr>
            </w:pPr>
            <w:r>
              <w:rPr>
                <w:rFonts w:ascii="Arial" w:cs="Arial" w:eastAsia="Arial" w:hAnsi="Arial"/>
                <w:sz w:val="18"/>
                <w:szCs w:val="18"/>
                <w:color w:val="auto"/>
              </w:rPr>
              <w:t>Total</w:t>
            </w:r>
          </w:p>
        </w:tc>
        <w:tc>
          <w:tcPr>
            <w:tcW w:w="1800" w:type="dxa"/>
            <w:vAlign w:val="bottom"/>
          </w:tcPr>
          <w:p>
            <w:pPr>
              <w:jc w:val="right"/>
              <w:ind w:right="359"/>
              <w:spacing w:after="0"/>
              <w:rPr>
                <w:sz w:val="20"/>
                <w:szCs w:val="20"/>
                <w:color w:val="auto"/>
              </w:rPr>
            </w:pPr>
            <w:r>
              <w:rPr>
                <w:rFonts w:ascii="Arial" w:cs="Arial" w:eastAsia="Arial" w:hAnsi="Arial"/>
                <w:sz w:val="18"/>
                <w:szCs w:val="18"/>
                <w:color w:val="auto"/>
              </w:rPr>
              <w:t>$746,647,500</w:t>
            </w:r>
          </w:p>
        </w:tc>
        <w:tc>
          <w:tcPr>
            <w:tcW w:w="2080" w:type="dxa"/>
            <w:vAlign w:val="bottom"/>
            <w:gridSpan w:val="2"/>
          </w:tcPr>
          <w:p>
            <w:pPr>
              <w:jc w:val="right"/>
              <w:ind w:right="512"/>
              <w:spacing w:after="0"/>
              <w:rPr>
                <w:sz w:val="20"/>
                <w:szCs w:val="20"/>
                <w:color w:val="auto"/>
              </w:rPr>
            </w:pPr>
            <w:r>
              <w:rPr>
                <w:rFonts w:ascii="Arial" w:cs="Arial" w:eastAsia="Arial" w:hAnsi="Arial"/>
                <w:sz w:val="18"/>
                <w:szCs w:val="18"/>
                <w:color w:val="auto"/>
              </w:rPr>
              <w:t>$4,781,250</w:t>
            </w:r>
          </w:p>
        </w:tc>
        <w:tc>
          <w:tcPr>
            <w:tcW w:w="2280" w:type="dxa"/>
            <w:vAlign w:val="bottom"/>
            <w:gridSpan w:val="2"/>
          </w:tcPr>
          <w:p>
            <w:pPr>
              <w:jc w:val="right"/>
              <w:ind w:right="532"/>
              <w:spacing w:after="0"/>
              <w:rPr>
                <w:sz w:val="20"/>
                <w:szCs w:val="20"/>
                <w:color w:val="auto"/>
              </w:rPr>
            </w:pPr>
            <w:r>
              <w:rPr>
                <w:rFonts w:ascii="Arial" w:cs="Arial" w:eastAsia="Arial" w:hAnsi="Arial"/>
                <w:sz w:val="18"/>
                <w:szCs w:val="18"/>
                <w:color w:val="auto"/>
              </w:rPr>
              <w:t>$741,866,250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Per note due 2033</w:t>
            </w:r>
          </w:p>
        </w:tc>
        <w:tc>
          <w:tcPr>
            <w:tcW w:w="1800" w:type="dxa"/>
            <w:vAlign w:val="bottom"/>
          </w:tcPr>
          <w:p>
            <w:pPr>
              <w:jc w:val="right"/>
              <w:ind w:right="219"/>
              <w:spacing w:after="0"/>
              <w:rPr>
                <w:sz w:val="20"/>
                <w:szCs w:val="20"/>
                <w:color w:val="auto"/>
              </w:rPr>
            </w:pPr>
            <w:r>
              <w:rPr>
                <w:rFonts w:ascii="Arial" w:cs="Arial" w:eastAsia="Arial" w:hAnsi="Arial"/>
                <w:sz w:val="18"/>
                <w:szCs w:val="18"/>
                <w:color w:val="auto"/>
              </w:rPr>
              <w:t>99.5180%</w:t>
            </w:r>
          </w:p>
        </w:tc>
        <w:tc>
          <w:tcPr>
            <w:tcW w:w="2080" w:type="dxa"/>
            <w:vAlign w:val="bottom"/>
            <w:gridSpan w:val="2"/>
          </w:tcPr>
          <w:p>
            <w:pPr>
              <w:jc w:val="right"/>
              <w:ind w:right="372"/>
              <w:spacing w:after="0"/>
              <w:rPr>
                <w:sz w:val="20"/>
                <w:szCs w:val="20"/>
                <w:color w:val="auto"/>
              </w:rPr>
            </w:pPr>
            <w:r>
              <w:rPr>
                <w:rFonts w:ascii="Arial" w:cs="Arial" w:eastAsia="Arial" w:hAnsi="Arial"/>
                <w:sz w:val="18"/>
                <w:szCs w:val="18"/>
                <w:color w:val="auto"/>
              </w:rPr>
              <w:t>0.8750%</w:t>
            </w:r>
          </w:p>
        </w:tc>
        <w:tc>
          <w:tcPr>
            <w:tcW w:w="2280" w:type="dxa"/>
            <w:vAlign w:val="bottom"/>
            <w:gridSpan w:val="2"/>
          </w:tcPr>
          <w:p>
            <w:pPr>
              <w:jc w:val="right"/>
              <w:ind w:right="372"/>
              <w:spacing w:after="0"/>
              <w:rPr>
                <w:sz w:val="20"/>
                <w:szCs w:val="20"/>
                <w:color w:val="auto"/>
              </w:rPr>
            </w:pPr>
            <w:r>
              <w:rPr>
                <w:rFonts w:ascii="Arial" w:cs="Arial" w:eastAsia="Arial" w:hAnsi="Arial"/>
                <w:sz w:val="18"/>
                <w:szCs w:val="18"/>
                <w:color w:val="auto"/>
              </w:rPr>
              <w:t>98.6430%</w:t>
            </w:r>
          </w:p>
        </w:tc>
      </w:tr>
      <w:tr>
        <w:trPr>
          <w:trHeight w:val="222"/>
        </w:trPr>
        <w:tc>
          <w:tcPr>
            <w:tcW w:w="4120" w:type="dxa"/>
            <w:vAlign w:val="bottom"/>
          </w:tcPr>
          <w:p>
            <w:pPr>
              <w:ind w:left="240"/>
              <w:spacing w:after="0"/>
              <w:rPr>
                <w:sz w:val="20"/>
                <w:szCs w:val="20"/>
                <w:color w:val="auto"/>
              </w:rPr>
            </w:pPr>
            <w:r>
              <w:rPr>
                <w:rFonts w:ascii="Arial" w:cs="Arial" w:eastAsia="Arial" w:hAnsi="Arial"/>
                <w:sz w:val="18"/>
                <w:szCs w:val="18"/>
                <w:color w:val="auto"/>
              </w:rPr>
              <w:t>Total</w:t>
            </w:r>
          </w:p>
        </w:tc>
        <w:tc>
          <w:tcPr>
            <w:tcW w:w="1800" w:type="dxa"/>
            <w:vAlign w:val="bottom"/>
          </w:tcPr>
          <w:p>
            <w:pPr>
              <w:jc w:val="right"/>
              <w:ind w:right="359"/>
              <w:spacing w:after="0"/>
              <w:rPr>
                <w:sz w:val="20"/>
                <w:szCs w:val="20"/>
                <w:color w:val="auto"/>
              </w:rPr>
            </w:pPr>
            <w:r>
              <w:rPr>
                <w:rFonts w:ascii="Arial" w:cs="Arial" w:eastAsia="Arial" w:hAnsi="Arial"/>
                <w:sz w:val="18"/>
                <w:szCs w:val="18"/>
                <w:color w:val="auto"/>
              </w:rPr>
              <w:t>$746,385,000</w:t>
            </w:r>
          </w:p>
        </w:tc>
        <w:tc>
          <w:tcPr>
            <w:tcW w:w="2080" w:type="dxa"/>
            <w:vAlign w:val="bottom"/>
            <w:gridSpan w:val="2"/>
          </w:tcPr>
          <w:p>
            <w:pPr>
              <w:jc w:val="right"/>
              <w:ind w:right="512"/>
              <w:spacing w:after="0"/>
              <w:rPr>
                <w:sz w:val="20"/>
                <w:szCs w:val="20"/>
                <w:color w:val="auto"/>
              </w:rPr>
            </w:pPr>
            <w:r>
              <w:rPr>
                <w:rFonts w:ascii="Arial" w:cs="Arial" w:eastAsia="Arial" w:hAnsi="Arial"/>
                <w:sz w:val="18"/>
                <w:szCs w:val="18"/>
                <w:color w:val="auto"/>
              </w:rPr>
              <w:t>$6,562,500</w:t>
            </w:r>
          </w:p>
        </w:tc>
        <w:tc>
          <w:tcPr>
            <w:tcW w:w="2280" w:type="dxa"/>
            <w:vAlign w:val="bottom"/>
            <w:gridSpan w:val="2"/>
          </w:tcPr>
          <w:p>
            <w:pPr>
              <w:jc w:val="right"/>
              <w:ind w:right="532"/>
              <w:spacing w:after="0"/>
              <w:rPr>
                <w:sz w:val="20"/>
                <w:szCs w:val="20"/>
                <w:color w:val="auto"/>
              </w:rPr>
            </w:pPr>
            <w:r>
              <w:rPr>
                <w:rFonts w:ascii="Arial" w:cs="Arial" w:eastAsia="Arial" w:hAnsi="Arial"/>
                <w:sz w:val="18"/>
                <w:szCs w:val="18"/>
                <w:color w:val="auto"/>
              </w:rPr>
              <w:t>$739,822,500</w:t>
            </w:r>
          </w:p>
        </w:tc>
      </w:tr>
    </w:tbl>
    <w:p>
      <w:pPr>
        <w:spacing w:after="0" w:line="210" w:lineRule="exact"/>
        <w:rPr>
          <w:sz w:val="20"/>
          <w:szCs w:val="20"/>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if any, from March 14, 2003, if settlement occurs after that date.</w:t>
      </w:r>
    </w:p>
    <w:p>
      <w:pPr>
        <w:spacing w:after="0" w:line="279" w:lineRule="exact"/>
        <w:rPr>
          <w:sz w:val="20"/>
          <w:szCs w:val="20"/>
          <w:color w:val="auto"/>
        </w:rPr>
      </w:pPr>
    </w:p>
    <w:p>
      <w:pPr>
        <w:ind w:right="120" w:firstLine="432"/>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notes will be ready for delivery only through The Depository Trust Company in book-entry form on or about March 14,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148590</wp:posOffset>
            </wp:positionV>
            <wp:extent cx="22555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320" w:type="dxa"/>
            <w:vAlign w:val="bottom"/>
            <w:gridSpan w:val="2"/>
          </w:tcPr>
          <w:p>
            <w:pPr>
              <w:jc w:val="center"/>
              <w:ind w:right="760"/>
              <w:spacing w:after="0"/>
              <w:rPr>
                <w:sz w:val="20"/>
                <w:szCs w:val="20"/>
                <w:color w:val="auto"/>
              </w:rPr>
            </w:pPr>
            <w:r>
              <w:rPr>
                <w:rFonts w:ascii="Arial" w:cs="Arial" w:eastAsia="Arial" w:hAnsi="Arial"/>
                <w:sz w:val="18"/>
                <w:szCs w:val="18"/>
                <w:i w:val="1"/>
                <w:iCs w:val="1"/>
                <w:color w:val="auto"/>
                <w:w w:val="89"/>
              </w:rPr>
              <w:t>Joint Book-Running Managers</w:t>
            </w: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1"/>
        </w:trPr>
        <w:tc>
          <w:tcPr>
            <w:tcW w:w="3240" w:type="dxa"/>
            <w:vAlign w:val="bottom"/>
          </w:tcPr>
          <w:p>
            <w:pPr>
              <w:spacing w:after="0"/>
              <w:rPr>
                <w:sz w:val="20"/>
                <w:szCs w:val="20"/>
                <w:color w:val="auto"/>
              </w:rPr>
            </w:pPr>
            <w:r>
              <w:rPr>
                <w:rFonts w:ascii="Arial" w:cs="Arial" w:eastAsia="Arial" w:hAnsi="Arial"/>
                <w:sz w:val="32"/>
                <w:szCs w:val="32"/>
                <w:b w:val="1"/>
                <w:bCs w:val="1"/>
                <w:color w:val="auto"/>
              </w:rPr>
              <w:t>JPMorgan</w:t>
            </w:r>
          </w:p>
        </w:tc>
        <w:tc>
          <w:tcPr>
            <w:tcW w:w="700" w:type="dxa"/>
            <w:vAlign w:val="bottom"/>
          </w:tcPr>
          <w:p>
            <w:pPr>
              <w:spacing w:after="0"/>
              <w:rPr>
                <w:sz w:val="24"/>
                <w:szCs w:val="24"/>
                <w:color w:val="auto"/>
              </w:rPr>
            </w:pPr>
          </w:p>
        </w:tc>
        <w:tc>
          <w:tcPr>
            <w:tcW w:w="4320" w:type="dxa"/>
            <w:vAlign w:val="bottom"/>
            <w:gridSpan w:val="2"/>
          </w:tcPr>
          <w:p>
            <w:pPr>
              <w:jc w:val="center"/>
              <w:ind w:right="780"/>
              <w:spacing w:after="0"/>
              <w:rPr>
                <w:sz w:val="20"/>
                <w:szCs w:val="20"/>
                <w:color w:val="auto"/>
              </w:rPr>
            </w:pPr>
            <w:r>
              <w:rPr>
                <w:rFonts w:ascii="Arial" w:cs="Arial" w:eastAsia="Arial" w:hAnsi="Arial"/>
                <w:sz w:val="32"/>
                <w:szCs w:val="32"/>
                <w:b w:val="1"/>
                <w:bCs w:val="1"/>
                <w:color w:val="auto"/>
                <w:w w:val="98"/>
              </w:rPr>
              <w:t>Merrill Lynch &amp; Co.</w:t>
            </w:r>
          </w:p>
        </w:tc>
        <w:tc>
          <w:tcPr>
            <w:tcW w:w="3160" w:type="dxa"/>
            <w:vAlign w:val="bottom"/>
          </w:tcPr>
          <w:p>
            <w:pPr>
              <w:jc w:val="right"/>
              <w:spacing w:after="0"/>
              <w:rPr>
                <w:sz w:val="20"/>
                <w:szCs w:val="20"/>
                <w:color w:val="auto"/>
              </w:rPr>
            </w:pPr>
            <w:r>
              <w:rPr>
                <w:rFonts w:ascii="Arial" w:cs="Arial" w:eastAsia="Arial" w:hAnsi="Arial"/>
                <w:sz w:val="32"/>
                <w:szCs w:val="32"/>
                <w:b w:val="1"/>
                <w:bCs w:val="1"/>
                <w:color w:val="auto"/>
              </w:rPr>
              <w:t>Morgan Stanley</w:t>
            </w:r>
          </w:p>
        </w:tc>
        <w:tc>
          <w:tcPr>
            <w:tcW w:w="0" w:type="dxa"/>
            <w:vAlign w:val="bottom"/>
          </w:tcPr>
          <w:p>
            <w:pPr>
              <w:spacing w:after="0"/>
              <w:rPr>
                <w:sz w:val="1"/>
                <w:szCs w:val="1"/>
                <w:color w:val="auto"/>
              </w:rPr>
            </w:pPr>
          </w:p>
        </w:tc>
      </w:tr>
      <w:tr>
        <w:trPr>
          <w:trHeight w:val="201"/>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Banc of America Securities LLC</w:t>
            </w:r>
          </w:p>
        </w:tc>
        <w:tc>
          <w:tcPr>
            <w:tcW w:w="700" w:type="dxa"/>
            <w:vAlign w:val="bottom"/>
          </w:tcPr>
          <w:p>
            <w:pPr>
              <w:spacing w:after="0"/>
              <w:rPr>
                <w:sz w:val="17"/>
                <w:szCs w:val="17"/>
                <w:color w:val="auto"/>
              </w:rPr>
            </w:pPr>
          </w:p>
        </w:tc>
        <w:tc>
          <w:tcPr>
            <w:tcW w:w="3540" w:type="dxa"/>
            <w:vAlign w:val="bottom"/>
            <w:tcBorders>
              <w:bottom w:val="single" w:sz="8" w:color="808080"/>
            </w:tcBorders>
          </w:tcPr>
          <w:p>
            <w:pPr>
              <w:spacing w:after="0"/>
              <w:rPr>
                <w:sz w:val="17"/>
                <w:szCs w:val="17"/>
                <w:color w:val="auto"/>
              </w:rPr>
            </w:pPr>
          </w:p>
        </w:tc>
        <w:tc>
          <w:tcPr>
            <w:tcW w:w="780" w:type="dxa"/>
            <w:vAlign w:val="bottom"/>
          </w:tcPr>
          <w:p>
            <w:pPr>
              <w:spacing w:after="0"/>
              <w:rPr>
                <w:sz w:val="17"/>
                <w:szCs w:val="17"/>
                <w:color w:val="auto"/>
              </w:rPr>
            </w:pPr>
          </w:p>
        </w:tc>
        <w:tc>
          <w:tcPr>
            <w:tcW w:w="3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Salomon Smith Barney</w:t>
            </w:r>
          </w:p>
        </w:tc>
        <w:tc>
          <w:tcPr>
            <w:tcW w:w="0" w:type="dxa"/>
            <w:vAlign w:val="bottom"/>
          </w:tcPr>
          <w:p>
            <w:pPr>
              <w:spacing w:after="0"/>
              <w:rPr>
                <w:sz w:val="1"/>
                <w:szCs w:val="1"/>
                <w:color w:val="auto"/>
              </w:rPr>
            </w:pPr>
          </w:p>
        </w:tc>
      </w:tr>
      <w:tr>
        <w:trPr>
          <w:trHeight w:val="532"/>
        </w:trPr>
        <w:tc>
          <w:tcPr>
            <w:tcW w:w="32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3240" w:type="dxa"/>
            <w:vAlign w:val="bottom"/>
          </w:tcPr>
          <w:p>
            <w:pPr>
              <w:jc w:val="center"/>
              <w:ind w:left="220"/>
              <w:spacing w:after="0"/>
              <w:rPr>
                <w:sz w:val="20"/>
                <w:szCs w:val="20"/>
                <w:color w:val="auto"/>
              </w:rPr>
            </w:pPr>
            <w:r>
              <w:rPr>
                <w:rFonts w:ascii="Arial" w:cs="Arial" w:eastAsia="Arial" w:hAnsi="Arial"/>
                <w:sz w:val="18"/>
                <w:szCs w:val="18"/>
                <w:b w:val="1"/>
                <w:bCs w:val="1"/>
                <w:color w:val="auto"/>
                <w:w w:val="93"/>
              </w:rPr>
              <w:t>ABN AMRO Incorporated</w:t>
            </w:r>
          </w:p>
        </w:tc>
        <w:tc>
          <w:tcPr>
            <w:tcW w:w="700" w:type="dxa"/>
            <w:vAlign w:val="bottom"/>
          </w:tcPr>
          <w:p>
            <w:pPr>
              <w:spacing w:after="0"/>
              <w:rPr>
                <w:sz w:val="24"/>
                <w:szCs w:val="24"/>
                <w:color w:val="auto"/>
              </w:rPr>
            </w:pPr>
          </w:p>
        </w:tc>
        <w:tc>
          <w:tcPr>
            <w:tcW w:w="432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0"/>
              </w:rPr>
              <w:t>Banc One Capital Markets, Inc.</w:t>
            </w:r>
          </w:p>
        </w:tc>
        <w:tc>
          <w:tcPr>
            <w:tcW w:w="3160" w:type="dxa"/>
            <w:vAlign w:val="bottom"/>
          </w:tcPr>
          <w:p>
            <w:pPr>
              <w:jc w:val="center"/>
              <w:ind w:right="380"/>
              <w:spacing w:after="0"/>
              <w:rPr>
                <w:sz w:val="20"/>
                <w:szCs w:val="20"/>
                <w:color w:val="auto"/>
              </w:rPr>
            </w:pPr>
            <w:r>
              <w:rPr>
                <w:rFonts w:ascii="Arial" w:cs="Arial" w:eastAsia="Arial" w:hAnsi="Arial"/>
                <w:sz w:val="18"/>
                <w:szCs w:val="18"/>
                <w:b w:val="1"/>
                <w:bCs w:val="1"/>
                <w:color w:val="auto"/>
                <w:w w:val="88"/>
              </w:rPr>
              <w:t>Barclays Capital</w:t>
            </w:r>
          </w:p>
        </w:tc>
        <w:tc>
          <w:tcPr>
            <w:tcW w:w="0" w:type="dxa"/>
            <w:vAlign w:val="bottom"/>
          </w:tcPr>
          <w:p>
            <w:pPr>
              <w:spacing w:after="0"/>
              <w:rPr>
                <w:sz w:val="1"/>
                <w:szCs w:val="1"/>
                <w:color w:val="auto"/>
              </w:rPr>
            </w:pPr>
          </w:p>
        </w:tc>
      </w:tr>
      <w:tr>
        <w:trPr>
          <w:trHeight w:val="216"/>
        </w:trPr>
        <w:tc>
          <w:tcPr>
            <w:tcW w:w="3240" w:type="dxa"/>
            <w:vAlign w:val="bottom"/>
          </w:tcPr>
          <w:p>
            <w:pPr>
              <w:jc w:val="center"/>
              <w:ind w:left="220"/>
              <w:spacing w:after="0"/>
              <w:rPr>
                <w:sz w:val="20"/>
                <w:szCs w:val="20"/>
                <w:color w:val="auto"/>
              </w:rPr>
            </w:pPr>
            <w:r>
              <w:rPr>
                <w:rFonts w:ascii="Arial" w:cs="Arial" w:eastAsia="Arial" w:hAnsi="Arial"/>
                <w:sz w:val="18"/>
                <w:szCs w:val="18"/>
                <w:b w:val="1"/>
                <w:bCs w:val="1"/>
                <w:color w:val="auto"/>
                <w:w w:val="93"/>
              </w:rPr>
              <w:t>BNP PARIBAS</w:t>
            </w:r>
          </w:p>
        </w:tc>
        <w:tc>
          <w:tcPr>
            <w:tcW w:w="700" w:type="dxa"/>
            <w:vAlign w:val="bottom"/>
          </w:tcPr>
          <w:p>
            <w:pPr>
              <w:spacing w:after="0"/>
              <w:rPr>
                <w:sz w:val="18"/>
                <w:szCs w:val="18"/>
                <w:color w:val="auto"/>
              </w:rPr>
            </w:pPr>
          </w:p>
        </w:tc>
        <w:tc>
          <w:tcPr>
            <w:tcW w:w="432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3"/>
              </w:rPr>
              <w:t>BNY Capital Markets, Inc.</w:t>
            </w:r>
          </w:p>
        </w:tc>
        <w:tc>
          <w:tcPr>
            <w:tcW w:w="3160" w:type="dxa"/>
            <w:vAlign w:val="bottom"/>
          </w:tcPr>
          <w:p>
            <w:pPr>
              <w:jc w:val="center"/>
              <w:ind w:right="400"/>
              <w:spacing w:after="0"/>
              <w:rPr>
                <w:sz w:val="20"/>
                <w:szCs w:val="20"/>
                <w:color w:val="auto"/>
              </w:rPr>
            </w:pPr>
            <w:r>
              <w:rPr>
                <w:rFonts w:ascii="Arial" w:cs="Arial" w:eastAsia="Arial" w:hAnsi="Arial"/>
                <w:sz w:val="18"/>
                <w:szCs w:val="18"/>
                <w:b w:val="1"/>
                <w:bCs w:val="1"/>
                <w:color w:val="auto"/>
                <w:w w:val="90"/>
              </w:rPr>
              <w:t>Dresdner Kleinwort</w:t>
            </w:r>
          </w:p>
        </w:tc>
        <w:tc>
          <w:tcPr>
            <w:tcW w:w="0" w:type="dxa"/>
            <w:vAlign w:val="bottom"/>
          </w:tcPr>
          <w:p>
            <w:pPr>
              <w:spacing w:after="0"/>
              <w:rPr>
                <w:sz w:val="1"/>
                <w:szCs w:val="1"/>
                <w:color w:val="auto"/>
              </w:rPr>
            </w:pPr>
          </w:p>
        </w:tc>
      </w:tr>
      <w:tr>
        <w:trPr>
          <w:trHeight w:val="216"/>
        </w:trPr>
        <w:tc>
          <w:tcPr>
            <w:tcW w:w="3240" w:type="dxa"/>
            <w:vAlign w:val="bottom"/>
          </w:tcPr>
          <w:p>
            <w:pPr>
              <w:jc w:val="center"/>
              <w:ind w:left="200"/>
              <w:spacing w:after="0"/>
              <w:rPr>
                <w:sz w:val="20"/>
                <w:szCs w:val="20"/>
                <w:color w:val="auto"/>
              </w:rPr>
            </w:pPr>
            <w:r>
              <w:rPr>
                <w:rFonts w:ascii="Arial" w:cs="Arial" w:eastAsia="Arial" w:hAnsi="Arial"/>
                <w:sz w:val="18"/>
                <w:szCs w:val="18"/>
                <w:b w:val="1"/>
                <w:bCs w:val="1"/>
                <w:color w:val="auto"/>
                <w:w w:val="85"/>
              </w:rPr>
              <w:t>Deutsche Bank Securities</w:t>
            </w:r>
          </w:p>
        </w:tc>
        <w:tc>
          <w:tcPr>
            <w:tcW w:w="700" w:type="dxa"/>
            <w:vAlign w:val="bottom"/>
          </w:tcPr>
          <w:p>
            <w:pPr>
              <w:spacing w:after="0"/>
              <w:rPr>
                <w:sz w:val="18"/>
                <w:szCs w:val="18"/>
                <w:color w:val="auto"/>
              </w:rPr>
            </w:pPr>
          </w:p>
        </w:tc>
        <w:tc>
          <w:tcPr>
            <w:tcW w:w="432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7"/>
              </w:rPr>
              <w:t>Fleet Securities, Inc.</w:t>
            </w:r>
          </w:p>
        </w:tc>
        <w:tc>
          <w:tcPr>
            <w:tcW w:w="3160" w:type="dxa"/>
            <w:vAlign w:val="bottom"/>
          </w:tcPr>
          <w:p>
            <w:pPr>
              <w:jc w:val="center"/>
              <w:ind w:right="400"/>
              <w:spacing w:after="0"/>
              <w:rPr>
                <w:sz w:val="20"/>
                <w:szCs w:val="20"/>
                <w:color w:val="auto"/>
              </w:rPr>
            </w:pPr>
            <w:r>
              <w:rPr>
                <w:rFonts w:ascii="Arial" w:cs="Arial" w:eastAsia="Arial" w:hAnsi="Arial"/>
                <w:sz w:val="18"/>
                <w:szCs w:val="18"/>
                <w:b w:val="1"/>
                <w:bCs w:val="1"/>
                <w:color w:val="auto"/>
                <w:w w:val="84"/>
              </w:rPr>
              <w:t>Wasserstein</w:t>
            </w:r>
          </w:p>
        </w:tc>
        <w:tc>
          <w:tcPr>
            <w:tcW w:w="0" w:type="dxa"/>
            <w:vAlign w:val="bottom"/>
          </w:tcPr>
          <w:p>
            <w:pPr>
              <w:spacing w:after="0"/>
              <w:rPr>
                <w:sz w:val="1"/>
                <w:szCs w:val="1"/>
                <w:color w:val="auto"/>
              </w:rPr>
            </w:pPr>
          </w:p>
        </w:tc>
      </w:tr>
      <w:tr>
        <w:trPr>
          <w:trHeight w:val="228"/>
        </w:trPr>
        <w:tc>
          <w:tcPr>
            <w:tcW w:w="3240" w:type="dxa"/>
            <w:vAlign w:val="bottom"/>
          </w:tcPr>
          <w:p>
            <w:pPr>
              <w:jc w:val="center"/>
              <w:ind w:left="220"/>
              <w:spacing w:after="0"/>
              <w:rPr>
                <w:sz w:val="20"/>
                <w:szCs w:val="20"/>
                <w:color w:val="auto"/>
              </w:rPr>
            </w:pPr>
            <w:r>
              <w:rPr>
                <w:rFonts w:ascii="Arial" w:cs="Arial" w:eastAsia="Arial" w:hAnsi="Arial"/>
                <w:sz w:val="18"/>
                <w:szCs w:val="18"/>
                <w:b w:val="1"/>
                <w:bCs w:val="1"/>
                <w:color w:val="auto"/>
                <w:w w:val="89"/>
              </w:rPr>
              <w:t>The Royal Bank of Scotland</w:t>
            </w:r>
          </w:p>
        </w:tc>
        <w:tc>
          <w:tcPr>
            <w:tcW w:w="700" w:type="dxa"/>
            <w:vAlign w:val="bottom"/>
          </w:tcPr>
          <w:p>
            <w:pPr>
              <w:spacing w:after="0"/>
              <w:rPr>
                <w:sz w:val="19"/>
                <w:szCs w:val="19"/>
                <w:color w:val="auto"/>
              </w:rPr>
            </w:pPr>
          </w:p>
        </w:tc>
        <w:tc>
          <w:tcPr>
            <w:tcW w:w="432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9"/>
              </w:rPr>
              <w:t>Scotia Capital</w:t>
            </w:r>
          </w:p>
        </w:tc>
        <w:tc>
          <w:tcPr>
            <w:tcW w:w="3160" w:type="dxa"/>
            <w:vAlign w:val="bottom"/>
          </w:tcPr>
          <w:p>
            <w:pPr>
              <w:jc w:val="center"/>
              <w:ind w:right="380"/>
              <w:spacing w:after="0"/>
              <w:rPr>
                <w:sz w:val="20"/>
                <w:szCs w:val="20"/>
                <w:color w:val="auto"/>
              </w:rPr>
            </w:pPr>
            <w:r>
              <w:rPr>
                <w:rFonts w:ascii="Arial" w:cs="Arial" w:eastAsia="Arial" w:hAnsi="Arial"/>
                <w:sz w:val="18"/>
                <w:szCs w:val="18"/>
                <w:b w:val="1"/>
                <w:bCs w:val="1"/>
                <w:color w:val="auto"/>
                <w:w w:val="89"/>
              </w:rPr>
              <w:t>Goldman, Sachs &amp; Co.</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5020" w:type="dxa"/>
            <w:vAlign w:val="bottom"/>
            <w:gridSpan w:val="3"/>
          </w:tcPr>
          <w:p>
            <w:pPr>
              <w:jc w:val="center"/>
              <w:ind w:right="80"/>
              <w:spacing w:after="0"/>
              <w:rPr>
                <w:sz w:val="20"/>
                <w:szCs w:val="20"/>
                <w:color w:val="auto"/>
              </w:rPr>
            </w:pPr>
            <w:r>
              <w:rPr>
                <w:rFonts w:ascii="Arial" w:cs="Arial" w:eastAsia="Arial" w:hAnsi="Arial"/>
                <w:sz w:val="18"/>
                <w:szCs w:val="18"/>
                <w:color w:val="auto"/>
                <w:w w:val="87"/>
              </w:rPr>
              <w:t>The date of this prospectus supplement is March 12, 2003.</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Prospectus Supplement</w:t>
      </w:r>
    </w:p>
    <w:p>
      <w:pPr>
        <w:spacing w:after="0" w:line="200" w:lineRule="exact"/>
        <w:rPr>
          <w:sz w:val="20"/>
          <w:szCs w:val="20"/>
          <w:color w:val="auto"/>
        </w:rPr>
      </w:pP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740" w:type="dxa"/>
            <w:vAlign w:val="bottom"/>
          </w:tcPr>
          <w:p>
            <w:pPr>
              <w:jc w:val="right"/>
              <w:ind w:right="15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Prospectus Supplement Summary</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Use of Proceeds</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Capitalization</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Description of the Notes and the Cable Guarantees</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Underwriting</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Legal Matters</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80" w:type="dxa"/>
            <w:vAlign w:val="bottom"/>
            <w:shd w:val="clear" w:color="auto" w:fill="EEEEEE"/>
          </w:tcPr>
          <w:p>
            <w:pPr>
              <w:ind w:left="2980"/>
              <w:spacing w:after="0"/>
              <w:rPr>
                <w:sz w:val="20"/>
                <w:szCs w:val="20"/>
                <w:color w:val="auto"/>
              </w:rPr>
            </w:pPr>
            <w:r>
              <w:rPr>
                <w:rFonts w:ascii="Arial" w:cs="Arial" w:eastAsia="Arial" w:hAnsi="Arial"/>
                <w:sz w:val="18"/>
                <w:szCs w:val="18"/>
                <w:b w:val="1"/>
                <w:bCs w:val="1"/>
                <w:color w:val="auto"/>
              </w:rPr>
              <w:t>Prospectus</w:t>
            </w:r>
          </w:p>
        </w:tc>
        <w:tc>
          <w:tcPr>
            <w:tcW w:w="7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08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Summary</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Risk Factors</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Special Note Regarding Forward-Looking Statements</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Use of Proceeds</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Dividend Policy</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Ratios of Earnings to Fixed Charges</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Pro Forma Ratio of Earnings to Fixed Charges</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Ratio of Earnings to Combined Fixed Charges and Preferred Dividends</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w w:val="92"/>
              </w:rPr>
              <w:t>Description of the Senior Debt Securities, Subordinated Debt Securities and Cable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ind w:left="100"/>
              <w:spacing w:after="0"/>
              <w:rPr>
                <w:sz w:val="20"/>
                <w:szCs w:val="20"/>
                <w:color w:val="auto"/>
              </w:rPr>
            </w:pPr>
            <w:r>
              <w:rPr>
                <w:rFonts w:ascii="Arial" w:cs="Arial" w:eastAsia="Arial" w:hAnsi="Arial"/>
                <w:sz w:val="18"/>
                <w:szCs w:val="18"/>
                <w:color w:val="auto"/>
              </w:rPr>
              <w:t>Guarantees</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Description of Warrants</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Description of Purchase Contracts</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Description of Units</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Global Securities</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Description of Preferred Stock</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Description of Depositary Shares</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Description of Common Stock</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Description of Shareholder Rights Plan</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Description of AT&amp;T Comcast Transaction</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Plan of Distribution</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Legal Matters</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Experts</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Available Information</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3" w:name="page4"/>
    <w:bookmarkEnd w:id="3"/>
    <w:p>
      <w:pPr>
        <w:ind w:left="3160"/>
        <w:spacing w:after="0"/>
        <w:rPr>
          <w:sz w:val="20"/>
          <w:szCs w:val="20"/>
          <w:color w:val="auto"/>
        </w:rPr>
      </w:pPr>
      <w:r>
        <w:rPr>
          <w:rFonts w:ascii="Arial" w:cs="Arial" w:eastAsia="Arial" w:hAnsi="Arial"/>
          <w:sz w:val="16"/>
          <w:szCs w:val="16"/>
          <w:color w:val="auto"/>
        </w:rPr>
        <w:t>(This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452120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68" w:right="1440"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PROSPECTUS SUPPLEMENT SUMMARY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58" w:lineRule="exact"/>
        <w:rPr>
          <w:sz w:val="20"/>
          <w:szCs w:val="20"/>
          <w:color w:val="auto"/>
        </w:rPr>
      </w:pPr>
    </w:p>
    <w:p>
      <w:pPr>
        <w:ind w:right="260" w:firstLine="432"/>
        <w:spacing w:after="0" w:line="332" w:lineRule="auto"/>
        <w:rPr>
          <w:sz w:val="20"/>
          <w:szCs w:val="20"/>
          <w:color w:val="auto"/>
        </w:rPr>
      </w:pPr>
      <w:r>
        <w:rPr>
          <w:rFonts w:ascii="Arial" w:cs="Arial" w:eastAsia="Arial" w:hAnsi="Arial"/>
          <w:sz w:val="16"/>
          <w:szCs w:val="16"/>
          <w:color w:val="auto"/>
        </w:rPr>
        <w:t>We were formed through the merger of Comcast Holdings Corporation (formerly known as Comcast Corporation) and the broadband business of AT&amp;T Corp. in the belief that combining the strengths of these businesses would create the world’s premier broadband company.</w:t>
      </w:r>
    </w:p>
    <w:p>
      <w:pPr>
        <w:spacing w:after="0" w:line="166" w:lineRule="exact"/>
        <w:rPr>
          <w:sz w:val="20"/>
          <w:szCs w:val="20"/>
          <w:color w:val="auto"/>
        </w:rPr>
      </w:pPr>
    </w:p>
    <w:p>
      <w:pPr>
        <w:ind w:right="440" w:firstLine="432"/>
        <w:spacing w:after="0" w:line="268" w:lineRule="auto"/>
        <w:rPr>
          <w:sz w:val="20"/>
          <w:szCs w:val="20"/>
          <w:color w:val="auto"/>
        </w:rPr>
      </w:pPr>
      <w:r>
        <w:rPr>
          <w:rFonts w:ascii="Arial" w:cs="Arial" w:eastAsia="Arial" w:hAnsi="Arial"/>
          <w:sz w:val="18"/>
          <w:szCs w:val="18"/>
          <w:color w:val="auto"/>
        </w:rPr>
        <w:t>We are principally involved in three lines of business through our wholly-owned subsidiaries Comcast Holdings and Comcast Cable Communications Holdings:</w:t>
      </w:r>
    </w:p>
    <w:p>
      <w:pPr>
        <w:spacing w:after="0" w:line="186" w:lineRule="exact"/>
        <w:rPr>
          <w:sz w:val="20"/>
          <w:szCs w:val="20"/>
          <w:color w:val="auto"/>
        </w:rPr>
      </w:pPr>
    </w:p>
    <w:p>
      <w:pPr>
        <w:ind w:left="920" w:hanging="331"/>
        <w:spacing w:after="0"/>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Cable—through the development, management and operation of broadband communications networks and regional sports programming networks,</w:t>
      </w:r>
    </w:p>
    <w:p>
      <w:pPr>
        <w:spacing w:after="0" w:line="302" w:lineRule="exact"/>
        <w:rPr>
          <w:rFonts w:ascii="Arial" w:cs="Arial" w:eastAsia="Arial" w:hAnsi="Arial"/>
          <w:sz w:val="16"/>
          <w:szCs w:val="16"/>
          <w:color w:val="auto"/>
        </w:rPr>
      </w:pPr>
    </w:p>
    <w:p>
      <w:pPr>
        <w:ind w:left="920" w:hanging="331"/>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Commerce—through QVC, our electronic retailing subsidiary, and</w:t>
      </w:r>
    </w:p>
    <w:p>
      <w:pPr>
        <w:spacing w:after="0" w:line="279" w:lineRule="exact"/>
        <w:rPr>
          <w:rFonts w:ascii="Arial" w:cs="Arial" w:eastAsia="Arial" w:hAnsi="Arial"/>
          <w:sz w:val="18"/>
          <w:szCs w:val="18"/>
          <w:color w:val="auto"/>
        </w:rPr>
      </w:pPr>
    </w:p>
    <w:p>
      <w:pPr>
        <w:ind w:left="920" w:right="20" w:hanging="331"/>
        <w:spacing w:after="0" w:line="268"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Content—through our consolidated subsidiaries, Comcast-Spectacor, E! Entertainment Television, The Golf Channel, Outdoor Life Network and G4 Media, and through our other programming investments.</w:t>
      </w:r>
    </w:p>
    <w:p>
      <w:pPr>
        <w:spacing w:after="0" w:line="213" w:lineRule="exact"/>
        <w:rPr>
          <w:sz w:val="20"/>
          <w:szCs w:val="20"/>
          <w:color w:val="auto"/>
        </w:rPr>
      </w:pPr>
    </w:p>
    <w:p>
      <w:pPr>
        <w:ind w:right="180" w:firstLine="432"/>
        <w:spacing w:after="0" w:line="298" w:lineRule="auto"/>
        <w:rPr>
          <w:sz w:val="20"/>
          <w:szCs w:val="20"/>
          <w:color w:val="auto"/>
        </w:rPr>
      </w:pPr>
      <w:r>
        <w:rPr>
          <w:rFonts w:ascii="Arial" w:cs="Arial" w:eastAsia="Arial" w:hAnsi="Arial"/>
          <w:sz w:val="16"/>
          <w:szCs w:val="16"/>
          <w:color w:val="auto"/>
        </w:rPr>
        <w:t>The transactions which created Comcast were consummated on November 18, 2002 in several steps. First, AT&amp;T transferred to Comcast Cable Communications Holdings substantially all the assets, liabilities and businesses represented by AT&amp;T Broadband Group, which was the integrated broadband business of AT&amp;T. Second, AT&amp;T spun off Comcast Cable Communications Holdings to its shareholders. Third, Comcast Holdings and Comcast Cable Communications Holdings each merged with a different, wholly-owned subsidiary of ours, and Comcast Holdings and AT&amp;T shareholders received our shares.</w:t>
      </w:r>
    </w:p>
    <w:p>
      <w:pPr>
        <w:spacing w:after="0" w:line="194"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and Comcast Holdings’ filings with the SEC incorporated by reference in the accompanying prospectus. For a description of certain continuing obligations and risks related to the AT&amp;T Comcast transaction, see “Description of AT&amp;T Comcast Transaction,” and “Risk Factors—Risks Relating to the AT&amp;T Comcast Transaction” in the accompanying prospectus as well as our and Comcast Holdings’ filings with the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are a Pennsylvania corporation incorporated in 2001. Our principal executive office is located at 1500 Market Street, Philadelphia, Pennsylvania 19102-2148. Our telephone number is (215) 665-1700. The address of our web site is www.comcast.com. The information on our web site is not part of this prospectus supplement or the accompanying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Guarantors</w:t>
      </w:r>
    </w:p>
    <w:p>
      <w:pPr>
        <w:spacing w:after="0" w:line="258"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Our obligations, including the payment of principal, premium, if any, and interest on the notes will be fully and unconditionally guaranteed by each of Comcast Cable, Comcast Cable Communications Holdings, Comcast Cable Holdings and Comcast MO Group. In this prospectus supplement, we refer to these guarantors as the cable guarantors and to these guarantees as the cable guarantees. We recently obtained the consent of holders of $1.7 billion of the outstanding debt securities of Comcast MO of Delaware, Inc., referred to in this prospectus as “Continental,” to an amendment of their debt securities which will allow Continental to guarantee the debt securities of us and the other cable guarantors. We and the other cable guarantors will guarantee these Continental debt securities at the time the amendment becomes effective.</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225" w:lineRule="exact"/>
        <w:rPr>
          <w:sz w:val="20"/>
          <w:szCs w:val="20"/>
          <w:color w:val="auto"/>
        </w:rPr>
      </w:pPr>
    </w:p>
    <w:p>
      <w:pPr>
        <w:ind w:left="920" w:right="140" w:hanging="331"/>
        <w:spacing w:after="0" w:line="268"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212"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 w:name="page6"/>
    <w:bookmarkEnd w:id="5"/>
    <w:p>
      <w:pPr>
        <w:ind w:left="320"/>
        <w:spacing w:after="0"/>
        <w:rPr>
          <w:sz w:val="20"/>
          <w:szCs w:val="20"/>
          <w:color w:val="auto"/>
        </w:rPr>
      </w:pPr>
      <w:r>
        <w:rPr>
          <w:rFonts w:ascii="Arial" w:cs="Arial" w:eastAsia="Arial" w:hAnsi="Arial"/>
          <w:sz w:val="18"/>
          <w:szCs w:val="18"/>
          <w:b w:val="1"/>
          <w:bCs w:val="1"/>
          <w:i w:val="1"/>
          <w:iCs w:val="1"/>
          <w:color w:val="auto"/>
        </w:rPr>
        <w:t>Comcast Cable Communications, Inc.</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Comcast Cable is a Delaware corporation incorporated in 1981 and our indirect wholly-owned subsidiary.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Comcast Cable Communications Holdings, Inc.</w:t>
      </w:r>
    </w:p>
    <w:p>
      <w:pPr>
        <w:spacing w:after="0" w:line="252" w:lineRule="exact"/>
        <w:rPr>
          <w:sz w:val="20"/>
          <w:szCs w:val="20"/>
          <w:color w:val="auto"/>
        </w:rPr>
      </w:pPr>
    </w:p>
    <w:p>
      <w:pPr>
        <w:ind w:right="160" w:firstLine="432"/>
        <w:spacing w:after="0" w:line="306" w:lineRule="auto"/>
        <w:rPr>
          <w:sz w:val="20"/>
          <w:szCs w:val="20"/>
          <w:color w:val="auto"/>
        </w:rPr>
      </w:pPr>
      <w:r>
        <w:rPr>
          <w:rFonts w:ascii="Arial" w:cs="Arial" w:eastAsia="Arial" w:hAnsi="Arial"/>
          <w:sz w:val="16"/>
          <w:szCs w:val="16"/>
          <w:color w:val="auto"/>
        </w:rPr>
        <w:t>Comcast Cable Communications Holdings is a Delaware corporation (formerly known as AT&amp;T Broadband Corp.) incorporated in 2001 and our wholly-owned subsidiary. As part of the AT&amp;T Comcast transaction, AT&amp;T transferred to Comcast Cable Communications Holdings substantially all of the assets, liabilities and businesses represented by AT&amp;T Broadband Group, the integrated broadband business of AT&amp;T.</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252" w:lineRule="exact"/>
        <w:rPr>
          <w:sz w:val="20"/>
          <w:szCs w:val="20"/>
          <w:color w:val="auto"/>
        </w:rPr>
      </w:pPr>
    </w:p>
    <w:p>
      <w:pPr>
        <w:ind w:firstLine="432"/>
        <w:spacing w:after="0" w:line="268" w:lineRule="auto"/>
        <w:rPr>
          <w:sz w:val="20"/>
          <w:szCs w:val="20"/>
          <w:color w:val="auto"/>
        </w:rPr>
      </w:pPr>
      <w:r>
        <w:rPr>
          <w:rFonts w:ascii="Arial" w:cs="Arial" w:eastAsia="Arial" w:hAnsi="Arial"/>
          <w:sz w:val="18"/>
          <w:szCs w:val="18"/>
          <w:color w:val="auto"/>
        </w:rPr>
        <w:t>Comcast Cable Holdings is a Delaware limited liability company (formerly known as AT&amp;T Broadband, LLC) formed in 1994. Comcast Cable Holdings is a wholly-owned subsidiary of Comcast Cable Communications Holdings.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252" w:lineRule="exact"/>
        <w:rPr>
          <w:sz w:val="20"/>
          <w:szCs w:val="20"/>
          <w:color w:val="auto"/>
        </w:rPr>
      </w:pPr>
    </w:p>
    <w:p>
      <w:pPr>
        <w:ind w:right="140" w:firstLine="432"/>
        <w:spacing w:after="0" w:line="268"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wholly-owned subsidiary of Comcast Cable Communications Holdings.</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cable guarantor’s principal place of business is 1500 Market Street, Philadelphia, Pennsylvania 19102-2148.</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22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6680" w:type="dxa"/>
            <w:vAlign w:val="bottom"/>
          </w:tcPr>
          <w:p>
            <w:pPr>
              <w:ind w:left="520"/>
              <w:spacing w:after="0"/>
              <w:rPr>
                <w:sz w:val="20"/>
                <w:szCs w:val="20"/>
                <w:color w:val="auto"/>
              </w:rPr>
            </w:pPr>
            <w:r>
              <w:rPr>
                <w:rFonts w:ascii="Arial" w:cs="Arial" w:eastAsia="Arial" w:hAnsi="Arial"/>
                <w:sz w:val="18"/>
                <w:szCs w:val="18"/>
                <w:b w:val="1"/>
                <w:bCs w:val="1"/>
                <w:color w:val="auto"/>
              </w:rPr>
              <w:t>The Offering</w:t>
            </w:r>
          </w:p>
        </w:tc>
      </w:tr>
      <w:tr>
        <w:trPr>
          <w:trHeight w:val="675"/>
        </w:trPr>
        <w:tc>
          <w:tcPr>
            <w:tcW w:w="2200" w:type="dxa"/>
            <w:vAlign w:val="bottom"/>
          </w:tcPr>
          <w:p>
            <w:pPr>
              <w:spacing w:after="0"/>
              <w:rPr>
                <w:sz w:val="20"/>
                <w:szCs w:val="20"/>
                <w:color w:val="auto"/>
              </w:rPr>
            </w:pPr>
            <w:r>
              <w:rPr>
                <w:rFonts w:ascii="Arial" w:cs="Arial" w:eastAsia="Arial" w:hAnsi="Arial"/>
                <w:sz w:val="18"/>
                <w:szCs w:val="18"/>
                <w:color w:val="auto"/>
              </w:rPr>
              <w:t>Issuer</w:t>
            </w:r>
          </w:p>
        </w:tc>
        <w:tc>
          <w:tcPr>
            <w:tcW w:w="2500" w:type="dxa"/>
            <w:vAlign w:val="bottom"/>
          </w:tcPr>
          <w:p>
            <w:pPr>
              <w:ind w:left="680"/>
              <w:spacing w:after="0"/>
              <w:rPr>
                <w:sz w:val="20"/>
                <w:szCs w:val="20"/>
                <w:color w:val="auto"/>
              </w:rPr>
            </w:pPr>
            <w:r>
              <w:rPr>
                <w:rFonts w:ascii="Arial" w:cs="Arial" w:eastAsia="Arial" w:hAnsi="Arial"/>
                <w:sz w:val="18"/>
                <w:szCs w:val="18"/>
                <w:color w:val="auto"/>
              </w:rPr>
              <w:t>Comcast Corporation.</w:t>
            </w:r>
          </w:p>
        </w:tc>
        <w:tc>
          <w:tcPr>
            <w:tcW w:w="6680" w:type="dxa"/>
            <w:vAlign w:val="bottom"/>
          </w:tcPr>
          <w:p>
            <w:pPr>
              <w:spacing w:after="0"/>
              <w:rPr>
                <w:sz w:val="24"/>
                <w:szCs w:val="24"/>
                <w:color w:val="auto"/>
              </w:rPr>
            </w:pPr>
          </w:p>
        </w:tc>
      </w:tr>
      <w:tr>
        <w:trPr>
          <w:trHeight w:val="459"/>
        </w:trPr>
        <w:tc>
          <w:tcPr>
            <w:tcW w:w="2200" w:type="dxa"/>
            <w:vAlign w:val="bottom"/>
          </w:tcPr>
          <w:p>
            <w:pPr>
              <w:spacing w:after="0"/>
              <w:rPr>
                <w:sz w:val="20"/>
                <w:szCs w:val="20"/>
                <w:color w:val="auto"/>
              </w:rPr>
            </w:pPr>
            <w:r>
              <w:rPr>
                <w:rFonts w:ascii="Arial" w:cs="Arial" w:eastAsia="Arial" w:hAnsi="Arial"/>
                <w:sz w:val="18"/>
                <w:szCs w:val="18"/>
                <w:color w:val="auto"/>
              </w:rPr>
              <w:t>Securities Offered</w:t>
            </w:r>
          </w:p>
        </w:tc>
        <w:tc>
          <w:tcPr>
            <w:tcW w:w="9180" w:type="dxa"/>
            <w:vAlign w:val="bottom"/>
            <w:gridSpan w:val="2"/>
          </w:tcPr>
          <w:p>
            <w:pPr>
              <w:ind w:left="680"/>
              <w:spacing w:after="0"/>
              <w:rPr>
                <w:sz w:val="20"/>
                <w:szCs w:val="20"/>
                <w:color w:val="auto"/>
              </w:rPr>
            </w:pPr>
            <w:r>
              <w:rPr>
                <w:rFonts w:ascii="Arial" w:cs="Arial" w:eastAsia="Arial" w:hAnsi="Arial"/>
                <w:sz w:val="18"/>
                <w:szCs w:val="18"/>
                <w:color w:val="auto"/>
              </w:rPr>
              <w:t>$750,000,000 aggregate principal amount of 5.50% Notes due 2011.</w:t>
            </w:r>
          </w:p>
        </w:tc>
      </w:tr>
      <w:tr>
        <w:trPr>
          <w:trHeight w:val="459"/>
        </w:trPr>
        <w:tc>
          <w:tcPr>
            <w:tcW w:w="2200" w:type="dxa"/>
            <w:vAlign w:val="bottom"/>
          </w:tcPr>
          <w:p>
            <w:pPr>
              <w:spacing w:after="0"/>
              <w:rPr>
                <w:sz w:val="24"/>
                <w:szCs w:val="24"/>
                <w:color w:val="auto"/>
              </w:rPr>
            </w:pPr>
          </w:p>
        </w:tc>
        <w:tc>
          <w:tcPr>
            <w:tcW w:w="9180" w:type="dxa"/>
            <w:vAlign w:val="bottom"/>
            <w:gridSpan w:val="2"/>
          </w:tcPr>
          <w:p>
            <w:pPr>
              <w:ind w:left="680"/>
              <w:spacing w:after="0"/>
              <w:rPr>
                <w:sz w:val="20"/>
                <w:szCs w:val="20"/>
                <w:color w:val="auto"/>
              </w:rPr>
            </w:pPr>
            <w:r>
              <w:rPr>
                <w:rFonts w:ascii="Arial" w:cs="Arial" w:eastAsia="Arial" w:hAnsi="Arial"/>
                <w:sz w:val="18"/>
                <w:szCs w:val="18"/>
                <w:color w:val="auto"/>
              </w:rPr>
              <w:t>$750,000,000 aggregate principal amount of 7.05% Notes due 2033.</w:t>
            </w:r>
          </w:p>
        </w:tc>
      </w:tr>
      <w:tr>
        <w:trPr>
          <w:trHeight w:val="459"/>
        </w:trPr>
        <w:tc>
          <w:tcPr>
            <w:tcW w:w="2200" w:type="dxa"/>
            <w:vAlign w:val="bottom"/>
          </w:tcPr>
          <w:p>
            <w:pPr>
              <w:spacing w:after="0"/>
              <w:rPr>
                <w:sz w:val="20"/>
                <w:szCs w:val="20"/>
                <w:color w:val="auto"/>
              </w:rPr>
            </w:pPr>
            <w:r>
              <w:rPr>
                <w:rFonts w:ascii="Arial" w:cs="Arial" w:eastAsia="Arial" w:hAnsi="Arial"/>
                <w:sz w:val="18"/>
                <w:szCs w:val="18"/>
                <w:color w:val="auto"/>
              </w:rPr>
              <w:t>Maturity</w:t>
            </w:r>
          </w:p>
        </w:tc>
        <w:tc>
          <w:tcPr>
            <w:tcW w:w="9180" w:type="dxa"/>
            <w:vAlign w:val="bottom"/>
            <w:gridSpan w:val="2"/>
          </w:tcPr>
          <w:p>
            <w:pPr>
              <w:ind w:left="680"/>
              <w:spacing w:after="0"/>
              <w:rPr>
                <w:sz w:val="20"/>
                <w:szCs w:val="20"/>
                <w:color w:val="auto"/>
              </w:rPr>
            </w:pPr>
            <w:r>
              <w:rPr>
                <w:rFonts w:ascii="Arial" w:cs="Arial" w:eastAsia="Arial" w:hAnsi="Arial"/>
                <w:sz w:val="18"/>
                <w:szCs w:val="18"/>
                <w:color w:val="auto"/>
                <w:w w:val="97"/>
              </w:rPr>
              <w:t>The notes due in 2011 will mature on March 15, 2011. The notes due in 2033 will mature on March 15, 2033.</w:t>
            </w:r>
          </w:p>
        </w:tc>
      </w:tr>
      <w:tr>
        <w:trPr>
          <w:trHeight w:val="453"/>
        </w:trPr>
        <w:tc>
          <w:tcPr>
            <w:tcW w:w="2200" w:type="dxa"/>
            <w:vAlign w:val="bottom"/>
          </w:tcPr>
          <w:p>
            <w:pPr>
              <w:spacing w:after="0"/>
              <w:rPr>
                <w:sz w:val="20"/>
                <w:szCs w:val="20"/>
                <w:color w:val="auto"/>
              </w:rPr>
            </w:pPr>
            <w:r>
              <w:rPr>
                <w:rFonts w:ascii="Arial" w:cs="Arial" w:eastAsia="Arial" w:hAnsi="Arial"/>
                <w:sz w:val="18"/>
                <w:szCs w:val="18"/>
                <w:color w:val="auto"/>
              </w:rPr>
              <w:t>Interest</w:t>
            </w:r>
          </w:p>
        </w:tc>
        <w:tc>
          <w:tcPr>
            <w:tcW w:w="9180" w:type="dxa"/>
            <w:vAlign w:val="bottom"/>
            <w:gridSpan w:val="2"/>
          </w:tcPr>
          <w:p>
            <w:pPr>
              <w:ind w:left="680"/>
              <w:spacing w:after="0"/>
              <w:rPr>
                <w:sz w:val="20"/>
                <w:szCs w:val="20"/>
                <w:color w:val="auto"/>
              </w:rPr>
            </w:pPr>
            <w:r>
              <w:rPr>
                <w:rFonts w:ascii="Arial" w:cs="Arial" w:eastAsia="Arial" w:hAnsi="Arial"/>
                <w:sz w:val="18"/>
                <w:szCs w:val="18"/>
                <w:color w:val="auto"/>
                <w:w w:val="89"/>
              </w:rPr>
              <w:t>Interest on the notes due in 2011 will accrue at the rate of 5.50% per year, payable semi-annually in cash in arrears on</w:t>
            </w:r>
          </w:p>
        </w:tc>
      </w:tr>
      <w:tr>
        <w:trPr>
          <w:trHeight w:val="216"/>
        </w:trPr>
        <w:tc>
          <w:tcPr>
            <w:tcW w:w="2200" w:type="dxa"/>
            <w:vAlign w:val="bottom"/>
          </w:tcPr>
          <w:p>
            <w:pPr>
              <w:spacing w:after="0"/>
              <w:rPr>
                <w:sz w:val="18"/>
                <w:szCs w:val="18"/>
                <w:color w:val="auto"/>
              </w:rPr>
            </w:pPr>
          </w:p>
        </w:tc>
        <w:tc>
          <w:tcPr>
            <w:tcW w:w="9180" w:type="dxa"/>
            <w:vAlign w:val="bottom"/>
            <w:gridSpan w:val="2"/>
          </w:tcPr>
          <w:p>
            <w:pPr>
              <w:ind w:left="680"/>
              <w:spacing w:after="0"/>
              <w:rPr>
                <w:sz w:val="20"/>
                <w:szCs w:val="20"/>
                <w:color w:val="auto"/>
              </w:rPr>
            </w:pPr>
            <w:r>
              <w:rPr>
                <w:rFonts w:ascii="Arial" w:cs="Arial" w:eastAsia="Arial" w:hAnsi="Arial"/>
                <w:sz w:val="18"/>
                <w:szCs w:val="18"/>
                <w:color w:val="auto"/>
                <w:w w:val="88"/>
              </w:rPr>
              <w:t>March 15 and September 15, beginning on September 15, 2003. Interest on the notes due in 2033 will accrue at the rate</w:t>
            </w:r>
          </w:p>
        </w:tc>
      </w:tr>
      <w:tr>
        <w:trPr>
          <w:trHeight w:val="216"/>
        </w:trPr>
        <w:tc>
          <w:tcPr>
            <w:tcW w:w="2200" w:type="dxa"/>
            <w:vAlign w:val="bottom"/>
          </w:tcPr>
          <w:p>
            <w:pPr>
              <w:spacing w:after="0"/>
              <w:rPr>
                <w:sz w:val="18"/>
                <w:szCs w:val="18"/>
                <w:color w:val="auto"/>
              </w:rPr>
            </w:pPr>
          </w:p>
        </w:tc>
        <w:tc>
          <w:tcPr>
            <w:tcW w:w="9180" w:type="dxa"/>
            <w:vAlign w:val="bottom"/>
            <w:gridSpan w:val="2"/>
          </w:tcPr>
          <w:p>
            <w:pPr>
              <w:ind w:left="680"/>
              <w:spacing w:after="0"/>
              <w:rPr>
                <w:sz w:val="20"/>
                <w:szCs w:val="20"/>
                <w:color w:val="auto"/>
              </w:rPr>
            </w:pPr>
            <w:r>
              <w:rPr>
                <w:rFonts w:ascii="Arial" w:cs="Arial" w:eastAsia="Arial" w:hAnsi="Arial"/>
                <w:sz w:val="18"/>
                <w:szCs w:val="18"/>
                <w:color w:val="auto"/>
                <w:w w:val="87"/>
              </w:rPr>
              <w:t>of 7.05% per year, payable semi-annually in cash in arrears on March 15 and September 15, beginning on September 15,</w:t>
            </w:r>
          </w:p>
        </w:tc>
      </w:tr>
      <w:tr>
        <w:trPr>
          <w:trHeight w:val="222"/>
        </w:trPr>
        <w:tc>
          <w:tcPr>
            <w:tcW w:w="2200" w:type="dxa"/>
            <w:vAlign w:val="bottom"/>
          </w:tcPr>
          <w:p>
            <w:pPr>
              <w:spacing w:after="0"/>
              <w:rPr>
                <w:sz w:val="19"/>
                <w:szCs w:val="19"/>
                <w:color w:val="auto"/>
              </w:rPr>
            </w:pPr>
          </w:p>
        </w:tc>
        <w:tc>
          <w:tcPr>
            <w:tcW w:w="2500" w:type="dxa"/>
            <w:vAlign w:val="bottom"/>
          </w:tcPr>
          <w:p>
            <w:pPr>
              <w:ind w:left="680"/>
              <w:spacing w:after="0"/>
              <w:rPr>
                <w:sz w:val="20"/>
                <w:szCs w:val="20"/>
                <w:color w:val="auto"/>
              </w:rPr>
            </w:pPr>
            <w:r>
              <w:rPr>
                <w:rFonts w:ascii="Arial" w:cs="Arial" w:eastAsia="Arial" w:hAnsi="Arial"/>
                <w:sz w:val="18"/>
                <w:szCs w:val="18"/>
                <w:color w:val="auto"/>
              </w:rPr>
              <w:t>2003.</w:t>
            </w:r>
          </w:p>
        </w:tc>
        <w:tc>
          <w:tcPr>
            <w:tcW w:w="6680" w:type="dxa"/>
            <w:vAlign w:val="bottom"/>
          </w:tcPr>
          <w:p>
            <w:pPr>
              <w:spacing w:after="0"/>
              <w:rPr>
                <w:sz w:val="19"/>
                <w:szCs w:val="19"/>
                <w:color w:val="auto"/>
              </w:rPr>
            </w:pPr>
          </w:p>
        </w:tc>
      </w:tr>
      <w:tr>
        <w:trPr>
          <w:trHeight w:val="459"/>
        </w:trPr>
        <w:tc>
          <w:tcPr>
            <w:tcW w:w="2200" w:type="dxa"/>
            <w:vAlign w:val="bottom"/>
          </w:tcPr>
          <w:p>
            <w:pPr>
              <w:spacing w:after="0"/>
              <w:rPr>
                <w:sz w:val="20"/>
                <w:szCs w:val="20"/>
                <w:color w:val="auto"/>
              </w:rPr>
            </w:pPr>
            <w:r>
              <w:rPr>
                <w:rFonts w:ascii="Arial" w:cs="Arial" w:eastAsia="Arial" w:hAnsi="Arial"/>
                <w:sz w:val="18"/>
                <w:szCs w:val="18"/>
                <w:color w:val="auto"/>
              </w:rPr>
              <w:t>Ranking</w:t>
            </w:r>
          </w:p>
        </w:tc>
        <w:tc>
          <w:tcPr>
            <w:tcW w:w="9180" w:type="dxa"/>
            <w:vAlign w:val="bottom"/>
            <w:gridSpan w:val="2"/>
          </w:tcPr>
          <w:p>
            <w:pPr>
              <w:ind w:left="680"/>
              <w:spacing w:after="0"/>
              <w:rPr>
                <w:sz w:val="20"/>
                <w:szCs w:val="20"/>
                <w:color w:val="auto"/>
              </w:rPr>
            </w:pPr>
            <w:r>
              <w:rPr>
                <w:rFonts w:ascii="Arial" w:cs="Arial" w:eastAsia="Arial" w:hAnsi="Arial"/>
                <w:sz w:val="18"/>
                <w:szCs w:val="18"/>
                <w:color w:val="auto"/>
                <w:w w:val="97"/>
              </w:rPr>
              <w:t>The notes will be unsecured and will rank equally with all of our unsecured and unsubordinated indebtedness.</w:t>
            </w:r>
          </w:p>
        </w:tc>
      </w:tr>
      <w:tr>
        <w:trPr>
          <w:trHeight w:val="453"/>
        </w:trPr>
        <w:tc>
          <w:tcPr>
            <w:tcW w:w="2200" w:type="dxa"/>
            <w:vAlign w:val="bottom"/>
          </w:tcPr>
          <w:p>
            <w:pPr>
              <w:spacing w:after="0"/>
              <w:rPr>
                <w:sz w:val="20"/>
                <w:szCs w:val="20"/>
                <w:color w:val="auto"/>
              </w:rPr>
            </w:pPr>
            <w:r>
              <w:rPr>
                <w:rFonts w:ascii="Arial" w:cs="Arial" w:eastAsia="Arial" w:hAnsi="Arial"/>
                <w:sz w:val="18"/>
                <w:szCs w:val="18"/>
                <w:color w:val="auto"/>
              </w:rPr>
              <w:t>Cable Guarantors</w:t>
            </w:r>
          </w:p>
        </w:tc>
        <w:tc>
          <w:tcPr>
            <w:tcW w:w="9180" w:type="dxa"/>
            <w:vAlign w:val="bottom"/>
            <w:gridSpan w:val="2"/>
          </w:tcPr>
          <w:p>
            <w:pPr>
              <w:ind w:left="680"/>
              <w:spacing w:after="0"/>
              <w:rPr>
                <w:sz w:val="20"/>
                <w:szCs w:val="20"/>
                <w:color w:val="auto"/>
              </w:rPr>
            </w:pPr>
            <w:r>
              <w:rPr>
                <w:rFonts w:ascii="Arial" w:cs="Arial" w:eastAsia="Arial" w:hAnsi="Arial"/>
                <w:sz w:val="18"/>
                <w:szCs w:val="18"/>
                <w:color w:val="auto"/>
                <w:w w:val="90"/>
              </w:rPr>
              <w:t>Comcast Cable Communications, Inc., Comcast Cable Communications Holdings, Inc., Comcast Cable Holdings, LLC</w:t>
            </w:r>
          </w:p>
        </w:tc>
      </w:tr>
      <w:tr>
        <w:trPr>
          <w:trHeight w:val="222"/>
        </w:trPr>
        <w:tc>
          <w:tcPr>
            <w:tcW w:w="2200" w:type="dxa"/>
            <w:vAlign w:val="bottom"/>
          </w:tcPr>
          <w:p>
            <w:pPr>
              <w:spacing w:after="0"/>
              <w:rPr>
                <w:sz w:val="19"/>
                <w:szCs w:val="19"/>
                <w:color w:val="auto"/>
              </w:rPr>
            </w:pPr>
          </w:p>
        </w:tc>
        <w:tc>
          <w:tcPr>
            <w:tcW w:w="9180" w:type="dxa"/>
            <w:vAlign w:val="bottom"/>
            <w:gridSpan w:val="2"/>
          </w:tcPr>
          <w:p>
            <w:pPr>
              <w:ind w:left="680"/>
              <w:spacing w:after="0"/>
              <w:rPr>
                <w:sz w:val="20"/>
                <w:szCs w:val="20"/>
                <w:color w:val="auto"/>
              </w:rPr>
            </w:pPr>
            <w:r>
              <w:rPr>
                <w:rFonts w:ascii="Arial" w:cs="Arial" w:eastAsia="Arial" w:hAnsi="Arial"/>
                <w:sz w:val="18"/>
                <w:szCs w:val="18"/>
                <w:color w:val="auto"/>
              </w:rPr>
              <w:t>and Comcast MO Group, Inc.</w:t>
            </w:r>
          </w:p>
        </w:tc>
      </w:tr>
      <w:tr>
        <w:trPr>
          <w:trHeight w:val="453"/>
        </w:trPr>
        <w:tc>
          <w:tcPr>
            <w:tcW w:w="2200" w:type="dxa"/>
            <w:vAlign w:val="bottom"/>
          </w:tcPr>
          <w:p>
            <w:pPr>
              <w:spacing w:after="0"/>
              <w:rPr>
                <w:sz w:val="20"/>
                <w:szCs w:val="20"/>
                <w:color w:val="auto"/>
              </w:rPr>
            </w:pPr>
            <w:r>
              <w:rPr>
                <w:rFonts w:ascii="Arial" w:cs="Arial" w:eastAsia="Arial" w:hAnsi="Arial"/>
                <w:sz w:val="18"/>
                <w:szCs w:val="18"/>
                <w:color w:val="auto"/>
              </w:rPr>
              <w:t>Cable Guarantees</w:t>
            </w:r>
          </w:p>
        </w:tc>
        <w:tc>
          <w:tcPr>
            <w:tcW w:w="9180" w:type="dxa"/>
            <w:vAlign w:val="bottom"/>
            <w:gridSpan w:val="2"/>
          </w:tcPr>
          <w:p>
            <w:pPr>
              <w:ind w:left="680"/>
              <w:spacing w:after="0"/>
              <w:rPr>
                <w:sz w:val="20"/>
                <w:szCs w:val="20"/>
                <w:color w:val="auto"/>
              </w:rPr>
            </w:pPr>
            <w:r>
              <w:rPr>
                <w:rFonts w:ascii="Arial" w:cs="Arial" w:eastAsia="Arial" w:hAnsi="Arial"/>
                <w:sz w:val="18"/>
                <w:szCs w:val="18"/>
                <w:color w:val="auto"/>
                <w:w w:val="90"/>
              </w:rPr>
              <w:t>The cable guarantors will fully and unconditionally guarantee the notes, including the payment of principal, premium, if</w:t>
            </w:r>
          </w:p>
        </w:tc>
      </w:tr>
      <w:tr>
        <w:trPr>
          <w:trHeight w:val="216"/>
        </w:trPr>
        <w:tc>
          <w:tcPr>
            <w:tcW w:w="2200" w:type="dxa"/>
            <w:vAlign w:val="bottom"/>
          </w:tcPr>
          <w:p>
            <w:pPr>
              <w:spacing w:after="0"/>
              <w:rPr>
                <w:sz w:val="18"/>
                <w:szCs w:val="18"/>
                <w:color w:val="auto"/>
              </w:rPr>
            </w:pPr>
          </w:p>
        </w:tc>
        <w:tc>
          <w:tcPr>
            <w:tcW w:w="9180" w:type="dxa"/>
            <w:vAlign w:val="bottom"/>
            <w:gridSpan w:val="2"/>
          </w:tcPr>
          <w:p>
            <w:pPr>
              <w:ind w:left="680"/>
              <w:spacing w:after="0"/>
              <w:rPr>
                <w:sz w:val="20"/>
                <w:szCs w:val="20"/>
                <w:color w:val="auto"/>
              </w:rPr>
            </w:pPr>
            <w:r>
              <w:rPr>
                <w:rFonts w:ascii="Arial" w:cs="Arial" w:eastAsia="Arial" w:hAnsi="Arial"/>
                <w:sz w:val="18"/>
                <w:szCs w:val="18"/>
                <w:color w:val="auto"/>
                <w:w w:val="87"/>
              </w:rPr>
              <w:t>any, and interest. The cable guarantees will rank equally with all other general unsecured and unsubordinated obligations</w:t>
            </w:r>
          </w:p>
        </w:tc>
      </w:tr>
      <w:tr>
        <w:trPr>
          <w:trHeight w:val="222"/>
        </w:trPr>
        <w:tc>
          <w:tcPr>
            <w:tcW w:w="2200" w:type="dxa"/>
            <w:vAlign w:val="bottom"/>
          </w:tcPr>
          <w:p>
            <w:pPr>
              <w:spacing w:after="0"/>
              <w:rPr>
                <w:sz w:val="19"/>
                <w:szCs w:val="19"/>
                <w:color w:val="auto"/>
              </w:rPr>
            </w:pPr>
          </w:p>
        </w:tc>
        <w:tc>
          <w:tcPr>
            <w:tcW w:w="2500" w:type="dxa"/>
            <w:vAlign w:val="bottom"/>
          </w:tcPr>
          <w:p>
            <w:pPr>
              <w:ind w:left="680"/>
              <w:spacing w:after="0"/>
              <w:rPr>
                <w:sz w:val="20"/>
                <w:szCs w:val="20"/>
                <w:color w:val="auto"/>
              </w:rPr>
            </w:pPr>
            <w:r>
              <w:rPr>
                <w:rFonts w:ascii="Arial" w:cs="Arial" w:eastAsia="Arial" w:hAnsi="Arial"/>
                <w:sz w:val="18"/>
                <w:szCs w:val="18"/>
                <w:color w:val="auto"/>
                <w:w w:val="95"/>
              </w:rPr>
              <w:t>of the cable guarantors.</w:t>
            </w:r>
          </w:p>
        </w:tc>
        <w:tc>
          <w:tcPr>
            <w:tcW w:w="6680" w:type="dxa"/>
            <w:vAlign w:val="bottom"/>
          </w:tcPr>
          <w:p>
            <w:pPr>
              <w:spacing w:after="0"/>
              <w:rPr>
                <w:sz w:val="19"/>
                <w:szCs w:val="19"/>
                <w:color w:val="auto"/>
              </w:rPr>
            </w:pPr>
          </w:p>
        </w:tc>
      </w:tr>
      <w:tr>
        <w:trPr>
          <w:trHeight w:val="459"/>
        </w:trPr>
        <w:tc>
          <w:tcPr>
            <w:tcW w:w="2200" w:type="dxa"/>
            <w:vAlign w:val="bottom"/>
          </w:tcPr>
          <w:p>
            <w:pPr>
              <w:spacing w:after="0"/>
              <w:rPr>
                <w:sz w:val="20"/>
                <w:szCs w:val="20"/>
                <w:color w:val="auto"/>
              </w:rPr>
            </w:pPr>
            <w:r>
              <w:rPr>
                <w:rFonts w:ascii="Arial" w:cs="Arial" w:eastAsia="Arial" w:hAnsi="Arial"/>
                <w:sz w:val="18"/>
                <w:szCs w:val="18"/>
                <w:color w:val="auto"/>
              </w:rPr>
              <w:t>Optional Redemption</w:t>
            </w:r>
          </w:p>
        </w:tc>
        <w:tc>
          <w:tcPr>
            <w:tcW w:w="9180" w:type="dxa"/>
            <w:vAlign w:val="bottom"/>
            <w:gridSpan w:val="2"/>
          </w:tcPr>
          <w:p>
            <w:pPr>
              <w:ind w:left="680"/>
              <w:spacing w:after="0"/>
              <w:rPr>
                <w:sz w:val="20"/>
                <w:szCs w:val="20"/>
                <w:color w:val="auto"/>
              </w:rPr>
            </w:pPr>
            <w:r>
              <w:rPr>
                <w:rFonts w:ascii="Arial" w:cs="Arial" w:eastAsia="Arial" w:hAnsi="Arial"/>
                <w:sz w:val="18"/>
                <w:szCs w:val="18"/>
                <w:color w:val="auto"/>
              </w:rPr>
              <w:t>We may redeem all or part of the notes at our option at a redemption price equal to the greater of:</w:t>
            </w:r>
          </w:p>
        </w:tc>
      </w:tr>
      <w:tr>
        <w:trPr>
          <w:trHeight w:val="459"/>
        </w:trPr>
        <w:tc>
          <w:tcPr>
            <w:tcW w:w="2200" w:type="dxa"/>
            <w:vAlign w:val="bottom"/>
          </w:tcPr>
          <w:p>
            <w:pPr>
              <w:spacing w:after="0"/>
              <w:rPr>
                <w:sz w:val="24"/>
                <w:szCs w:val="24"/>
                <w:color w:val="auto"/>
              </w:rPr>
            </w:pPr>
          </w:p>
        </w:tc>
        <w:tc>
          <w:tcPr>
            <w:tcW w:w="2500" w:type="dxa"/>
            <w:vAlign w:val="bottom"/>
          </w:tcPr>
          <w:p>
            <w:pPr>
              <w:ind w:left="680"/>
              <w:spacing w:after="0"/>
              <w:rPr>
                <w:sz w:val="20"/>
                <w:szCs w:val="20"/>
                <w:color w:val="auto"/>
              </w:rPr>
            </w:pPr>
            <w:r>
              <w:rPr>
                <w:rFonts w:ascii="Arial" w:cs="Arial" w:eastAsia="Arial" w:hAnsi="Arial"/>
                <w:sz w:val="18"/>
                <w:szCs w:val="18"/>
                <w:color w:val="auto"/>
              </w:rPr>
              <w:t>•</w:t>
            </w:r>
          </w:p>
        </w:tc>
        <w:tc>
          <w:tcPr>
            <w:tcW w:w="6680" w:type="dxa"/>
            <w:vAlign w:val="bottom"/>
          </w:tcPr>
          <w:p>
            <w:pPr>
              <w:ind w:left="160"/>
              <w:spacing w:after="0"/>
              <w:rPr>
                <w:sz w:val="20"/>
                <w:szCs w:val="20"/>
                <w:color w:val="auto"/>
              </w:rPr>
            </w:pPr>
            <w:r>
              <w:rPr>
                <w:rFonts w:ascii="Arial" w:cs="Arial" w:eastAsia="Arial" w:hAnsi="Arial"/>
                <w:sz w:val="18"/>
                <w:szCs w:val="18"/>
                <w:color w:val="auto"/>
              </w:rPr>
              <w:t>100% of the principal amount of the notes being redeemed; and</w:t>
            </w:r>
          </w:p>
        </w:tc>
      </w:tr>
      <w:tr>
        <w:trPr>
          <w:trHeight w:val="453"/>
        </w:trPr>
        <w:tc>
          <w:tcPr>
            <w:tcW w:w="2200" w:type="dxa"/>
            <w:vAlign w:val="bottom"/>
          </w:tcPr>
          <w:p>
            <w:pPr>
              <w:spacing w:after="0"/>
              <w:rPr>
                <w:sz w:val="24"/>
                <w:szCs w:val="24"/>
                <w:color w:val="auto"/>
              </w:rPr>
            </w:pPr>
          </w:p>
        </w:tc>
        <w:tc>
          <w:tcPr>
            <w:tcW w:w="2500" w:type="dxa"/>
            <w:vAlign w:val="bottom"/>
          </w:tcPr>
          <w:p>
            <w:pPr>
              <w:ind w:left="680"/>
              <w:spacing w:after="0"/>
              <w:rPr>
                <w:sz w:val="20"/>
                <w:szCs w:val="20"/>
                <w:color w:val="auto"/>
              </w:rPr>
            </w:pPr>
            <w:r>
              <w:rPr>
                <w:rFonts w:ascii="Arial" w:cs="Arial" w:eastAsia="Arial" w:hAnsi="Arial"/>
                <w:sz w:val="18"/>
                <w:szCs w:val="18"/>
                <w:color w:val="auto"/>
              </w:rPr>
              <w:t>•</w:t>
            </w:r>
          </w:p>
        </w:tc>
        <w:tc>
          <w:tcPr>
            <w:tcW w:w="6680" w:type="dxa"/>
            <w:vAlign w:val="bottom"/>
          </w:tcPr>
          <w:p>
            <w:pPr>
              <w:ind w:left="160"/>
              <w:spacing w:after="0"/>
              <w:rPr>
                <w:sz w:val="20"/>
                <w:szCs w:val="20"/>
                <w:color w:val="auto"/>
              </w:rPr>
            </w:pPr>
            <w:r>
              <w:rPr>
                <w:rFonts w:ascii="Arial" w:cs="Arial" w:eastAsia="Arial" w:hAnsi="Arial"/>
                <w:sz w:val="18"/>
                <w:szCs w:val="18"/>
                <w:color w:val="auto"/>
                <w:w w:val="89"/>
              </w:rPr>
              <w:t>the Make-Whole Amount, as defined in “Description of the Notes and the Cable Guarantees</w:t>
            </w:r>
          </w:p>
        </w:tc>
      </w:tr>
      <w:tr>
        <w:trPr>
          <w:trHeight w:val="222"/>
        </w:trPr>
        <w:tc>
          <w:tcPr>
            <w:tcW w:w="2200" w:type="dxa"/>
            <w:vAlign w:val="bottom"/>
          </w:tcPr>
          <w:p>
            <w:pPr>
              <w:spacing w:after="0"/>
              <w:rPr>
                <w:sz w:val="19"/>
                <w:szCs w:val="19"/>
                <w:color w:val="auto"/>
              </w:rPr>
            </w:pPr>
          </w:p>
        </w:tc>
        <w:tc>
          <w:tcPr>
            <w:tcW w:w="9180" w:type="dxa"/>
            <w:vAlign w:val="bottom"/>
            <w:gridSpan w:val="2"/>
          </w:tcPr>
          <w:p>
            <w:pPr>
              <w:ind w:left="680"/>
              <w:spacing w:after="0"/>
              <w:rPr>
                <w:sz w:val="20"/>
                <w:szCs w:val="20"/>
                <w:color w:val="auto"/>
              </w:rPr>
            </w:pPr>
            <w:r>
              <w:rPr>
                <w:rFonts w:ascii="Arial" w:cs="Arial" w:eastAsia="Arial" w:hAnsi="Arial"/>
                <w:sz w:val="18"/>
                <w:szCs w:val="18"/>
                <w:color w:val="auto"/>
              </w:rPr>
              <w:t>—Optional Redemption” in this prospectus supplement for the notes being redeemed;</w:t>
            </w:r>
          </w:p>
        </w:tc>
      </w:tr>
      <w:tr>
        <w:trPr>
          <w:trHeight w:val="459"/>
        </w:trPr>
        <w:tc>
          <w:tcPr>
            <w:tcW w:w="2200" w:type="dxa"/>
            <w:vAlign w:val="bottom"/>
          </w:tcPr>
          <w:p>
            <w:pPr>
              <w:spacing w:after="0"/>
              <w:rPr>
                <w:sz w:val="24"/>
                <w:szCs w:val="24"/>
                <w:color w:val="auto"/>
              </w:rPr>
            </w:pPr>
          </w:p>
        </w:tc>
        <w:tc>
          <w:tcPr>
            <w:tcW w:w="9180" w:type="dxa"/>
            <w:vAlign w:val="bottom"/>
            <w:gridSpan w:val="2"/>
          </w:tcPr>
          <w:p>
            <w:pPr>
              <w:ind w:left="680"/>
              <w:spacing w:after="0"/>
              <w:rPr>
                <w:sz w:val="20"/>
                <w:szCs w:val="20"/>
                <w:color w:val="auto"/>
              </w:rPr>
            </w:pPr>
            <w:r>
              <w:rPr>
                <w:rFonts w:ascii="Arial" w:cs="Arial" w:eastAsia="Arial" w:hAnsi="Arial"/>
                <w:sz w:val="18"/>
                <w:szCs w:val="18"/>
                <w:color w:val="auto"/>
              </w:rPr>
              <w:t>plus, in each case, accrued interest to the redemption date.</w:t>
            </w:r>
          </w:p>
        </w:tc>
      </w:tr>
      <w:tr>
        <w:trPr>
          <w:trHeight w:val="453"/>
        </w:trPr>
        <w:tc>
          <w:tcPr>
            <w:tcW w:w="2200" w:type="dxa"/>
            <w:vAlign w:val="bottom"/>
          </w:tcPr>
          <w:p>
            <w:pPr>
              <w:spacing w:after="0"/>
              <w:rPr>
                <w:sz w:val="20"/>
                <w:szCs w:val="20"/>
                <w:color w:val="auto"/>
              </w:rPr>
            </w:pPr>
            <w:r>
              <w:rPr>
                <w:rFonts w:ascii="Arial" w:cs="Arial" w:eastAsia="Arial" w:hAnsi="Arial"/>
                <w:sz w:val="18"/>
                <w:szCs w:val="18"/>
                <w:color w:val="auto"/>
              </w:rPr>
              <w:t>Use of Proceeds</w:t>
            </w:r>
          </w:p>
        </w:tc>
        <w:tc>
          <w:tcPr>
            <w:tcW w:w="9180" w:type="dxa"/>
            <w:vAlign w:val="bottom"/>
            <w:gridSpan w:val="2"/>
          </w:tcPr>
          <w:p>
            <w:pPr>
              <w:ind w:left="680"/>
              <w:spacing w:after="0"/>
              <w:rPr>
                <w:sz w:val="20"/>
                <w:szCs w:val="20"/>
                <w:color w:val="auto"/>
              </w:rPr>
            </w:pPr>
            <w:r>
              <w:rPr>
                <w:rFonts w:ascii="Arial" w:cs="Arial" w:eastAsia="Arial" w:hAnsi="Arial"/>
                <w:sz w:val="18"/>
                <w:szCs w:val="18"/>
                <w:color w:val="auto"/>
                <w:w w:val="90"/>
              </w:rPr>
              <w:t>We intend to use the proceeds from this offering, after deducting fees and expenses related to this offering, to repay a</w:t>
            </w:r>
          </w:p>
        </w:tc>
      </w:tr>
      <w:tr>
        <w:trPr>
          <w:trHeight w:val="222"/>
        </w:trPr>
        <w:tc>
          <w:tcPr>
            <w:tcW w:w="2200" w:type="dxa"/>
            <w:vAlign w:val="bottom"/>
          </w:tcPr>
          <w:p>
            <w:pPr>
              <w:spacing w:after="0"/>
              <w:rPr>
                <w:sz w:val="19"/>
                <w:szCs w:val="19"/>
                <w:color w:val="auto"/>
              </w:rPr>
            </w:pPr>
          </w:p>
        </w:tc>
        <w:tc>
          <w:tcPr>
            <w:tcW w:w="9180" w:type="dxa"/>
            <w:vAlign w:val="bottom"/>
            <w:gridSpan w:val="2"/>
          </w:tcPr>
          <w:p>
            <w:pPr>
              <w:ind w:left="680"/>
              <w:spacing w:after="0"/>
              <w:rPr>
                <w:sz w:val="20"/>
                <w:szCs w:val="20"/>
                <w:color w:val="auto"/>
              </w:rPr>
            </w:pPr>
            <w:r>
              <w:rPr>
                <w:rFonts w:ascii="Arial" w:cs="Arial" w:eastAsia="Arial" w:hAnsi="Arial"/>
                <w:sz w:val="18"/>
                <w:szCs w:val="18"/>
                <w:color w:val="auto"/>
              </w:rPr>
              <w:t>portion of the short-term indebtedness incurred in connection with the AT&amp;T Comcast transaction.</w:t>
            </w:r>
          </w:p>
        </w:tc>
      </w:tr>
      <w:tr>
        <w:trPr>
          <w:trHeight w:val="453"/>
        </w:trPr>
        <w:tc>
          <w:tcPr>
            <w:tcW w:w="2200" w:type="dxa"/>
            <w:vAlign w:val="bottom"/>
          </w:tcPr>
          <w:p>
            <w:pPr>
              <w:spacing w:after="0"/>
              <w:rPr>
                <w:sz w:val="20"/>
                <w:szCs w:val="20"/>
                <w:color w:val="auto"/>
              </w:rPr>
            </w:pPr>
            <w:r>
              <w:rPr>
                <w:rFonts w:ascii="Arial" w:cs="Arial" w:eastAsia="Arial" w:hAnsi="Arial"/>
                <w:sz w:val="18"/>
                <w:szCs w:val="18"/>
                <w:color w:val="auto"/>
              </w:rPr>
              <w:t>Book Entry</w:t>
            </w:r>
          </w:p>
        </w:tc>
        <w:tc>
          <w:tcPr>
            <w:tcW w:w="9180" w:type="dxa"/>
            <w:vAlign w:val="bottom"/>
            <w:gridSpan w:val="2"/>
          </w:tcPr>
          <w:p>
            <w:pPr>
              <w:ind w:left="680"/>
              <w:spacing w:after="0"/>
              <w:rPr>
                <w:sz w:val="20"/>
                <w:szCs w:val="20"/>
                <w:color w:val="auto"/>
              </w:rPr>
            </w:pPr>
            <w:r>
              <w:rPr>
                <w:rFonts w:ascii="Arial" w:cs="Arial" w:eastAsia="Arial" w:hAnsi="Arial"/>
                <w:sz w:val="18"/>
                <w:szCs w:val="18"/>
                <w:color w:val="auto"/>
                <w:w w:val="89"/>
              </w:rPr>
              <w:t>The notes will be issued in book-entry form and will be represented by global notes deposited with, or on behalf of, DTC</w:t>
            </w:r>
          </w:p>
        </w:tc>
      </w:tr>
      <w:tr>
        <w:trPr>
          <w:trHeight w:val="216"/>
        </w:trPr>
        <w:tc>
          <w:tcPr>
            <w:tcW w:w="2200" w:type="dxa"/>
            <w:vAlign w:val="bottom"/>
          </w:tcPr>
          <w:p>
            <w:pPr>
              <w:spacing w:after="0"/>
              <w:rPr>
                <w:sz w:val="18"/>
                <w:szCs w:val="18"/>
                <w:color w:val="auto"/>
              </w:rPr>
            </w:pPr>
          </w:p>
        </w:tc>
        <w:tc>
          <w:tcPr>
            <w:tcW w:w="9180" w:type="dxa"/>
            <w:vAlign w:val="bottom"/>
            <w:gridSpan w:val="2"/>
          </w:tcPr>
          <w:p>
            <w:pPr>
              <w:ind w:left="680"/>
              <w:spacing w:after="0"/>
              <w:rPr>
                <w:sz w:val="20"/>
                <w:szCs w:val="20"/>
                <w:color w:val="auto"/>
              </w:rPr>
            </w:pPr>
            <w:r>
              <w:rPr>
                <w:rFonts w:ascii="Arial" w:cs="Arial" w:eastAsia="Arial" w:hAnsi="Arial"/>
                <w:sz w:val="18"/>
                <w:szCs w:val="18"/>
                <w:color w:val="auto"/>
                <w:w w:val="94"/>
              </w:rPr>
              <w:t>and registered in the name of DTC or its nominees. Beneficial interests in any of the notes will be shown on, and</w:t>
            </w:r>
          </w:p>
        </w:tc>
      </w:tr>
      <w:tr>
        <w:trPr>
          <w:trHeight w:val="222"/>
        </w:trPr>
        <w:tc>
          <w:tcPr>
            <w:tcW w:w="2200" w:type="dxa"/>
            <w:vAlign w:val="bottom"/>
          </w:tcPr>
          <w:p>
            <w:pPr>
              <w:spacing w:after="0"/>
              <w:rPr>
                <w:sz w:val="19"/>
                <w:szCs w:val="19"/>
                <w:color w:val="auto"/>
              </w:rPr>
            </w:pPr>
          </w:p>
        </w:tc>
        <w:tc>
          <w:tcPr>
            <w:tcW w:w="9180" w:type="dxa"/>
            <w:vAlign w:val="bottom"/>
            <w:gridSpan w:val="2"/>
          </w:tcPr>
          <w:p>
            <w:pPr>
              <w:ind w:left="680"/>
              <w:spacing w:after="0"/>
              <w:rPr>
                <w:sz w:val="20"/>
                <w:szCs w:val="20"/>
                <w:color w:val="auto"/>
              </w:rPr>
            </w:pPr>
            <w:r>
              <w:rPr>
                <w:rFonts w:ascii="Arial" w:cs="Arial" w:eastAsia="Arial" w:hAnsi="Arial"/>
                <w:sz w:val="18"/>
                <w:szCs w:val="18"/>
                <w:color w:val="auto"/>
                <w:w w:val="88"/>
              </w:rPr>
              <w:t>transfers will be effected only through, records maintained by DTC or its nominee, and these beneficial interests may not</w:t>
            </w:r>
          </w:p>
        </w:tc>
      </w:tr>
    </w:tbl>
    <w:p>
      <w:pPr>
        <w:ind w:left="2880" w:right="560"/>
        <w:spacing w:after="0" w:line="261" w:lineRule="auto"/>
        <w:rPr>
          <w:sz w:val="20"/>
          <w:szCs w:val="20"/>
          <w:color w:val="auto"/>
        </w:rPr>
      </w:pPr>
      <w:r>
        <w:rPr>
          <w:rFonts w:ascii="Arial" w:cs="Arial" w:eastAsia="Arial" w:hAnsi="Arial"/>
          <w:sz w:val="18"/>
          <w:szCs w:val="18"/>
          <w:color w:val="auto"/>
        </w:rPr>
        <w:t>be exchanged for certificated notes, except in limited circumstances. See “Description of the Notes and the Cable Guarantees—Book-Entry System” in this prospectus supplement.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58"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We intend to use the proceeds from this offering, after deducting fees and expenses related to this offering, to repay a portion of the short-term indebtedness incurred in connection with the AT&amp;T Comcast transaction. We borrowed this short-term indebtedness under the bridge credit agreement portion of the New Credit Facility described under “Description of AT&amp;T Comcast Transaction—The Separation and Distribution Agreement—Repayment of Intracompany Debt” in the accompanying prospectus.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Under the New Credit Facility, we borrowed $4 billion at a variable rate of LIBOR plus 1.125% per annum, maturing on November 18, 2003 and</w:t>
      </w:r>
    </w:p>
    <w:p>
      <w:pPr>
        <w:spacing w:after="0" w:line="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$3.2 billion at a variable rate of LIBOR plus 1.125% per annum, maturing on November 18, 2004. Proceeds from these borrowings were used in connection with the closing of the AT&amp;T Comcast transaction to repay intracompany debt owed by Comcast Cable Communications Holdings to AT&amp;T’s communications business, and to fund other operating and closing costs. On January 10, 2003, we closed the sale of $600 million aggregate principal amount of our 5.85% Notes due 2010 and $900 million aggregate principal amount of our 6.50% Notes due 2015. The net proceeds from the offering of $1,486.3 million were used to repay a portion of the borrowings under the New Credit Facility.</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CAPITALIZATION</w:t>
      </w:r>
    </w:p>
    <w:p>
      <w:pPr>
        <w:spacing w:after="0" w:line="258" w:lineRule="exact"/>
        <w:rPr>
          <w:sz w:val="20"/>
          <w:szCs w:val="20"/>
          <w:color w:val="auto"/>
        </w:rPr>
      </w:pPr>
    </w:p>
    <w:p>
      <w:pPr>
        <w:ind w:right="20" w:firstLine="432"/>
        <w:spacing w:after="0" w:line="294" w:lineRule="auto"/>
        <w:rPr>
          <w:sz w:val="20"/>
          <w:szCs w:val="20"/>
          <w:color w:val="auto"/>
        </w:rPr>
      </w:pPr>
      <w:r>
        <w:rPr>
          <w:rFonts w:ascii="Arial" w:cs="Arial" w:eastAsia="Arial" w:hAnsi="Arial"/>
          <w:sz w:val="16"/>
          <w:szCs w:val="16"/>
          <w:color w:val="auto"/>
        </w:rPr>
        <w:t>The following table sets forth our unaudited capitalization and other data as of December 31, 2002 on a pro forma basis to give effect to the issuance on January 10, 2003 of $600 million aggregate principal amount of our 5.85% Notes due 2010 and $900 million aggregate principal amount of our 6.50% Notes due 2015 and application of the net proceeds therefrom, and as adjusted to give effect to the receipt of the estimated net proceeds of $1,481,538,750 from the sale of the notes in this offering and the application of the estimated net proceeds therefrom as described under “Use of Proceeds.” This table should be read in conjunction with our financial statements, related notes and the other information incorporated by reference in the accompanying prospectus.</w:t>
      </w:r>
    </w:p>
    <w:p>
      <w:pPr>
        <w:spacing w:after="0" w:line="38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w w:val="85"/>
              </w:rPr>
              <w:t>December 31, 2002</w:t>
            </w: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10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Pro Forma</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w w:val="96"/>
              </w:rPr>
              <w:t>(in millions)</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Short-term debt</w:t>
            </w: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2,264</w:t>
            </w:r>
          </w:p>
        </w:tc>
        <w:tc>
          <w:tcPr>
            <w:tcW w:w="1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06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3"/>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60" w:type="dxa"/>
            <w:vAlign w:val="bottom"/>
            <w:gridSpan w:val="2"/>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06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3,203</w:t>
            </w:r>
          </w:p>
        </w:tc>
        <w:tc>
          <w:tcPr>
            <w:tcW w:w="12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3,203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4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Long-term debt, less current portion</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29,454</w:t>
            </w:r>
          </w:p>
        </w:tc>
        <w:tc>
          <w:tcPr>
            <w:tcW w:w="1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29,454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Notes offered by this prospectus supplement</w:t>
            </w:r>
          </w:p>
        </w:tc>
        <w:tc>
          <w:tcPr>
            <w:tcW w:w="500" w:type="dxa"/>
            <w:vAlign w:val="bottom"/>
          </w:tcPr>
          <w:p>
            <w:pPr>
              <w:spacing w:after="0"/>
              <w:rPr>
                <w:sz w:val="19"/>
                <w:szCs w:val="19"/>
                <w:color w:val="auto"/>
              </w:rPr>
            </w:pPr>
          </w:p>
        </w:tc>
        <w:tc>
          <w:tcPr>
            <w:tcW w:w="6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Total long-term debt, less current portion</w:t>
            </w: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29,454</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30,947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5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06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Preferred Stock—authorized, 20,000,000 shares; issued, zero</w:t>
            </w:r>
          </w:p>
        </w:tc>
        <w:tc>
          <w:tcPr>
            <w:tcW w:w="50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w w:val="93"/>
              </w:rPr>
              <w:t>Class A Special Common Stock, $0.01 par value—authorized, 7,500,000,000</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rPr>
              <w:t>shares; issued, 930,633,433; outstanding, 883,343,590</w:t>
            </w:r>
          </w:p>
        </w:tc>
        <w:tc>
          <w:tcPr>
            <w:tcW w:w="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4"/>
              </w:rPr>
              <w:t>Class A Common Stock, $0.01 par value—authorized, 7,500,000,000 shares</w:t>
            </w: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issued, 1,599,014,148; outstanding 1,355,373,648</w:t>
            </w:r>
          </w:p>
        </w:tc>
        <w:tc>
          <w:tcPr>
            <w:tcW w:w="50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w w:val="97"/>
              </w:rPr>
              <w:t>Class B Common Stock, $0.01 par value—authorized, 75,000,000 shares;</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rPr>
              <w:t>issued, 9,444,375</w:t>
            </w:r>
          </w:p>
        </w:tc>
        <w:tc>
          <w:tcPr>
            <w:tcW w:w="500" w:type="dxa"/>
            <w:vAlign w:val="bottom"/>
          </w:tcPr>
          <w:p>
            <w:pPr>
              <w:spacing w:after="0"/>
              <w:rPr>
                <w:sz w:val="19"/>
                <w:szCs w:val="19"/>
                <w:color w:val="auto"/>
              </w:rPr>
            </w:pPr>
          </w:p>
        </w:tc>
        <w:tc>
          <w:tcPr>
            <w:tcW w:w="6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Additional capital</w:t>
            </w: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44,622</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44,622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1,340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2"/>
              </w:rPr>
              <w:t>Treasury stock, 243,640,500 Class A common shares and 47,289,843 Class A</w:t>
            </w: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special common shares</w:t>
            </w:r>
          </w:p>
        </w:tc>
        <w:tc>
          <w:tcPr>
            <w:tcW w:w="500" w:type="dxa"/>
            <w:vAlign w:val="bottom"/>
            <w:tcBorders>
              <w:right w:val="single" w:sz="8" w:color="EEEEEE"/>
            </w:tcBorders>
            <w:shd w:val="clear" w:color="auto" w:fill="EEEEEE"/>
          </w:tcPr>
          <w:p>
            <w:pPr>
              <w:spacing w:after="0"/>
              <w:rPr>
                <w:sz w:val="19"/>
                <w:szCs w:val="19"/>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1"/>
              </w:rPr>
              <w:t>(7,517)</w:t>
            </w:r>
          </w:p>
        </w:tc>
        <w:tc>
          <w:tcPr>
            <w:tcW w:w="2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91"/>
              </w:rPr>
              <w:t>(7,517)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5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Total stockholders’ equity</w:t>
            </w: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38,329</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38,329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040" w:type="dxa"/>
            <w:vAlign w:val="bottom"/>
          </w:tcPr>
          <w:p>
            <w:pPr>
              <w:ind w:left="720"/>
              <w:spacing w:after="0"/>
              <w:rPr>
                <w:sz w:val="20"/>
                <w:szCs w:val="20"/>
                <w:color w:val="auto"/>
              </w:rPr>
            </w:pPr>
            <w:r>
              <w:rPr>
                <w:rFonts w:ascii="Arial" w:cs="Arial" w:eastAsia="Arial" w:hAnsi="Arial"/>
                <w:sz w:val="18"/>
                <w:szCs w:val="18"/>
                <w:color w:val="auto"/>
              </w:rPr>
              <w:t>Total capitalization</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67,783</w:t>
            </w:r>
          </w:p>
        </w:tc>
        <w:tc>
          <w:tcPr>
            <w:tcW w:w="12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69,276</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4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estimates associated with the accounting for the AT&amp;T Comcast transaction have and will continue to change as final reports from valuation specialists are obtained and additional information becomes available regarding assets acquired and liabilities assumed. Since the publication of our 2002 year end earnings release, incorporated by reference in this prospectus, the ongoing valuation and allocation process has resulted in inconsequential changes to the balance sheet, primarily affecting non-amortizable intangible assets and related deferred tax liabilities. We currently estimate an approximate $4 billion reduction both in the amount of non-amortizable intangible assets and in the related deferred tax liabilities from those used in preparing the balance sheet data in our 2002 year end earnings release. Changes in the amounts assigned to other acquisition related assets and liabilities may affect operating results, or investment gains or losses upon the disposition of assets acquired, in future periods.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NOTES AND THE CABLE GUARANTEES</w:t>
      </w:r>
    </w:p>
    <w:p>
      <w:pPr>
        <w:spacing w:after="0" w:line="25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offering $750,000,000 aggregate principal amount of our 5.50% Notes due 2011 and $750,000,000 aggregate principal amount of our 7.05% Notes due 2033. The notes due 2011 and the notes due 2033 will each be a separate series of securities issued under an indenture, dated as of January 7, 2003 among us, the cable guarantors and The Bank of New York, as trustee. The notes will be our direct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 w:name="page10"/>
    <w:bookmarkEnd w:id="9"/>
    <w:p>
      <w:pPr>
        <w:ind w:right="160"/>
        <w:spacing w:after="0" w:line="294" w:lineRule="auto"/>
        <w:rPr>
          <w:sz w:val="20"/>
          <w:szCs w:val="20"/>
          <w:color w:val="auto"/>
        </w:rPr>
      </w:pPr>
      <w:r>
        <w:rPr>
          <w:rFonts w:ascii="Arial" w:cs="Arial" w:eastAsia="Arial" w:hAnsi="Arial"/>
          <w:sz w:val="16"/>
          <w:szCs w:val="16"/>
          <w:color w:val="auto"/>
        </w:rPr>
        <w:t>unsecured and unsubordinated obligations and will be fully and unconditionally guaranteed by Comcast Cable, Comcast Cable Communications Holdings, Comcast Cable Holdings and Comcast MO Group, referred to as the cable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than those of the notes, to “reopen” a previous issue of a series of securities (including the notes) and to issue additional securities of any series (including the notes). Copies of the indenture and the form of notes are available from us upon request.</w:t>
      </w:r>
    </w:p>
    <w:p>
      <w:pPr>
        <w:spacing w:after="0" w:line="197" w:lineRule="exact"/>
        <w:rPr>
          <w:sz w:val="20"/>
          <w:szCs w:val="20"/>
          <w:color w:val="auto"/>
        </w:rPr>
      </w:pPr>
    </w:p>
    <w:p>
      <w:pPr>
        <w:ind w:right="60" w:firstLine="432"/>
        <w:spacing w:after="0" w:line="306" w:lineRule="auto"/>
        <w:rPr>
          <w:sz w:val="20"/>
          <w:szCs w:val="20"/>
          <w:color w:val="auto"/>
        </w:rPr>
      </w:pPr>
      <w:r>
        <w:rPr>
          <w:rFonts w:ascii="Arial" w:cs="Arial" w:eastAsia="Arial" w:hAnsi="Arial"/>
          <w:sz w:val="16"/>
          <w:szCs w:val="16"/>
          <w:color w:val="auto"/>
        </w:rPr>
        <w:t>The following, along with the additional information contained in the accompanying prospectus under “Description of the Senior Debt Securities, Subordinated Debt Securities and Cable Guarantees,” is a summary of the material provisions of the indenture, the notes and the cable guarantees. Because this is a summary, it may not contain all the information that is important to you. For further information, you should read the notes and the indenture.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Notes</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notes:</w:t>
      </w:r>
    </w:p>
    <w:p>
      <w:pPr>
        <w:spacing w:after="0" w:line="225" w:lineRule="exact"/>
        <w:rPr>
          <w:sz w:val="20"/>
          <w:szCs w:val="20"/>
          <w:color w:val="auto"/>
        </w:rPr>
      </w:pPr>
    </w:p>
    <w:p>
      <w:pPr>
        <w:ind w:left="920" w:hanging="331"/>
        <w:spacing w:after="0"/>
        <w:tabs>
          <w:tab w:leader="none" w:pos="920" w:val="left"/>
        </w:tabs>
        <w:numPr>
          <w:ilvl w:val="0"/>
          <w:numId w:val="4"/>
        </w:numPr>
        <w:rPr>
          <w:rFonts w:ascii="Arial" w:cs="Arial" w:eastAsia="Arial" w:hAnsi="Arial"/>
          <w:sz w:val="15"/>
          <w:szCs w:val="15"/>
          <w:color w:val="auto"/>
        </w:rPr>
      </w:pPr>
      <w:r>
        <w:rPr>
          <w:rFonts w:ascii="Arial" w:cs="Arial" w:eastAsia="Arial" w:hAnsi="Arial"/>
          <w:sz w:val="15"/>
          <w:szCs w:val="15"/>
          <w:color w:val="auto"/>
        </w:rPr>
        <w:t>will rank equally with all of our other unsecured and unsubordinated debt and will be entitled to the benefits of the cable guarantees described below;</w:t>
      </w:r>
    </w:p>
    <w:p>
      <w:pPr>
        <w:spacing w:after="0" w:line="313" w:lineRule="exact"/>
        <w:rPr>
          <w:rFonts w:ascii="Arial" w:cs="Arial" w:eastAsia="Arial" w:hAnsi="Arial"/>
          <w:sz w:val="15"/>
          <w:szCs w:val="15"/>
          <w:color w:val="auto"/>
        </w:rPr>
      </w:pPr>
    </w:p>
    <w:p>
      <w:pPr>
        <w:ind w:left="920" w:hanging="331"/>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$1,500,000,000, comprised as follows:</w:t>
      </w:r>
    </w:p>
    <w:p>
      <w:pPr>
        <w:spacing w:after="0" w:line="252" w:lineRule="exact"/>
        <w:rPr>
          <w:rFonts w:ascii="Arial" w:cs="Arial" w:eastAsia="Arial" w:hAnsi="Arial"/>
          <w:sz w:val="18"/>
          <w:szCs w:val="18"/>
          <w:color w:val="auto"/>
        </w:rPr>
      </w:pPr>
    </w:p>
    <w:p>
      <w:pPr>
        <w:ind w:left="1160" w:right="520" w:hanging="463"/>
        <w:spacing w:after="0" w:line="332" w:lineRule="auto"/>
        <w:tabs>
          <w:tab w:leader="none" w:pos="1160" w:val="left"/>
        </w:tabs>
        <w:numPr>
          <w:ilvl w:val="1"/>
          <w:numId w:val="4"/>
        </w:numPr>
        <w:rPr>
          <w:rFonts w:ascii="Arial" w:cs="Arial" w:eastAsia="Arial" w:hAnsi="Arial"/>
          <w:sz w:val="16"/>
          <w:szCs w:val="16"/>
          <w:color w:val="auto"/>
        </w:rPr>
      </w:pPr>
      <w:r>
        <w:rPr>
          <w:rFonts w:ascii="Arial" w:cs="Arial" w:eastAsia="Arial" w:hAnsi="Arial"/>
          <w:sz w:val="16"/>
          <w:szCs w:val="16"/>
          <w:color w:val="auto"/>
        </w:rPr>
        <w:t>$750,000,000 initial aggregate amount of 5.50% Notes due 2011, maturing on March 15, 2011, with interest payable semiannually on each March 15 and September 15, beginning September 15, 2003, to holders of record on the preceding March 1 and September 1; and</w:t>
      </w:r>
    </w:p>
    <w:p>
      <w:pPr>
        <w:spacing w:after="0" w:line="166" w:lineRule="exact"/>
        <w:rPr>
          <w:rFonts w:ascii="Arial" w:cs="Arial" w:eastAsia="Arial" w:hAnsi="Arial"/>
          <w:sz w:val="16"/>
          <w:szCs w:val="16"/>
          <w:color w:val="auto"/>
        </w:rPr>
      </w:pPr>
    </w:p>
    <w:p>
      <w:pPr>
        <w:ind w:left="1160" w:right="500" w:hanging="463"/>
        <w:spacing w:after="0" w:line="332" w:lineRule="auto"/>
        <w:tabs>
          <w:tab w:leader="none" w:pos="1160" w:val="left"/>
        </w:tabs>
        <w:numPr>
          <w:ilvl w:val="1"/>
          <w:numId w:val="4"/>
        </w:numPr>
        <w:rPr>
          <w:rFonts w:ascii="Arial" w:cs="Arial" w:eastAsia="Arial" w:hAnsi="Arial"/>
          <w:sz w:val="16"/>
          <w:szCs w:val="16"/>
          <w:color w:val="auto"/>
        </w:rPr>
      </w:pPr>
      <w:r>
        <w:rPr>
          <w:rFonts w:ascii="Arial" w:cs="Arial" w:eastAsia="Arial" w:hAnsi="Arial"/>
          <w:sz w:val="16"/>
          <w:szCs w:val="16"/>
          <w:color w:val="auto"/>
        </w:rPr>
        <w:t>$750,000,000 initial aggregate amount of 7.05% Notes due 2033, maturing on March 15, 2033, with interest payable semiannually on each March 15 and September 15, beginning September 15, 2003, to holders of record on the preceding March 1 and September 1; and</w:t>
      </w:r>
    </w:p>
    <w:p>
      <w:pPr>
        <w:spacing w:after="0" w:line="139" w:lineRule="exact"/>
        <w:rPr>
          <w:rFonts w:ascii="Arial" w:cs="Arial" w:eastAsia="Arial" w:hAnsi="Arial"/>
          <w:sz w:val="16"/>
          <w:szCs w:val="16"/>
          <w:color w:val="auto"/>
        </w:rPr>
      </w:pPr>
    </w:p>
    <w:p>
      <w:pPr>
        <w:ind w:left="920" w:hanging="331"/>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$1,000 and multiples thereof.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25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Interest on the notes will be computed on the basis of a 360-day year consisting of twelve 30-day months. Interest on the notes will accrue from the date of original issuance, or from the most recent interest payment date to which interest has been paid and will be payable semiannually on interest payment dates described of each year.</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Guarantees</w:t>
      </w:r>
    </w:p>
    <w:p>
      <w:pPr>
        <w:spacing w:after="0" w:line="258" w:lineRule="exact"/>
        <w:rPr>
          <w:sz w:val="20"/>
          <w:szCs w:val="20"/>
          <w:color w:val="auto"/>
        </w:rPr>
      </w:pPr>
    </w:p>
    <w:p>
      <w:pPr>
        <w:ind w:right="120" w:firstLine="432"/>
        <w:spacing w:after="0" w:line="268"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Comcast Cable, Comcast Cable Communications, Comcast Cable Holdings and Comcast MO Group.</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cable guarantees will rank equally with all other general unsecured and unsubordinated obligations of the cable guarantors.</w:t>
      </w:r>
    </w:p>
    <w:p>
      <w:pPr>
        <w:spacing w:after="0" w:line="252" w:lineRule="exact"/>
        <w:rPr>
          <w:sz w:val="20"/>
          <w:szCs w:val="20"/>
          <w:color w:val="auto"/>
        </w:rPr>
      </w:pPr>
    </w:p>
    <w:p>
      <w:pPr>
        <w:jc w:val="both"/>
        <w:ind w:right="160" w:firstLine="432"/>
        <w:spacing w:after="0" w:line="259" w:lineRule="auto"/>
        <w:rPr>
          <w:sz w:val="20"/>
          <w:szCs w:val="20"/>
          <w:color w:val="auto"/>
        </w:rPr>
      </w:pPr>
      <w:r>
        <w:rPr>
          <w:rFonts w:ascii="Arial" w:cs="Arial" w:eastAsia="Arial" w:hAnsi="Arial"/>
          <w:sz w:val="18"/>
          <w:szCs w:val="18"/>
          <w:color w:val="auto"/>
        </w:rPr>
        <w:t>The cable guarantees will not contain any restrictions on the ability of any of cable guarantor to (i) pay dividends or distributions on, or redeem, purchase, acquire, or make a liquidation payment with respect to, any of that cable guarantor’s capital stock or (ii) make any payment of principal, interest or premium, if any, on or repay, repurchase or redeem any debt securities of that cable guarantor.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Optional Redemption</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will have the right at our option to redeem any of the notes in whole or in part, at any time or from time to time prior to their maturity, on at least</w:t>
      </w:r>
    </w:p>
    <w:p>
      <w:pPr>
        <w:spacing w:after="0" w:line="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30 days, but not more than 90 days, prior notice mailed to the registered address of each holder of the applicable series of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in each case, the Treasury Rate plus 25 basis points for the notes due 2011 (the “2011 Make-Whole Amount”) and 40 basis points for the notes due 2033 (the “2033 Make-Whole Amount” and together with the 2011 Make-Whole Amount, the “Make-Whole Amount”), plus in each case accrued interest thereon to the date of redemption.</w:t>
      </w:r>
    </w:p>
    <w:p>
      <w:pPr>
        <w:spacing w:after="0" w:line="19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221" w:lineRule="exact"/>
        <w:rPr>
          <w:sz w:val="20"/>
          <w:szCs w:val="20"/>
          <w:color w:val="auto"/>
        </w:rPr>
      </w:pPr>
    </w:p>
    <w:p>
      <w:pPr>
        <w:ind w:right="60" w:firstLine="432"/>
        <w:spacing w:after="0" w:line="306" w:lineRule="auto"/>
        <w:rPr>
          <w:sz w:val="20"/>
          <w:szCs w:val="20"/>
          <w:color w:val="auto"/>
        </w:rPr>
      </w:pPr>
      <w:r>
        <w:rPr>
          <w:rFonts w:ascii="Arial" w:cs="Arial" w:eastAsia="Arial" w:hAnsi="Arial"/>
          <w:sz w:val="16"/>
          <w:szCs w:val="16"/>
          <w:color w:val="auto"/>
        </w:rPr>
        <w:t>“Comparable Treasury Issue” means the United States Treasury security or securities selected by an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25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trustee obtains fewer than four such Reference Treasury Dealer Quotations, the average of all such quotations.</w:t>
      </w:r>
    </w:p>
    <w:p>
      <w:pPr>
        <w:spacing w:after="0" w:line="221" w:lineRule="exact"/>
        <w:rPr>
          <w:sz w:val="20"/>
          <w:szCs w:val="20"/>
          <w:color w:val="auto"/>
        </w:rPr>
      </w:pPr>
    </w:p>
    <w:p>
      <w:pPr>
        <w:jc w:val="both"/>
        <w:ind w:right="180" w:firstLine="432"/>
        <w:spacing w:after="0" w:line="256" w:lineRule="auto"/>
        <w:rPr>
          <w:sz w:val="20"/>
          <w:szCs w:val="20"/>
          <w:color w:val="auto"/>
        </w:rPr>
      </w:pPr>
      <w:r>
        <w:rPr>
          <w:rFonts w:ascii="Arial" w:cs="Arial" w:eastAsia="Arial" w:hAnsi="Arial"/>
          <w:sz w:val="18"/>
          <w:szCs w:val="18"/>
          <w:color w:val="auto"/>
        </w:rPr>
        <w:t>“Reference Treasury Dealer” means each of J.P. Morgan Securities Inc., Merrill Lynch, Pierce, Fenner &amp; Smith Incorporated and Morgan Stanley &amp; Co. Incorporated or their affiliates which are primary United States government securities dealers, and their respective successors; provided, however, that if any of the foregoing shall cease to be a primary United States government securities dealer in The City of New York (a “Primary Treasury Dealer”), we will substitute therefor another Primary Treasury Dealer.</w:t>
      </w:r>
    </w:p>
    <w:p>
      <w:pPr>
        <w:spacing w:after="0" w:line="224" w:lineRule="exact"/>
        <w:rPr>
          <w:sz w:val="20"/>
          <w:szCs w:val="20"/>
          <w:color w:val="auto"/>
        </w:rPr>
      </w:pPr>
    </w:p>
    <w:p>
      <w:pPr>
        <w:ind w:right="40" w:firstLine="432"/>
        <w:spacing w:after="0" w:line="306" w:lineRule="auto"/>
        <w:rPr>
          <w:sz w:val="20"/>
          <w:szCs w:val="20"/>
          <w:color w:val="auto"/>
        </w:rPr>
      </w:pPr>
      <w:r>
        <w:rPr>
          <w:rFonts w:ascii="Arial" w:cs="Arial" w:eastAsia="Arial" w:hAnsi="Arial"/>
          <w:sz w:val="16"/>
          <w:szCs w:val="16"/>
          <w:color w:val="auto"/>
        </w:rPr>
        <w:t>“Reference Treasury Dealer Quotation” means, with respect to each Reference Treasury Dealer and any redemption date, the average, as determined by the trustee, of the bid and asked prices for the Comparable Treasury Issue (expressed in case as a percentage of its principal amount) quoted in writing to the trustee by such Reference Treasury Dealer at 3:30 pm New York time on the third business day preceding such redemption date.</w:t>
      </w:r>
    </w:p>
    <w:p>
      <w:pPr>
        <w:spacing w:after="0" w:line="188"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interest to the redemption date on the notes to be redeemed on such date. If less than all of the notes of any series are to be redeemed, the notes to be redeemed shall be selected by the trustee by such method as the trustee shall deem fair and appropriate.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Book-Entry System</w:t>
      </w:r>
    </w:p>
    <w:p>
      <w:pPr>
        <w:spacing w:after="0" w:line="258" w:lineRule="exact"/>
        <w:rPr>
          <w:sz w:val="20"/>
          <w:szCs w:val="20"/>
          <w:color w:val="auto"/>
        </w:rPr>
      </w:pPr>
    </w:p>
    <w:p>
      <w:pPr>
        <w:ind w:right="40" w:firstLine="432"/>
        <w:spacing w:after="0" w:line="298" w:lineRule="auto"/>
        <w:rPr>
          <w:sz w:val="20"/>
          <w:szCs w:val="20"/>
          <w:color w:val="auto"/>
        </w:rPr>
      </w:pPr>
      <w:r>
        <w:rPr>
          <w:rFonts w:ascii="Arial" w:cs="Arial" w:eastAsia="Arial" w:hAnsi="Arial"/>
          <w:sz w:val="16"/>
          <w:szCs w:val="16"/>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DTC</w:t>
      </w:r>
    </w:p>
    <w:p>
      <w:pPr>
        <w:spacing w:after="0" w:line="252" w:lineRule="exact"/>
        <w:rPr>
          <w:sz w:val="20"/>
          <w:szCs w:val="20"/>
          <w:color w:val="auto"/>
        </w:rPr>
      </w:pPr>
    </w:p>
    <w:p>
      <w:pPr>
        <w:ind w:right="140" w:firstLine="432"/>
        <w:spacing w:after="0" w:line="253" w:lineRule="auto"/>
        <w:rPr>
          <w:sz w:val="20"/>
          <w:szCs w:val="20"/>
          <w:color w:val="auto"/>
        </w:rPr>
      </w:pPr>
      <w:r>
        <w:rPr>
          <w:rFonts w:ascii="Arial" w:cs="Arial" w:eastAsia="Arial" w:hAnsi="Arial"/>
          <w:sz w:val="18"/>
          <w:szCs w:val="18"/>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226"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expect that pursuant to procedures established by DTC, upon the deposit of the Global Notes with DTC, DTC will credit on its book 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201" w:lineRule="exact"/>
        <w:rPr>
          <w:sz w:val="20"/>
          <w:szCs w:val="20"/>
          <w:color w:val="auto"/>
        </w:rPr>
      </w:pPr>
    </w:p>
    <w:p>
      <w:pPr>
        <w:ind w:right="100" w:firstLine="432"/>
        <w:spacing w:after="0" w:line="268"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213"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99" w:lineRule="exact"/>
        <w:rPr>
          <w:sz w:val="20"/>
          <w:szCs w:val="20"/>
          <w:color w:val="auto"/>
        </w:rPr>
      </w:pPr>
    </w:p>
    <w:p>
      <w:pPr>
        <w:ind w:right="280" w:firstLine="432"/>
        <w:spacing w:after="0" w:line="332" w:lineRule="auto"/>
        <w:rPr>
          <w:sz w:val="20"/>
          <w:szCs w:val="20"/>
          <w:color w:val="auto"/>
        </w:rPr>
      </w:pPr>
      <w:r>
        <w:rPr>
          <w:rFonts w:ascii="Arial" w:cs="Arial" w:eastAsia="Arial" w:hAnsi="Arial"/>
          <w:sz w:val="16"/>
          <w:szCs w:val="16"/>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16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spacing w:after="0" w:line="291" w:lineRule="auto"/>
        <w:rPr>
          <w:sz w:val="20"/>
          <w:szCs w:val="20"/>
          <w:color w:val="auto"/>
        </w:rPr>
      </w:pPr>
      <w:r>
        <w:rPr>
          <w:rFonts w:ascii="Arial" w:cs="Arial" w:eastAsia="Arial" w:hAnsi="Arial"/>
          <w:sz w:val="16"/>
          <w:szCs w:val="16"/>
          <w:color w:val="auto"/>
        </w:rPr>
        <w:t>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201" w:lineRule="exact"/>
        <w:rPr>
          <w:sz w:val="20"/>
          <w:szCs w:val="20"/>
          <w:color w:val="auto"/>
        </w:rPr>
      </w:pPr>
    </w:p>
    <w:p>
      <w:pPr>
        <w:ind w:right="20" w:firstLine="432"/>
        <w:spacing w:after="0" w:line="294" w:lineRule="auto"/>
        <w:rPr>
          <w:sz w:val="20"/>
          <w:szCs w:val="20"/>
          <w:color w:val="auto"/>
        </w:rPr>
      </w:pPr>
      <w:r>
        <w:rPr>
          <w:rFonts w:ascii="Arial" w:cs="Arial" w:eastAsia="Arial" w:hAnsi="Arial"/>
          <w:sz w:val="16"/>
          <w:szCs w:val="16"/>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cable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252" w:lineRule="exact"/>
        <w:rPr>
          <w:sz w:val="20"/>
          <w:szCs w:val="20"/>
          <w:color w:val="auto"/>
        </w:rPr>
      </w:pPr>
    </w:p>
    <w:p>
      <w:pPr>
        <w:ind w:right="800" w:firstLine="432"/>
        <w:spacing w:after="0" w:line="268"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denominations of $1,000 principal amount and multiples thereof if:</w:t>
      </w:r>
    </w:p>
    <w:p>
      <w:pPr>
        <w:spacing w:after="0" w:line="186" w:lineRule="exact"/>
        <w:rPr>
          <w:sz w:val="20"/>
          <w:szCs w:val="20"/>
          <w:color w:val="auto"/>
        </w:rPr>
      </w:pPr>
    </w:p>
    <w:p>
      <w:pPr>
        <w:ind w:left="1040" w:right="440" w:hanging="451"/>
        <w:spacing w:after="0" w:line="268"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212" w:lineRule="exact"/>
        <w:rPr>
          <w:rFonts w:ascii="Arial" w:cs="Arial" w:eastAsia="Arial" w:hAnsi="Arial"/>
          <w:sz w:val="18"/>
          <w:szCs w:val="18"/>
          <w:color w:val="auto"/>
        </w:rPr>
      </w:pPr>
    </w:p>
    <w:p>
      <w:pPr>
        <w:ind w:left="1040" w:hanging="45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279" w:lineRule="exact"/>
        <w:rPr>
          <w:rFonts w:ascii="Arial" w:cs="Arial" w:eastAsia="Arial" w:hAnsi="Arial"/>
          <w:sz w:val="18"/>
          <w:szCs w:val="18"/>
          <w:color w:val="auto"/>
        </w:rPr>
      </w:pPr>
    </w:p>
    <w:p>
      <w:pPr>
        <w:ind w:left="1040" w:hanging="45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279"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Same-Day Payment</w:t>
      </w:r>
    </w:p>
    <w:p>
      <w:pPr>
        <w:spacing w:after="0" w:line="25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221"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58"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intend to offer the notes through the underwriters. J.P. Morgan Securities Inc., Merrill Lynch, Pierce, Fenner &amp; Smith Incorporated, Morgan Stanley &amp; Co. Incorporated, Banc of America Securities LLC, Salomon Smith Barney Inc., ABN AMRO Incorporated, Banc One Capital Markets, Inc., Barclays Capital Inc., BNP Paribas Securities Corp., BNY Capital Markets, Inc., Dresdner Kleinwort Wasserstein Securities LLC, Deutsche Bank Securities Inc., Fleet Securities, Inc., Goldman, Sachs &amp; Co., The Royal Bank of Scotland plc and Scotia Capital (USA) Inc. are acting as representatives of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38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80" w:type="dxa"/>
            <w:vAlign w:val="bottom"/>
            <w:gridSpan w:val="2"/>
          </w:tcPr>
          <w:p>
            <w:pPr>
              <w:ind w:left="1960"/>
              <w:spacing w:after="0"/>
              <w:rPr>
                <w:sz w:val="20"/>
                <w:szCs w:val="20"/>
                <w:color w:val="auto"/>
              </w:rPr>
            </w:pPr>
            <w:r>
              <w:rPr>
                <w:rFonts w:ascii="Arial" w:cs="Arial" w:eastAsia="Arial" w:hAnsi="Arial"/>
                <w:sz w:val="14"/>
                <w:szCs w:val="14"/>
                <w:b w:val="1"/>
                <w:bCs w:val="1"/>
                <w:color w:val="auto"/>
              </w:rPr>
              <w:t>Underwriter</w:t>
            </w:r>
          </w:p>
        </w:tc>
        <w:tc>
          <w:tcPr>
            <w:tcW w:w="15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Notes due 2011</w:t>
            </w: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0" w:type="dxa"/>
            <w:vAlign w:val="bottom"/>
            <w:gridSpan w:val="3"/>
          </w:tcPr>
          <w:p>
            <w:pPr>
              <w:ind w:left="560"/>
              <w:spacing w:after="0"/>
              <w:rPr>
                <w:sz w:val="20"/>
                <w:szCs w:val="20"/>
                <w:color w:val="auto"/>
              </w:rPr>
            </w:pPr>
            <w:r>
              <w:rPr>
                <w:rFonts w:ascii="Arial" w:cs="Arial" w:eastAsia="Arial" w:hAnsi="Arial"/>
                <w:sz w:val="14"/>
                <w:szCs w:val="14"/>
                <w:b w:val="1"/>
                <w:bCs w:val="1"/>
                <w:color w:val="auto"/>
              </w:rPr>
              <w:t>Notes due 2033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J.P. Morgan Securities Inc.</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$155,000,000</w:t>
            </w:r>
          </w:p>
        </w:tc>
        <w:tc>
          <w:tcPr>
            <w:tcW w:w="2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$155,000,000</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2"/>
          </w:tcPr>
          <w:p>
            <w:pPr>
              <w:ind w:left="120"/>
              <w:spacing w:after="0"/>
              <w:rPr>
                <w:sz w:val="20"/>
                <w:szCs w:val="20"/>
                <w:color w:val="auto"/>
              </w:rPr>
            </w:pPr>
            <w:r>
              <w:rPr>
                <w:rFonts w:ascii="Arial" w:cs="Arial" w:eastAsia="Arial" w:hAnsi="Arial"/>
                <w:sz w:val="18"/>
                <w:szCs w:val="18"/>
                <w:color w:val="auto"/>
              </w:rPr>
              <w:t>Incorporated</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155,000,000</w:t>
            </w:r>
          </w:p>
        </w:tc>
        <w:tc>
          <w:tcPr>
            <w:tcW w:w="2220" w:type="dxa"/>
            <w:vAlign w:val="bottom"/>
            <w:gridSpan w:val="4"/>
          </w:tcPr>
          <w:p>
            <w:pPr>
              <w:jc w:val="right"/>
              <w:spacing w:after="0"/>
              <w:rPr>
                <w:sz w:val="20"/>
                <w:szCs w:val="20"/>
                <w:color w:val="auto"/>
              </w:rPr>
            </w:pPr>
            <w:r>
              <w:rPr>
                <w:rFonts w:ascii="Arial" w:cs="Arial" w:eastAsia="Arial" w:hAnsi="Arial"/>
                <w:sz w:val="18"/>
                <w:szCs w:val="18"/>
                <w:color w:val="auto"/>
              </w:rPr>
              <w:t>155,000,000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Morgan Stanley &amp; Co. Incorporated</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155,000,000</w:t>
            </w:r>
          </w:p>
        </w:tc>
        <w:tc>
          <w:tcPr>
            <w:tcW w:w="2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155,000,000</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Banc of America Securities LLC</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60,000,000</w:t>
            </w:r>
          </w:p>
        </w:tc>
        <w:tc>
          <w:tcPr>
            <w:tcW w:w="2220" w:type="dxa"/>
            <w:vAlign w:val="bottom"/>
            <w:gridSpan w:val="4"/>
          </w:tcPr>
          <w:p>
            <w:pPr>
              <w:jc w:val="right"/>
              <w:spacing w:after="0"/>
              <w:rPr>
                <w:sz w:val="20"/>
                <w:szCs w:val="20"/>
                <w:color w:val="auto"/>
              </w:rPr>
            </w:pPr>
            <w:r>
              <w:rPr>
                <w:rFonts w:ascii="Arial" w:cs="Arial" w:eastAsia="Arial" w:hAnsi="Arial"/>
                <w:sz w:val="18"/>
                <w:szCs w:val="18"/>
                <w:color w:val="auto"/>
              </w:rPr>
              <w:t>60,000,000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Salomon Smith Barney Inc.</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60,000,000</w:t>
            </w:r>
          </w:p>
        </w:tc>
        <w:tc>
          <w:tcPr>
            <w:tcW w:w="2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60,000,000</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ABN AMRO Incorporated</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15,000,000</w:t>
            </w:r>
          </w:p>
        </w:tc>
        <w:tc>
          <w:tcPr>
            <w:tcW w:w="2220" w:type="dxa"/>
            <w:vAlign w:val="bottom"/>
            <w:gridSpan w:val="4"/>
          </w:tcPr>
          <w:p>
            <w:pPr>
              <w:jc w:val="right"/>
              <w:spacing w:after="0"/>
              <w:rPr>
                <w:sz w:val="20"/>
                <w:szCs w:val="20"/>
                <w:color w:val="auto"/>
              </w:rPr>
            </w:pPr>
            <w:r>
              <w:rPr>
                <w:rFonts w:ascii="Arial" w:cs="Arial" w:eastAsia="Arial" w:hAnsi="Arial"/>
                <w:sz w:val="18"/>
                <w:szCs w:val="18"/>
                <w:color w:val="auto"/>
              </w:rPr>
              <w:t>15,000,000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Banc One Capital Markets, Inc.</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15,000,000</w:t>
            </w:r>
          </w:p>
        </w:tc>
        <w:tc>
          <w:tcPr>
            <w:tcW w:w="2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15,000,000</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15,000,000</w:t>
            </w:r>
          </w:p>
        </w:tc>
        <w:tc>
          <w:tcPr>
            <w:tcW w:w="2220" w:type="dxa"/>
            <w:vAlign w:val="bottom"/>
            <w:gridSpan w:val="4"/>
          </w:tcPr>
          <w:p>
            <w:pPr>
              <w:jc w:val="right"/>
              <w:spacing w:after="0"/>
              <w:rPr>
                <w:sz w:val="20"/>
                <w:szCs w:val="20"/>
                <w:color w:val="auto"/>
              </w:rPr>
            </w:pPr>
            <w:r>
              <w:rPr>
                <w:rFonts w:ascii="Arial" w:cs="Arial" w:eastAsia="Arial" w:hAnsi="Arial"/>
                <w:sz w:val="18"/>
                <w:szCs w:val="18"/>
                <w:color w:val="auto"/>
              </w:rPr>
              <w:t>15,000,000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BNP Paribas Securities Corp.</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15,000,000</w:t>
            </w:r>
          </w:p>
        </w:tc>
        <w:tc>
          <w:tcPr>
            <w:tcW w:w="2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15,000,000</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BNY Capital Markets, Inc.</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15,000,000</w:t>
            </w:r>
          </w:p>
        </w:tc>
        <w:tc>
          <w:tcPr>
            <w:tcW w:w="2220" w:type="dxa"/>
            <w:vAlign w:val="bottom"/>
            <w:gridSpan w:val="4"/>
          </w:tcPr>
          <w:p>
            <w:pPr>
              <w:jc w:val="right"/>
              <w:spacing w:after="0"/>
              <w:rPr>
                <w:sz w:val="20"/>
                <w:szCs w:val="20"/>
                <w:color w:val="auto"/>
              </w:rPr>
            </w:pPr>
            <w:r>
              <w:rPr>
                <w:rFonts w:ascii="Arial" w:cs="Arial" w:eastAsia="Arial" w:hAnsi="Arial"/>
                <w:sz w:val="18"/>
                <w:szCs w:val="18"/>
                <w:color w:val="auto"/>
              </w:rPr>
              <w:t>15,000,000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Dresdner Kleinwort Wasserstein Securities LLC</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15,000,000</w:t>
            </w:r>
          </w:p>
        </w:tc>
        <w:tc>
          <w:tcPr>
            <w:tcW w:w="2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15,000,000</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15,000,000</w:t>
            </w:r>
          </w:p>
        </w:tc>
        <w:tc>
          <w:tcPr>
            <w:tcW w:w="2220" w:type="dxa"/>
            <w:vAlign w:val="bottom"/>
            <w:gridSpan w:val="4"/>
          </w:tcPr>
          <w:p>
            <w:pPr>
              <w:jc w:val="right"/>
              <w:spacing w:after="0"/>
              <w:rPr>
                <w:sz w:val="20"/>
                <w:szCs w:val="20"/>
                <w:color w:val="auto"/>
              </w:rPr>
            </w:pPr>
            <w:r>
              <w:rPr>
                <w:rFonts w:ascii="Arial" w:cs="Arial" w:eastAsia="Arial" w:hAnsi="Arial"/>
                <w:sz w:val="18"/>
                <w:szCs w:val="18"/>
                <w:color w:val="auto"/>
              </w:rPr>
              <w:t>15,000,000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Fleet Securities, Inc.</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15,000,000</w:t>
            </w:r>
          </w:p>
        </w:tc>
        <w:tc>
          <w:tcPr>
            <w:tcW w:w="2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15,000,000</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15,000,000</w:t>
            </w:r>
          </w:p>
        </w:tc>
        <w:tc>
          <w:tcPr>
            <w:tcW w:w="2220" w:type="dxa"/>
            <w:vAlign w:val="bottom"/>
            <w:gridSpan w:val="4"/>
          </w:tcPr>
          <w:p>
            <w:pPr>
              <w:jc w:val="right"/>
              <w:spacing w:after="0"/>
              <w:rPr>
                <w:sz w:val="20"/>
                <w:szCs w:val="20"/>
                <w:color w:val="auto"/>
              </w:rPr>
            </w:pPr>
            <w:r>
              <w:rPr>
                <w:rFonts w:ascii="Arial" w:cs="Arial" w:eastAsia="Arial" w:hAnsi="Arial"/>
                <w:sz w:val="18"/>
                <w:szCs w:val="18"/>
                <w:color w:val="auto"/>
              </w:rPr>
              <w:t>15,000,000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The Royal Bank of Scotland plc</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15,000,000</w:t>
            </w:r>
          </w:p>
        </w:tc>
        <w:tc>
          <w:tcPr>
            <w:tcW w:w="2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15,000,000</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Scotia Capital (USA) Inc.</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15,000,000</w:t>
            </w:r>
          </w:p>
        </w:tc>
        <w:tc>
          <w:tcPr>
            <w:tcW w:w="2220" w:type="dxa"/>
            <w:vAlign w:val="bottom"/>
            <w:gridSpan w:val="4"/>
          </w:tcPr>
          <w:p>
            <w:pPr>
              <w:jc w:val="right"/>
              <w:spacing w:after="0"/>
              <w:rPr>
                <w:sz w:val="20"/>
                <w:szCs w:val="20"/>
                <w:color w:val="auto"/>
              </w:rPr>
            </w:pPr>
            <w:r>
              <w:rPr>
                <w:rFonts w:ascii="Arial" w:cs="Arial" w:eastAsia="Arial" w:hAnsi="Arial"/>
                <w:sz w:val="18"/>
                <w:szCs w:val="18"/>
                <w:color w:val="auto"/>
              </w:rPr>
              <w:t>15,000,000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Total</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$750,000,000</w:t>
            </w:r>
          </w:p>
        </w:tc>
        <w:tc>
          <w:tcPr>
            <w:tcW w:w="2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$750,000,000</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purchase agreement may be terminated.</w:t>
      </w:r>
    </w:p>
    <w:p>
      <w:pPr>
        <w:spacing w:after="0" w:line="221" w:lineRule="exact"/>
        <w:rPr>
          <w:sz w:val="20"/>
          <w:szCs w:val="20"/>
          <w:color w:val="auto"/>
        </w:rPr>
      </w:pPr>
    </w:p>
    <w:p>
      <w:pPr>
        <w:ind w:right="100" w:firstLine="432"/>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213" w:lineRule="exact"/>
        <w:rPr>
          <w:sz w:val="20"/>
          <w:szCs w:val="20"/>
          <w:color w:val="auto"/>
        </w:rPr>
      </w:pPr>
    </w:p>
    <w:p>
      <w:pPr>
        <w:ind w:right="220" w:firstLine="432"/>
        <w:spacing w:after="0" w:line="335" w:lineRule="auto"/>
        <w:rPr>
          <w:sz w:val="20"/>
          <w:szCs w:val="20"/>
          <w:color w:val="auto"/>
        </w:rPr>
      </w:pPr>
      <w:r>
        <w:rPr>
          <w:rFonts w:ascii="Arial" w:cs="Arial" w:eastAsia="Arial" w:hAnsi="Arial"/>
          <w:sz w:val="15"/>
          <w:szCs w:val="15"/>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underwriters will reimburse us for a portion of our expenses.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58" w:lineRule="exact"/>
        <w:rPr>
          <w:sz w:val="20"/>
          <w:szCs w:val="20"/>
          <w:color w:val="auto"/>
        </w:rPr>
      </w:pPr>
    </w:p>
    <w:p>
      <w:pPr>
        <w:ind w:right="120" w:firstLine="432"/>
        <w:spacing w:after="0" w:line="268" w:lineRule="auto"/>
        <w:rPr>
          <w:sz w:val="20"/>
          <w:szCs w:val="20"/>
          <w:color w:val="auto"/>
        </w:rPr>
      </w:pPr>
      <w:r>
        <w:rPr>
          <w:rFonts w:ascii="Arial" w:cs="Arial" w:eastAsia="Arial" w:hAnsi="Arial"/>
          <w:sz w:val="18"/>
          <w:szCs w:val="18"/>
          <w:color w:val="auto"/>
        </w:rPr>
        <w:t>The underwriters have advised us that they propose initially to offer the notes to the public at the public offering price on the cover page of this prospectus supplement, and to dealers at that price less a</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 w:name="page15"/>
    <w:bookmarkEnd w:id="14"/>
    <w:p>
      <w:pPr>
        <w:ind w:right="40"/>
        <w:spacing w:after="0" w:line="256" w:lineRule="auto"/>
        <w:rPr>
          <w:sz w:val="20"/>
          <w:szCs w:val="20"/>
          <w:color w:val="auto"/>
        </w:rPr>
      </w:pPr>
      <w:r>
        <w:rPr>
          <w:rFonts w:ascii="Arial" w:cs="Arial" w:eastAsia="Arial" w:hAnsi="Arial"/>
          <w:sz w:val="18"/>
          <w:szCs w:val="18"/>
          <w:color w:val="auto"/>
        </w:rPr>
        <w:t>concession not in excess of 0.40% of the principal amount of the Notes due 2011 and not in excess of 0.40% of the principal amount of the Notes due 2033. The underwriters may allow, and the dealers may reallow, a discount not in excess of 0.25% of the principal amount of the Notes due 2011 and not in excess of 0.25% of the principal amount of the Notes due 2033 to other dealers. After the initial public offering, the public offering price, concession and discount may be changed.</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expenses of the offering, not including the underwriting discount, are estimated to be $150,000 and are payable by 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258" w:lineRule="exact"/>
        <w:rPr>
          <w:sz w:val="20"/>
          <w:szCs w:val="20"/>
          <w:color w:val="auto"/>
        </w:rPr>
      </w:pPr>
    </w:p>
    <w:p>
      <w:pPr>
        <w:ind w:firstLine="432"/>
        <w:spacing w:after="0" w:line="294" w:lineRule="auto"/>
        <w:rPr>
          <w:sz w:val="20"/>
          <w:szCs w:val="20"/>
          <w:color w:val="auto"/>
        </w:rPr>
      </w:pPr>
      <w:r>
        <w:rPr>
          <w:rFonts w:ascii="Arial" w:cs="Arial" w:eastAsia="Arial" w:hAnsi="Arial"/>
          <w:sz w:val="16"/>
          <w:szCs w:val="16"/>
          <w:color w:val="auto"/>
        </w:rPr>
        <w:t>The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 Regulations</w:t>
      </w:r>
    </w:p>
    <w:p>
      <w:pPr>
        <w:spacing w:after="0" w:line="258" w:lineRule="exact"/>
        <w:rPr>
          <w:sz w:val="20"/>
          <w:szCs w:val="20"/>
          <w:color w:val="auto"/>
        </w:rPr>
      </w:pPr>
    </w:p>
    <w:p>
      <w:pPr>
        <w:ind w:firstLine="432"/>
        <w:spacing w:after="0" w:line="294" w:lineRule="auto"/>
        <w:rPr>
          <w:sz w:val="20"/>
          <w:szCs w:val="20"/>
          <w:color w:val="auto"/>
        </w:rPr>
      </w:pPr>
      <w:r>
        <w:rPr>
          <w:rFonts w:ascii="Arial" w:cs="Arial" w:eastAsia="Arial" w:hAnsi="Arial"/>
          <w:sz w:val="16"/>
          <w:szCs w:val="16"/>
          <w:color w:val="auto"/>
        </w:rPr>
        <w:t>As described under “Use of Proceeds” in this prospectus supplement, a portion of the proceeds from this offering will be used to repay a portion of the amounts outstanding under the New Credit Facility. The lenders under the New Credit Facility include NASD members or their affiliates. Because more than ten percent of the net proceeds of the offering may be paid to members or affiliates of members of the National Association of Securities Dealers, Inc. participating in the offering, the offering will be conducted in accordance with NASD Conduct Rule 2710(c)(8). Because the notes are investment-grade rated by one or more nationally recognized statistical rating agencies, however, compliance with the NASD’s rule only requires the disclosure set forth in this paragraph.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25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in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w:t>
      </w:r>
    </w:p>
    <w:p>
      <w:pPr>
        <w:spacing w:after="0" w:line="224" w:lineRule="exact"/>
        <w:rPr>
          <w:sz w:val="20"/>
          <w:szCs w:val="20"/>
          <w:color w:val="auto"/>
        </w:rPr>
      </w:pPr>
    </w:p>
    <w:p>
      <w:pPr>
        <w:jc w:val="both"/>
        <w:ind w:right="100" w:firstLine="432"/>
        <w:spacing w:after="0" w:line="306" w:lineRule="auto"/>
        <w:rPr>
          <w:sz w:val="20"/>
          <w:szCs w:val="20"/>
          <w:color w:val="auto"/>
        </w:rPr>
      </w:pPr>
      <w:r>
        <w:rPr>
          <w:rFonts w:ascii="Arial" w:cs="Arial" w:eastAsia="Arial" w:hAnsi="Arial"/>
          <w:sz w:val="16"/>
          <w:szCs w:val="16"/>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58" w:lineRule="exact"/>
        <w:rPr>
          <w:sz w:val="20"/>
          <w:szCs w:val="20"/>
          <w:color w:val="auto"/>
        </w:rPr>
      </w:pPr>
    </w:p>
    <w:p>
      <w:pPr>
        <w:ind w:right="200" w:firstLine="432"/>
        <w:spacing w:after="0" w:line="268" w:lineRule="auto"/>
        <w:rPr>
          <w:sz w:val="20"/>
          <w:szCs w:val="20"/>
          <w:color w:val="auto"/>
        </w:rPr>
      </w:pPr>
      <w:r>
        <w:rPr>
          <w:rFonts w:ascii="Arial" w:cs="Arial" w:eastAsia="Arial" w:hAnsi="Arial"/>
          <w:sz w:val="18"/>
          <w:szCs w:val="18"/>
          <w:color w:val="auto"/>
        </w:rPr>
        <w:t>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5" w:name="page16"/>
    <w:bookmarkEnd w:id="15"/>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58" w:lineRule="exact"/>
        <w:rPr>
          <w:sz w:val="20"/>
          <w:szCs w:val="20"/>
          <w:color w:val="auto"/>
        </w:rPr>
      </w:pPr>
    </w:p>
    <w:p>
      <w:pPr>
        <w:ind w:firstLine="432"/>
        <w:spacing w:after="0" w:line="332" w:lineRule="auto"/>
        <w:rPr>
          <w:sz w:val="20"/>
          <w:szCs w:val="20"/>
          <w:color w:val="auto"/>
        </w:rPr>
      </w:pPr>
      <w:r>
        <w:rPr>
          <w:rFonts w:ascii="Arial" w:cs="Arial" w:eastAsia="Arial" w:hAnsi="Arial"/>
          <w:sz w:val="16"/>
          <w:szCs w:val="16"/>
          <w:color w:val="auto"/>
        </w:rPr>
        <w:t>Various legal matters relating to the offering will be passed upon for us by Arthur R. Block, Esquire, Senior Vice President and General Counsel of Comcast Corporation and by Davis Polk &amp; Wardwell, Menlo Park, California. Cahill Gordon &amp; Reindel, New York, New York, is representing the underwriters.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$10,000,000,000</w:t>
      </w:r>
    </w:p>
    <w:p>
      <w:pPr>
        <w:spacing w:after="0" w:line="209" w:lineRule="exact"/>
        <w:rPr>
          <w:sz w:val="20"/>
          <w:szCs w:val="20"/>
          <w:color w:val="auto"/>
        </w:rPr>
      </w:pPr>
    </w:p>
    <w:p>
      <w:pPr>
        <w:ind w:left="4580"/>
        <w:spacing w:after="0"/>
        <w:rPr>
          <w:sz w:val="20"/>
          <w:szCs w:val="20"/>
          <w:color w:val="auto"/>
        </w:rPr>
      </w:pPr>
      <w:r>
        <w:rPr>
          <w:rFonts w:ascii="Arial" w:cs="Arial" w:eastAsia="Arial" w:hAnsi="Arial"/>
          <w:sz w:val="43"/>
          <w:szCs w:val="43"/>
          <w:b w:val="1"/>
          <w:bCs w:val="1"/>
          <w:color w:val="auto"/>
        </w:rPr>
        <w:t>Comcast Corporation</w:t>
      </w:r>
    </w:p>
    <w:p>
      <w:pPr>
        <w:spacing w:after="0" w:line="28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1500 Market Street</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Philadelphia, Pennsylvania 19102-2148</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(215) 665-1700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types of securities that we may offer and sell under this prospectus: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00" w:type="dxa"/>
            <w:vAlign w:val="bottom"/>
          </w:tcPr>
          <w:p>
            <w:pPr>
              <w:ind w:left="140"/>
              <w:spacing w:after="0"/>
              <w:rPr>
                <w:sz w:val="20"/>
                <w:szCs w:val="20"/>
                <w:color w:val="auto"/>
              </w:rPr>
            </w:pPr>
            <w:r>
              <w:rPr>
                <w:rFonts w:ascii="Arial" w:cs="Arial" w:eastAsia="Arial" w:hAnsi="Arial"/>
                <w:sz w:val="18"/>
                <w:szCs w:val="18"/>
                <w:color w:val="auto"/>
              </w:rPr>
              <w:t>Unsecured senior debt securities</w:t>
            </w:r>
          </w:p>
        </w:tc>
        <w:tc>
          <w:tcPr>
            <w:tcW w:w="1520" w:type="dxa"/>
            <w:vAlign w:val="bottom"/>
          </w:tcPr>
          <w:p>
            <w:pPr>
              <w:ind w:left="1320"/>
              <w:spacing w:after="0"/>
              <w:rPr>
                <w:sz w:val="20"/>
                <w:szCs w:val="20"/>
                <w:color w:val="auto"/>
              </w:rPr>
            </w:pPr>
            <w:r>
              <w:rPr>
                <w:rFonts w:ascii="Arial" w:cs="Arial" w:eastAsia="Arial" w:hAnsi="Arial"/>
                <w:sz w:val="18"/>
                <w:szCs w:val="18"/>
                <w:color w:val="auto"/>
              </w:rPr>
              <w:t>•</w:t>
            </w:r>
          </w:p>
        </w:tc>
        <w:tc>
          <w:tcPr>
            <w:tcW w:w="2360" w:type="dxa"/>
            <w:vAlign w:val="bottom"/>
          </w:tcPr>
          <w:p>
            <w:pPr>
              <w:ind w:left="120"/>
              <w:spacing w:after="0"/>
              <w:rPr>
                <w:sz w:val="20"/>
                <w:szCs w:val="20"/>
                <w:color w:val="auto"/>
              </w:rPr>
            </w:pPr>
            <w:r>
              <w:rPr>
                <w:rFonts w:ascii="Arial" w:cs="Arial" w:eastAsia="Arial" w:hAnsi="Arial"/>
                <w:sz w:val="18"/>
                <w:szCs w:val="18"/>
                <w:color w:val="auto"/>
              </w:rPr>
              <w:t>Preferred Stock</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00" w:type="dxa"/>
            <w:vAlign w:val="bottom"/>
          </w:tcPr>
          <w:p>
            <w:pPr>
              <w:ind w:left="140"/>
              <w:spacing w:after="0"/>
              <w:rPr>
                <w:sz w:val="20"/>
                <w:szCs w:val="20"/>
                <w:color w:val="auto"/>
              </w:rPr>
            </w:pPr>
            <w:r>
              <w:rPr>
                <w:rFonts w:ascii="Arial" w:cs="Arial" w:eastAsia="Arial" w:hAnsi="Arial"/>
                <w:sz w:val="18"/>
                <w:szCs w:val="18"/>
                <w:color w:val="auto"/>
              </w:rPr>
              <w:t>Unsecured subordinated debt securities</w:t>
            </w:r>
          </w:p>
        </w:tc>
        <w:tc>
          <w:tcPr>
            <w:tcW w:w="1520" w:type="dxa"/>
            <w:vAlign w:val="bottom"/>
          </w:tcPr>
          <w:p>
            <w:pPr>
              <w:ind w:left="1320"/>
              <w:spacing w:after="0"/>
              <w:rPr>
                <w:sz w:val="20"/>
                <w:szCs w:val="20"/>
                <w:color w:val="auto"/>
              </w:rPr>
            </w:pPr>
            <w:r>
              <w:rPr>
                <w:rFonts w:ascii="Arial" w:cs="Arial" w:eastAsia="Arial" w:hAnsi="Arial"/>
                <w:sz w:val="18"/>
                <w:szCs w:val="18"/>
                <w:color w:val="auto"/>
              </w:rPr>
              <w:t>•</w:t>
            </w:r>
          </w:p>
        </w:tc>
        <w:tc>
          <w:tcPr>
            <w:tcW w:w="2360" w:type="dxa"/>
            <w:vAlign w:val="bottom"/>
          </w:tcPr>
          <w:p>
            <w:pPr>
              <w:ind w:left="120"/>
              <w:spacing w:after="0"/>
              <w:rPr>
                <w:sz w:val="20"/>
                <w:szCs w:val="20"/>
                <w:color w:val="auto"/>
              </w:rPr>
            </w:pPr>
            <w:r>
              <w:rPr>
                <w:rFonts w:ascii="Arial" w:cs="Arial" w:eastAsia="Arial" w:hAnsi="Arial"/>
                <w:sz w:val="18"/>
                <w:szCs w:val="18"/>
                <w:color w:val="auto"/>
              </w:rPr>
              <w:t>Depositary shares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00" w:type="dxa"/>
            <w:vAlign w:val="bottom"/>
          </w:tcPr>
          <w:p>
            <w:pPr>
              <w:ind w:left="120"/>
              <w:spacing w:after="0"/>
              <w:rPr>
                <w:sz w:val="20"/>
                <w:szCs w:val="20"/>
                <w:color w:val="auto"/>
              </w:rPr>
            </w:pPr>
            <w:r>
              <w:rPr>
                <w:rFonts w:ascii="Arial" w:cs="Arial" w:eastAsia="Arial" w:hAnsi="Arial"/>
                <w:sz w:val="18"/>
                <w:szCs w:val="18"/>
                <w:color w:val="auto"/>
              </w:rPr>
              <w:t>Warrants</w:t>
            </w:r>
          </w:p>
        </w:tc>
        <w:tc>
          <w:tcPr>
            <w:tcW w:w="1520" w:type="dxa"/>
            <w:vAlign w:val="bottom"/>
          </w:tcPr>
          <w:p>
            <w:pPr>
              <w:ind w:left="1320"/>
              <w:spacing w:after="0"/>
              <w:rPr>
                <w:sz w:val="20"/>
                <w:szCs w:val="20"/>
                <w:color w:val="auto"/>
              </w:rPr>
            </w:pPr>
            <w:r>
              <w:rPr>
                <w:rFonts w:ascii="Arial" w:cs="Arial" w:eastAsia="Arial" w:hAnsi="Arial"/>
                <w:sz w:val="18"/>
                <w:szCs w:val="18"/>
                <w:color w:val="auto"/>
              </w:rPr>
              <w:t>•</w:t>
            </w:r>
          </w:p>
        </w:tc>
        <w:tc>
          <w:tcPr>
            <w:tcW w:w="2360" w:type="dxa"/>
            <w:vAlign w:val="bottom"/>
          </w:tcPr>
          <w:p>
            <w:pPr>
              <w:ind w:left="120"/>
              <w:spacing w:after="0"/>
              <w:rPr>
                <w:sz w:val="20"/>
                <w:szCs w:val="20"/>
                <w:color w:val="auto"/>
              </w:rPr>
            </w:pPr>
            <w:r>
              <w:rPr>
                <w:rFonts w:ascii="Arial" w:cs="Arial" w:eastAsia="Arial" w:hAnsi="Arial"/>
                <w:sz w:val="18"/>
                <w:szCs w:val="18"/>
                <w:color w:val="auto"/>
              </w:rPr>
              <w:t>Class A Common Stock</w:t>
            </w:r>
          </w:p>
        </w:tc>
      </w:t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200" w:type="dxa"/>
            <w:vAlign w:val="bottom"/>
          </w:tcPr>
          <w:p>
            <w:pPr>
              <w:ind w:left="140"/>
              <w:spacing w:after="0"/>
              <w:rPr>
                <w:sz w:val="20"/>
                <w:szCs w:val="20"/>
                <w:color w:val="auto"/>
              </w:rPr>
            </w:pPr>
            <w:r>
              <w:rPr>
                <w:rFonts w:ascii="Arial" w:cs="Arial" w:eastAsia="Arial" w:hAnsi="Arial"/>
                <w:sz w:val="18"/>
                <w:szCs w:val="18"/>
                <w:color w:val="auto"/>
              </w:rPr>
              <w:t>Purchase contracts</w:t>
            </w:r>
          </w:p>
        </w:tc>
        <w:tc>
          <w:tcPr>
            <w:tcW w:w="1520" w:type="dxa"/>
            <w:vAlign w:val="bottom"/>
          </w:tcPr>
          <w:p>
            <w:pPr>
              <w:ind w:left="1320"/>
              <w:spacing w:after="0"/>
              <w:rPr>
                <w:sz w:val="20"/>
                <w:szCs w:val="20"/>
                <w:color w:val="auto"/>
              </w:rPr>
            </w:pPr>
            <w:r>
              <w:rPr>
                <w:rFonts w:ascii="Arial" w:cs="Arial" w:eastAsia="Arial" w:hAnsi="Arial"/>
                <w:sz w:val="18"/>
                <w:szCs w:val="18"/>
                <w:color w:val="auto"/>
              </w:rPr>
              <w:t>•</w:t>
            </w:r>
          </w:p>
        </w:tc>
        <w:tc>
          <w:tcPr>
            <w:tcW w:w="2360" w:type="dxa"/>
            <w:vAlign w:val="bottom"/>
          </w:tcPr>
          <w:p>
            <w:pPr>
              <w:ind w:left="120"/>
              <w:spacing w:after="0"/>
              <w:rPr>
                <w:sz w:val="20"/>
                <w:szCs w:val="20"/>
                <w:color w:val="auto"/>
              </w:rPr>
            </w:pPr>
            <w:r>
              <w:rPr>
                <w:rFonts w:ascii="Arial" w:cs="Arial" w:eastAsia="Arial" w:hAnsi="Arial"/>
                <w:sz w:val="18"/>
                <w:szCs w:val="18"/>
                <w:color w:val="auto"/>
                <w:w w:val="87"/>
              </w:rPr>
              <w:t>Class A Special Common Stock</w:t>
            </w:r>
          </w:p>
        </w:tc>
      </w:tr>
    </w:tbl>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Units</w:t>
      </w:r>
    </w:p>
    <w:p>
      <w:pPr>
        <w:spacing w:after="0" w:line="219" w:lineRule="exact"/>
        <w:rPr>
          <w:sz w:val="20"/>
          <w:szCs w:val="20"/>
          <w:color w:val="auto"/>
        </w:rPr>
      </w:pPr>
    </w:p>
    <w:p>
      <w:pPr>
        <w:ind w:right="400" w:firstLine="439"/>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wholly-owned cable subsidiaries named in this prospectus.</w:t>
      </w:r>
    </w:p>
    <w:p>
      <w:pPr>
        <w:spacing w:after="0" w:line="186" w:lineRule="exact"/>
        <w:rPr>
          <w:sz w:val="20"/>
          <w:szCs w:val="20"/>
          <w:color w:val="auto"/>
        </w:rPr>
      </w:pPr>
    </w:p>
    <w:p>
      <w:pPr>
        <w:ind w:right="140" w:firstLine="439"/>
        <w:spacing w:after="0" w:line="259" w:lineRule="auto"/>
        <w:rPr>
          <w:sz w:val="20"/>
          <w:szCs w:val="20"/>
          <w:color w:val="auto"/>
        </w:rPr>
      </w:pPr>
      <w:r>
        <w:rPr>
          <w:rFonts w:ascii="Arial" w:cs="Arial" w:eastAsia="Arial" w:hAnsi="Arial"/>
          <w:sz w:val="18"/>
          <w:szCs w:val="18"/>
          <w:color w:val="auto"/>
        </w:rPr>
        <w:t>Our Class A Special Common Stock and Class A Common Stock are quoted on The Nasdaq National Market System under the ticker symbols “CMCSK” and “CMCSA”. On December 13, 2002, the reported last sale prices on The Nasdaq National Market System for our Class A Special Common Stock and our Class A Common Stock were $22.04 and $22.84.</w:t>
      </w:r>
    </w:p>
    <w:p>
      <w:pPr>
        <w:spacing w:after="0" w:line="194" w:lineRule="exact"/>
        <w:rPr>
          <w:sz w:val="20"/>
          <w:szCs w:val="20"/>
          <w:color w:val="auto"/>
        </w:rPr>
      </w:pPr>
    </w:p>
    <w:p>
      <w:pPr>
        <w:ind w:firstLine="43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40"/>
              <w:spacing w:after="0"/>
              <w:rPr>
                <w:sz w:val="20"/>
                <w:szCs w:val="20"/>
                <w:color w:val="auto"/>
              </w:rPr>
            </w:pPr>
            <w:r>
              <w:rPr>
                <w:rFonts w:ascii="Arial" w:cs="Arial" w:eastAsia="Arial" w:hAnsi="Arial"/>
                <w:sz w:val="18"/>
                <w:szCs w:val="18"/>
                <w:color w:val="auto"/>
              </w:rPr>
              <w:t>Maturity</w:t>
            </w:r>
          </w:p>
        </w:tc>
        <w:tc>
          <w:tcPr>
            <w:tcW w:w="1160" w:type="dxa"/>
            <w:vAlign w:val="bottom"/>
          </w:tcPr>
          <w:p>
            <w:pPr>
              <w:ind w:left="960"/>
              <w:spacing w:after="0"/>
              <w:rPr>
                <w:sz w:val="20"/>
                <w:szCs w:val="20"/>
                <w:color w:val="auto"/>
              </w:rPr>
            </w:pPr>
            <w:r>
              <w:rPr>
                <w:rFonts w:ascii="Arial" w:cs="Arial" w:eastAsia="Arial" w:hAnsi="Arial"/>
                <w:sz w:val="18"/>
                <w:szCs w:val="18"/>
                <w:color w:val="auto"/>
              </w:rPr>
              <w:t>•</w:t>
            </w:r>
          </w:p>
        </w:tc>
        <w:tc>
          <w:tcPr>
            <w:tcW w:w="3000" w:type="dxa"/>
            <w:vAlign w:val="bottom"/>
          </w:tcPr>
          <w:p>
            <w:pPr>
              <w:ind w:left="120"/>
              <w:spacing w:after="0"/>
              <w:rPr>
                <w:sz w:val="20"/>
                <w:szCs w:val="20"/>
                <w:color w:val="auto"/>
              </w:rPr>
            </w:pPr>
            <w:r>
              <w:rPr>
                <w:rFonts w:ascii="Arial" w:cs="Arial" w:eastAsia="Arial" w:hAnsi="Arial"/>
                <w:sz w:val="18"/>
                <w:szCs w:val="18"/>
                <w:color w:val="auto"/>
              </w:rPr>
              <w:t>Dividends</w:t>
            </w:r>
          </w:p>
        </w:tc>
        <w:tc>
          <w:tcPr>
            <w:tcW w:w="3040" w:type="dxa"/>
            <w:vAlign w:val="bottom"/>
            <w:gridSpan w:val="2"/>
          </w:tcPr>
          <w:p>
            <w:pPr>
              <w:ind w:left="620"/>
              <w:spacing w:after="0"/>
              <w:rPr>
                <w:sz w:val="20"/>
                <w:szCs w:val="20"/>
                <w:color w:val="auto"/>
              </w:rPr>
            </w:pPr>
            <w:r>
              <w:rPr>
                <w:rFonts w:ascii="Arial" w:cs="Arial" w:eastAsia="Arial" w:hAnsi="Arial"/>
                <w:sz w:val="18"/>
                <w:szCs w:val="18"/>
                <w:color w:val="auto"/>
                <w:w w:val="90"/>
              </w:rPr>
              <w:t>•   Conversion or exchange rights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40"/>
              <w:spacing w:after="0"/>
              <w:rPr>
                <w:sz w:val="20"/>
                <w:szCs w:val="20"/>
                <w:color w:val="auto"/>
              </w:rPr>
            </w:pPr>
            <w:r>
              <w:rPr>
                <w:rFonts w:ascii="Arial" w:cs="Arial" w:eastAsia="Arial" w:hAnsi="Arial"/>
                <w:sz w:val="18"/>
                <w:szCs w:val="18"/>
                <w:color w:val="auto"/>
              </w:rPr>
              <w:t>Interest rate</w:t>
            </w:r>
          </w:p>
        </w:tc>
        <w:tc>
          <w:tcPr>
            <w:tcW w:w="1160" w:type="dxa"/>
            <w:vAlign w:val="bottom"/>
          </w:tcPr>
          <w:p>
            <w:pPr>
              <w:ind w:left="960"/>
              <w:spacing w:after="0"/>
              <w:rPr>
                <w:sz w:val="20"/>
                <w:szCs w:val="20"/>
                <w:color w:val="auto"/>
              </w:rPr>
            </w:pPr>
            <w:r>
              <w:rPr>
                <w:rFonts w:ascii="Arial" w:cs="Arial" w:eastAsia="Arial" w:hAnsi="Arial"/>
                <w:sz w:val="18"/>
                <w:szCs w:val="18"/>
                <w:color w:val="auto"/>
              </w:rPr>
              <w:t>•</w:t>
            </w:r>
          </w:p>
        </w:tc>
        <w:tc>
          <w:tcPr>
            <w:tcW w:w="3000" w:type="dxa"/>
            <w:vAlign w:val="bottom"/>
          </w:tcPr>
          <w:p>
            <w:pPr>
              <w:ind w:left="120"/>
              <w:spacing w:after="0"/>
              <w:rPr>
                <w:sz w:val="20"/>
                <w:szCs w:val="20"/>
                <w:color w:val="auto"/>
              </w:rPr>
            </w:pPr>
            <w:r>
              <w:rPr>
                <w:rFonts w:ascii="Arial" w:cs="Arial" w:eastAsia="Arial" w:hAnsi="Arial"/>
                <w:sz w:val="18"/>
                <w:szCs w:val="18"/>
                <w:color w:val="auto"/>
              </w:rPr>
              <w:t>Redemption terms</w:t>
            </w:r>
          </w:p>
        </w:tc>
        <w:tc>
          <w:tcPr>
            <w:tcW w:w="800" w:type="dxa"/>
            <w:vAlign w:val="bottom"/>
          </w:tcPr>
          <w:p>
            <w:pPr>
              <w:ind w:left="620"/>
              <w:spacing w:after="0"/>
              <w:rPr>
                <w:sz w:val="20"/>
                <w:szCs w:val="20"/>
                <w:color w:val="auto"/>
              </w:rPr>
            </w:pPr>
            <w:r>
              <w:rPr>
                <w:rFonts w:ascii="Arial" w:cs="Arial" w:eastAsia="Arial" w:hAnsi="Arial"/>
                <w:sz w:val="18"/>
                <w:szCs w:val="18"/>
                <w:color w:val="auto"/>
              </w:rPr>
              <w:t>•</w:t>
            </w:r>
          </w:p>
        </w:tc>
        <w:tc>
          <w:tcPr>
            <w:tcW w:w="2240" w:type="dxa"/>
            <w:vAlign w:val="bottom"/>
          </w:tcPr>
          <w:p>
            <w:pPr>
              <w:ind w:left="140"/>
              <w:spacing w:after="0"/>
              <w:rPr>
                <w:sz w:val="20"/>
                <w:szCs w:val="20"/>
                <w:color w:val="auto"/>
              </w:rPr>
            </w:pPr>
            <w:r>
              <w:rPr>
                <w:rFonts w:ascii="Arial" w:cs="Arial" w:eastAsia="Arial" w:hAnsi="Arial"/>
                <w:sz w:val="18"/>
                <w:szCs w:val="18"/>
                <w:color w:val="auto"/>
              </w:rPr>
              <w:t>Liquidation amount</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40"/>
              <w:spacing w:after="0"/>
              <w:rPr>
                <w:sz w:val="20"/>
                <w:szCs w:val="20"/>
                <w:color w:val="auto"/>
              </w:rPr>
            </w:pPr>
            <w:r>
              <w:rPr>
                <w:rFonts w:ascii="Arial" w:cs="Arial" w:eastAsia="Arial" w:hAnsi="Arial"/>
                <w:sz w:val="18"/>
                <w:szCs w:val="18"/>
                <w:color w:val="auto"/>
              </w:rPr>
              <w:t>Sinking fund terms</w:t>
            </w:r>
          </w:p>
        </w:tc>
        <w:tc>
          <w:tcPr>
            <w:tcW w:w="1160" w:type="dxa"/>
            <w:vAlign w:val="bottom"/>
          </w:tcPr>
          <w:p>
            <w:pPr>
              <w:ind w:left="960"/>
              <w:spacing w:after="0"/>
              <w:rPr>
                <w:sz w:val="20"/>
                <w:szCs w:val="20"/>
                <w:color w:val="auto"/>
              </w:rPr>
            </w:pPr>
            <w:r>
              <w:rPr>
                <w:rFonts w:ascii="Arial" w:cs="Arial" w:eastAsia="Arial" w:hAnsi="Arial"/>
                <w:sz w:val="18"/>
                <w:szCs w:val="18"/>
                <w:color w:val="auto"/>
              </w:rPr>
              <w:t>•</w:t>
            </w:r>
          </w:p>
        </w:tc>
        <w:tc>
          <w:tcPr>
            <w:tcW w:w="3000" w:type="dxa"/>
            <w:vAlign w:val="bottom"/>
          </w:tcPr>
          <w:p>
            <w:pPr>
              <w:ind w:left="120"/>
              <w:spacing w:after="0"/>
              <w:rPr>
                <w:sz w:val="20"/>
                <w:szCs w:val="20"/>
                <w:color w:val="auto"/>
              </w:rPr>
            </w:pPr>
            <w:r>
              <w:rPr>
                <w:rFonts w:ascii="Arial" w:cs="Arial" w:eastAsia="Arial" w:hAnsi="Arial"/>
                <w:sz w:val="18"/>
                <w:szCs w:val="18"/>
                <w:color w:val="auto"/>
              </w:rPr>
              <w:t>Listing on a securities exchange</w:t>
            </w:r>
          </w:p>
        </w:tc>
        <w:tc>
          <w:tcPr>
            <w:tcW w:w="800" w:type="dxa"/>
            <w:vAlign w:val="bottom"/>
          </w:tcPr>
          <w:p>
            <w:pPr>
              <w:ind w:left="620"/>
              <w:spacing w:after="0"/>
              <w:rPr>
                <w:sz w:val="20"/>
                <w:szCs w:val="20"/>
                <w:color w:val="auto"/>
              </w:rPr>
            </w:pPr>
            <w:r>
              <w:rPr>
                <w:rFonts w:ascii="Arial" w:cs="Arial" w:eastAsia="Arial" w:hAnsi="Arial"/>
                <w:sz w:val="18"/>
                <w:szCs w:val="18"/>
                <w:color w:val="auto"/>
              </w:rPr>
              <w:t>•</w:t>
            </w:r>
          </w:p>
        </w:tc>
        <w:tc>
          <w:tcPr>
            <w:tcW w:w="2240" w:type="dxa"/>
            <w:vAlign w:val="bottom"/>
          </w:tcPr>
          <w:p>
            <w:pPr>
              <w:ind w:left="140"/>
              <w:spacing w:after="0"/>
              <w:rPr>
                <w:sz w:val="20"/>
                <w:szCs w:val="20"/>
                <w:color w:val="auto"/>
              </w:rPr>
            </w:pPr>
            <w:r>
              <w:rPr>
                <w:rFonts w:ascii="Arial" w:cs="Arial" w:eastAsia="Arial" w:hAnsi="Arial"/>
                <w:sz w:val="18"/>
                <w:szCs w:val="18"/>
                <w:color w:val="auto"/>
              </w:rPr>
              <w:t>Subsidiary guarantees</w:t>
            </w:r>
          </w:p>
        </w:tc>
      </w:t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40"/>
              <w:spacing w:after="0"/>
              <w:rPr>
                <w:sz w:val="20"/>
                <w:szCs w:val="20"/>
                <w:color w:val="auto"/>
              </w:rPr>
            </w:pPr>
            <w:r>
              <w:rPr>
                <w:rFonts w:ascii="Arial" w:cs="Arial" w:eastAsia="Arial" w:hAnsi="Arial"/>
                <w:sz w:val="18"/>
                <w:szCs w:val="18"/>
                <w:color w:val="auto"/>
              </w:rPr>
              <w:t>Currency of payments</w:t>
            </w:r>
          </w:p>
        </w:tc>
        <w:tc>
          <w:tcPr>
            <w:tcW w:w="4160" w:type="dxa"/>
            <w:vAlign w:val="bottom"/>
            <w:gridSpan w:val="2"/>
          </w:tcPr>
          <w:p>
            <w:pPr>
              <w:ind w:left="960"/>
              <w:spacing w:after="0"/>
              <w:rPr>
                <w:sz w:val="20"/>
                <w:szCs w:val="20"/>
                <w:color w:val="auto"/>
              </w:rPr>
            </w:pPr>
            <w:r>
              <w:rPr>
                <w:rFonts w:ascii="Arial" w:cs="Arial" w:eastAsia="Arial" w:hAnsi="Arial"/>
                <w:sz w:val="18"/>
                <w:szCs w:val="18"/>
                <w:color w:val="auto"/>
              </w:rPr>
              <w:t>•   Amount payable at maturity</w:t>
            </w:r>
          </w:p>
        </w:tc>
        <w:tc>
          <w:tcPr>
            <w:tcW w:w="800" w:type="dxa"/>
            <w:vAlign w:val="bottom"/>
          </w:tcPr>
          <w:p>
            <w:pPr>
              <w:spacing w:after="0"/>
              <w:rPr>
                <w:sz w:val="19"/>
                <w:szCs w:val="19"/>
                <w:color w:val="auto"/>
              </w:rPr>
            </w:pPr>
          </w:p>
        </w:tc>
        <w:tc>
          <w:tcPr>
            <w:tcW w:w="22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63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Investing in the securities involves risks that are described under the caption “Risk Factors” beginning on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60" w:firstLine="439"/>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0" w:lineRule="exact"/>
        <w:rPr>
          <w:sz w:val="20"/>
          <w:szCs w:val="20"/>
          <w:color w:val="auto"/>
        </w:rPr>
      </w:pPr>
    </w:p>
    <w:p>
      <w:pPr>
        <w:ind w:right="60" w:firstLine="43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23,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6"/>
          <w:szCs w:val="16"/>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41" w:right="1440" w:bottom="1440" w:gutter="0" w:footer="0" w:header="0"/>
        </w:sectPr>
      </w:pPr>
    </w:p>
    <w:bookmarkStart w:id="18" w:name="page19"/>
    <w:bookmarkEnd w:id="18"/>
    <w:p>
      <w:pPr>
        <w:jc w:val="center"/>
        <w:ind w:right="-27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Summary</w:t>
            </w:r>
          </w:p>
        </w:tc>
        <w:tc>
          <w:tcPr>
            <w:tcW w:w="4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Risk Factors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Special Note Regarding Forward-Looking Statements</w:t>
            </w:r>
          </w:p>
        </w:tc>
        <w:tc>
          <w:tcPr>
            <w:tcW w:w="4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Use of Proceeds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Dividend Policy</w:t>
            </w:r>
          </w:p>
        </w:tc>
        <w:tc>
          <w:tcPr>
            <w:tcW w:w="4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Ratios of Earnings to Fixed Charges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Pro Forma Ratio of Earnings to Fixed Charges</w:t>
            </w:r>
          </w:p>
        </w:tc>
        <w:tc>
          <w:tcPr>
            <w:tcW w:w="4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Dividends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w w:val="96"/>
              </w:rPr>
              <w:t>Description of the Senior Debt Securities, Subordinated Debt Securities and Cable</w:t>
            </w:r>
          </w:p>
        </w:tc>
        <w:tc>
          <w:tcPr>
            <w:tcW w:w="4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Guarantees</w:t>
            </w:r>
          </w:p>
        </w:tc>
        <w:tc>
          <w:tcPr>
            <w:tcW w:w="4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Description of Warrants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Description of Purchase Contracts</w:t>
            </w:r>
          </w:p>
        </w:tc>
        <w:tc>
          <w:tcPr>
            <w:tcW w:w="4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Description of Units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Global Securities</w:t>
            </w:r>
          </w:p>
        </w:tc>
        <w:tc>
          <w:tcPr>
            <w:tcW w:w="4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Description of Preferred Stock</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Description of Depositary Shares</w:t>
            </w:r>
          </w:p>
        </w:tc>
        <w:tc>
          <w:tcPr>
            <w:tcW w:w="4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Description of Common Stock</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Description of Shareholder Rights Plan</w:t>
            </w:r>
          </w:p>
        </w:tc>
        <w:tc>
          <w:tcPr>
            <w:tcW w:w="4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Description of AT&amp;T Comcast Transaction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Plan of Distribution</w:t>
            </w:r>
          </w:p>
        </w:tc>
        <w:tc>
          <w:tcPr>
            <w:tcW w:w="4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Legal Matters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Experts</w:t>
            </w:r>
          </w:p>
        </w:tc>
        <w:tc>
          <w:tcPr>
            <w:tcW w:w="4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Available Information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Incorporation of Certain Documents by Reference</w:t>
            </w:r>
          </w:p>
        </w:tc>
        <w:tc>
          <w:tcPr>
            <w:tcW w:w="4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refer to Comcast Corporation (formerly known as AT&amp;T Comcast Corporation) in this prospectus as “Comcast” or “we,” “us,” “our” or comparable terms and to Comcast Holdings Corporation (formerly known as Comcast Corporation) as “Comcast Holdings.” We refer to Comcast Cable Communications, Inc., Comcast Cable Communications Holdings, Inc. (formerly known as AT&amp;T Broadband Corp.), Comcast Cable Holdings, LLC (formerly known as AT&amp;T Broadband, LLC, which was formerly known as Tele-Communications, Inc.) and Comcast MO Group, Inc. (formerly known as MediaOne Group, Inc.) collectively as the “Cable Guarantors.”</w:t>
      </w:r>
    </w:p>
    <w:p>
      <w:pPr>
        <w:spacing w:after="0" w:line="19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935" w:right="49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COMPANIES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58" w:lineRule="exact"/>
        <w:rPr>
          <w:sz w:val="20"/>
          <w:szCs w:val="20"/>
          <w:color w:val="auto"/>
        </w:rPr>
      </w:pPr>
    </w:p>
    <w:p>
      <w:pPr>
        <w:ind w:right="400" w:firstLine="324"/>
        <w:spacing w:after="0" w:line="332" w:lineRule="auto"/>
        <w:rPr>
          <w:sz w:val="20"/>
          <w:szCs w:val="20"/>
          <w:color w:val="auto"/>
        </w:rPr>
      </w:pPr>
      <w:r>
        <w:rPr>
          <w:rFonts w:ascii="Arial" w:cs="Arial" w:eastAsia="Arial" w:hAnsi="Arial"/>
          <w:sz w:val="16"/>
          <w:szCs w:val="16"/>
          <w:color w:val="auto"/>
        </w:rPr>
        <w:t>We were formed through the merger of Comcast Holdings Corporation (formerly known as Comcast Corporation) and the broadband business of AT&amp;T Corp. in the belief that combining the strengths of these businesses would create the world’s premier broadband company.</w:t>
      </w:r>
    </w:p>
    <w:p>
      <w:pPr>
        <w:spacing w:after="0" w:line="166"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We are principally involved in three lines of business through our wholly-owned subsidiaries Comcast Holdings and Comcast Cable Communications Holdings:</w:t>
      </w:r>
    </w:p>
    <w:p>
      <w:pPr>
        <w:spacing w:after="0" w:line="186" w:lineRule="exact"/>
        <w:rPr>
          <w:sz w:val="20"/>
          <w:szCs w:val="20"/>
          <w:color w:val="auto"/>
        </w:rPr>
      </w:pPr>
    </w:p>
    <w:p>
      <w:pPr>
        <w:ind w:left="820" w:hanging="461"/>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Cable—through the development, management and operation of broadband communications networks and regional sports programming networks,</w:t>
      </w:r>
    </w:p>
    <w:p>
      <w:pPr>
        <w:spacing w:after="0" w:line="302" w:lineRule="exact"/>
        <w:rPr>
          <w:rFonts w:ascii="Arial" w:cs="Arial" w:eastAsia="Arial" w:hAnsi="Arial"/>
          <w:sz w:val="16"/>
          <w:szCs w:val="16"/>
          <w:color w:val="auto"/>
        </w:rPr>
      </w:pPr>
    </w:p>
    <w:p>
      <w:pPr>
        <w:ind w:left="820" w:hanging="461"/>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Commerce—through QVC, our electronic retailing subsidiary, and</w:t>
      </w:r>
    </w:p>
    <w:p>
      <w:pPr>
        <w:spacing w:after="0" w:line="279" w:lineRule="exact"/>
        <w:rPr>
          <w:rFonts w:ascii="Arial" w:cs="Arial" w:eastAsia="Arial" w:hAnsi="Arial"/>
          <w:sz w:val="18"/>
          <w:szCs w:val="18"/>
          <w:color w:val="auto"/>
        </w:rPr>
      </w:pPr>
    </w:p>
    <w:p>
      <w:pPr>
        <w:ind w:left="820" w:right="160" w:hanging="461"/>
        <w:spacing w:after="0" w:line="268"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Content—through our consolidated subsidiaries, Comcast-Spectacor, E! Entertainment Television, The Golf Channel, Outdoor Life Network and G4 Media, and through our other programming investments.</w:t>
      </w:r>
    </w:p>
    <w:p>
      <w:pPr>
        <w:spacing w:after="0" w:line="213" w:lineRule="exact"/>
        <w:rPr>
          <w:sz w:val="20"/>
          <w:szCs w:val="20"/>
          <w:color w:val="auto"/>
        </w:rPr>
      </w:pPr>
    </w:p>
    <w:p>
      <w:pPr>
        <w:ind w:right="200" w:firstLine="324"/>
        <w:spacing w:after="0" w:line="298" w:lineRule="auto"/>
        <w:rPr>
          <w:sz w:val="20"/>
          <w:szCs w:val="20"/>
          <w:color w:val="auto"/>
        </w:rPr>
      </w:pPr>
      <w:r>
        <w:rPr>
          <w:rFonts w:ascii="Arial" w:cs="Arial" w:eastAsia="Arial" w:hAnsi="Arial"/>
          <w:sz w:val="16"/>
          <w:szCs w:val="16"/>
          <w:color w:val="auto"/>
        </w:rPr>
        <w:t>The transactions which created Comcast were consummated on November 18, 2002 in several steps. First, AT&amp;T transferred to Comcast Cable Communications Holdings substantially all the assets, liabilities and businesses represented by AT&amp;T Broadband Group, which was the integrated broadband business of AT&amp;T. Second, AT&amp;T spun off Comcast Cable Communications Holdings to its shareholders. Third, Comcast Holdings and Comcast Cable Communications Holdings each merged with a different, wholly-owned subsidiary of ours, and Comcast Holdings and AT&amp;T shareholders received our shares.</w:t>
      </w:r>
    </w:p>
    <w:p>
      <w:pPr>
        <w:spacing w:after="0" w:line="1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and Comcast Holdings’ filings with the SEC incorporated by reference in this prospectus. For a description of certain continuing obligations and risks related to the AT&amp;T Comcast transaction, see “Description of AT&amp;T Comcast Transaction,” and “Risk Factors—Risks Relating to the AT&amp;T Comcast Transaction,” as well as our and Comcast Holdings’ filings with the SEC incorporated by reference in this prospectus. For instructions on how to find copies of these and our other filings incorporated by reference in this prospectus, see “Available Information.”</w:t>
      </w:r>
    </w:p>
    <w:p>
      <w:pPr>
        <w:spacing w:after="0" w:line="224" w:lineRule="exact"/>
        <w:rPr>
          <w:sz w:val="20"/>
          <w:szCs w:val="20"/>
          <w:color w:val="auto"/>
        </w:rPr>
      </w:pPr>
    </w:p>
    <w:p>
      <w:pPr>
        <w:jc w:val="both"/>
        <w:ind w:right="120" w:firstLine="324"/>
        <w:spacing w:after="0" w:line="370" w:lineRule="auto"/>
        <w:rPr>
          <w:sz w:val="20"/>
          <w:szCs w:val="20"/>
          <w:color w:val="auto"/>
        </w:rPr>
      </w:pPr>
      <w:r>
        <w:rPr>
          <w:rFonts w:ascii="Arial" w:cs="Arial" w:eastAsia="Arial" w:hAnsi="Arial"/>
          <w:sz w:val="15"/>
          <w:szCs w:val="15"/>
          <w:color w:val="auto"/>
        </w:rPr>
        <w:t xml:space="preserve">We are a Pennsylvania corporation incorporated in 2001. Our principal executive office is located at 1500 Market Street, Philadelphia, Pennsylvania 19102-2148. Our telephone number is (215) 665-1700. The address of our web site is </w:t>
      </w:r>
      <w:r>
        <w:rPr>
          <w:rFonts w:ascii="Arial" w:cs="Arial" w:eastAsia="Arial" w:hAnsi="Arial"/>
          <w:sz w:val="15"/>
          <w:szCs w:val="15"/>
          <w:i w:val="1"/>
          <w:iCs w:val="1"/>
          <w:color w:val="auto"/>
        </w:rPr>
        <w:t>www.comcast.com</w:t>
      </w:r>
      <w:r>
        <w:rPr>
          <w:rFonts w:ascii="Arial" w:cs="Arial" w:eastAsia="Arial" w:hAnsi="Arial"/>
          <w:sz w:val="15"/>
          <w:szCs w:val="15"/>
          <w:color w:val="auto"/>
        </w:rPr>
        <w:t>. The information on our web site is not part of this prospectus.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Guarantors</w:t>
      </w:r>
    </w:p>
    <w:p>
      <w:pPr>
        <w:spacing w:after="0" w:line="258"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Our obligations, including the payment of principal, premium, if any, and interest, on the debt securities will be fully and unconditionally guaranteed by each of Comcast Cable, Comcast Cable Communications Holdings, Comcast Cable Holdings and Comcast MO Group. In this prospectus, we refer to these guarantors as the cable guarantors and to these guarantees as the cable guarantees. If indicated in the relevant prospectus supplement, our obligations under the other securities we are offering and selling may be fully and unconditionally guaranteed by specified cable guarantors.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225" w:lineRule="exact"/>
        <w:rPr>
          <w:sz w:val="20"/>
          <w:szCs w:val="20"/>
          <w:color w:val="auto"/>
        </w:rPr>
      </w:pPr>
    </w:p>
    <w:p>
      <w:pPr>
        <w:ind w:left="820" w:right="260" w:hanging="461"/>
        <w:spacing w:after="0" w:line="268"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ind w:left="360"/>
        <w:spacing w:after="0"/>
        <w:rPr>
          <w:sz w:val="20"/>
          <w:szCs w:val="20"/>
          <w:color w:val="auto"/>
        </w:rPr>
      </w:pPr>
      <w:r>
        <w:rPr>
          <w:rFonts w:ascii="Arial" w:cs="Arial" w:eastAsia="Arial" w:hAnsi="Arial"/>
          <w:sz w:val="18"/>
          <w:szCs w:val="18"/>
          <w:b w:val="1"/>
          <w:bCs w:val="1"/>
          <w:i w:val="1"/>
          <w:iCs w:val="1"/>
          <w:color w:val="auto"/>
        </w:rPr>
        <w:t>Comcast Cable Communications, Inc.</w:t>
      </w:r>
    </w:p>
    <w:p>
      <w:pPr>
        <w:spacing w:after="0" w:line="252"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Comcast Cable is a Delaware corporation incorporated in 1981 and our indirect wholly-owned subsidiary. Comcast Cable currently serves approximately 8.5 million subscribers and has deployed digital cable applications and high-speed Internet access service to the vast majority of its cable communications systems to expand the products available on its broadband communications networks.</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Comcast Cable Communications Holdings, Inc.</w:t>
      </w:r>
    </w:p>
    <w:p>
      <w:pPr>
        <w:spacing w:after="0" w:line="252" w:lineRule="exact"/>
        <w:rPr>
          <w:sz w:val="20"/>
          <w:szCs w:val="20"/>
          <w:color w:val="auto"/>
        </w:rPr>
      </w:pPr>
    </w:p>
    <w:p>
      <w:pPr>
        <w:ind w:right="280" w:firstLine="324"/>
        <w:spacing w:after="0" w:line="306" w:lineRule="auto"/>
        <w:rPr>
          <w:sz w:val="20"/>
          <w:szCs w:val="20"/>
          <w:color w:val="auto"/>
        </w:rPr>
      </w:pPr>
      <w:r>
        <w:rPr>
          <w:rFonts w:ascii="Arial" w:cs="Arial" w:eastAsia="Arial" w:hAnsi="Arial"/>
          <w:sz w:val="16"/>
          <w:szCs w:val="16"/>
          <w:color w:val="auto"/>
        </w:rPr>
        <w:t>Comcast Cable Communications Holdings is a Delaware corporation (formerly known as AT&amp;T Broadband Corp.) incorporated in 2001 and our wholly-owned subsidiary. As part of the AT&amp;T Comcast transaction, AT&amp;T transferred to Comcast Cable Communications Holdings substantially all of the assets, liabilities and businesses represented by AT&amp;T Broadband Group, the integrated broadband business of AT&amp;T.</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Comcast Cable Holdings is a Delaware limited liability company (formerly known as AT&amp;T Broadband, LLC) formed in 1994. Comcast Cable Holdings is a wholly-owned subsidiary of Comcast Cable Communications Holdings.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252"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wholly-owned subsidiary of Comcast Cable Communications Holdings.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Each cable guarantor’s principal place of business is 1500 Market Street, Philadelphia, Pennsylvania 19102-2148.</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85" w:right="27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AT&amp;T Comcast Transaction</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fail to realize the anticipated benefits of the AT&amp;T Comcast transaction.</w:t>
      </w:r>
    </w:p>
    <w:p>
      <w:pPr>
        <w:spacing w:after="0" w:line="25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AT&amp;T Comcast transaction combined two companies that have previously operated separately. We expect to realize cost savings and other financial and operating benefits as a result of the AT&amp;T Comcast transaction. However, we cannot predict with certainty when these cost savings and benefits will occur, or the extent to which they actually will be achieved. There are a large number of systems that must be integrated, including management information, purchasing, accounting and finance, sales, billing, payroll and benefits, and regulatory compliance. The integration of Comcast Cable and Comcast Cable Communications Holdings will also require substantial attention from management. The diversion of management attention and any difficulties associated with integrating Comcast Cable and Comcast Cable Communications Holdings could have a material adverse effect on our operating results.</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will have to abide by restrictions to preserve the tax treatment of the AT&amp;T Comcast transaction.</w:t>
      </w:r>
    </w:p>
    <w:p>
      <w:pPr>
        <w:spacing w:after="0" w:line="252"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Because of the limitations imposed by Section 355(e) of the Internal Revenue Code of 1986, as amended, referred to as the “Code” in this prospectus, and by contractual agreements with AT&amp;T, our ability and the ability of Comcast Cable Communications Holdings to engage in specified acquisitions, redeem stock or issue equity securities will be limited until December 18, 2004. See “Description of AT&amp;T Comcast Transaction—Separation and Distribution Agreement—Post-Spin-Off Transactions.” These restrictions may limit our ability to issue equity securities to satisfy our financing needs or to acquire businesses or assets.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and our subsidiaries have significant debt and debt-like obligations and may not maintain investment-grade credit ratings.</w:t>
      </w:r>
    </w:p>
    <w:p>
      <w:pPr>
        <w:spacing w:after="0" w:line="25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and our subsidiaries have a significant amount of debt and debt-like obligations. Our credit rating and the credit ratings of our subsidiaries may in the future be lower than the current or historical credit ratings of Comcast Holdings, Comcast Cable Communications Holdings and their respective subsidiaries. In addition, it is possible that we or any of our subsidiaries that issue debt may not obtain or maintain an investment-grade credit rating. Differences in credit ratings would affect the interest rates charged on financings, as well as the amounts of indebtedness, types of financing structures and debt markets that may be available to us and our subsidiaries. The closing of the AT&amp;T Comcast transaction triggered put rights on the part of holders of approximately $1.0 billion of debt issued by Comcast Cable Holdings. In addition, the failure of certain of our subsidiaries to maintain certain credit ratings until at least February 16, 2003 could trigger put rights on the part of holders of up to approximately $3.8 billion of debt as of the date of this prospectus, which would require us to obtain additional financing. Accordingly, a downgrade in our or any of our subsidiaries’ existing credit ratings or failure by us and our subsidiaries to maintain investment-grade credit ratings could have a material adverse effect on our operating results and on the value of our common stock.</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Atypical governance arrangements may make it more difficult for our shareholders to act.</w:t>
      </w:r>
    </w:p>
    <w:p>
      <w:pPr>
        <w:spacing w:after="0" w:line="252"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 connection with the AT&amp;T Comcast transaction, we implemented a number of governance arrangements that are atypical for a large, publicly held corporation. A number of these arrangements relate to the election of our Board. The term of our Board will not expire until our 2004 annual meeting of shareholders. Since our shareholders will not have the right to call special meetings of shareholders or act by written consent and our directors may be removed only for cause, our shareholders will not be able to replace our initial Board members prior to that meeting. After our 2004 annual meeting of shareholders, our directors will be elected annually. Even then, however, it will be difficult for one of our shareholders, other than BRCC Holdings LLC, to elect a slate of directors of its own choosing to our Board. Brian L. Roberts, our President and Chief Executive Officer, through his control of BRCC Holdings LLC, holds a 33 1/3% nondilutable voting interest in our stock. In addition, we adopted a shareholder rights plan upon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2" w:name="page23"/>
    <w:bookmarkEnd w:id="22"/>
    <w:p>
      <w:pPr>
        <w:ind w:right="180"/>
        <w:spacing w:after="0" w:line="332" w:lineRule="auto"/>
        <w:rPr>
          <w:sz w:val="20"/>
          <w:szCs w:val="20"/>
          <w:color w:val="auto"/>
        </w:rPr>
      </w:pPr>
      <w:r>
        <w:rPr>
          <w:rFonts w:ascii="Arial" w:cs="Arial" w:eastAsia="Arial" w:hAnsi="Arial"/>
          <w:sz w:val="16"/>
          <w:szCs w:val="16"/>
          <w:color w:val="auto"/>
        </w:rPr>
        <w:t>completion of the AT&amp;T Comcast transaction that prevents any holder of our stock, other than any holder of our Class B common stock or any of such holder’s affiliates, from acquiring our stock representing more than 10% of the voting power with respect to us without the approval of our Board.</w:t>
      </w:r>
    </w:p>
    <w:p>
      <w:pPr>
        <w:spacing w:after="0" w:line="166"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In addition to the governance arrangements relating to our Board, a number of governance arrangements will make it difficult to replace our senior management. Upon completion of the AT&amp;T Comcast transaction, C. Michael Armstrong, Chairman of the Board and CEO of AT&amp;T, became our Chairman of the Board and Brian L. Roberts, President of Comcast Holdings, became our CEO and President. After the 2005 annual meeting of our shareholders, Brian L. Roberts will also be our Chairman of the Board. Prior to the sixth anniversary of our 2004 annual meeting of shareholders, unless Brian L. Roberts ceases to be our Chairman of the Board or CEO prior to such time, our Chairman of the Board and CEO will be able to be removed only with the approval of at least 75% of our entire Board. This supermajority removal requirement makes it unlikely that C. Michael Armstrong or Brian L. Roberts will be removed from their management positions.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principal shareholder has considerable influence over our operations.</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Brian L. Roberts has significant control over our operations through his control of BRCC Holdings LLC, which as a result of its ownership of outstanding shares of our Class B common stock holds a nondilutable 33 1/3% of the combined voting power of our stock and also has separate approval rights over certain material transactions involving us. In addition, Brian L. Roberts is our CEO and President and will, together with our Chairman of the Board, comprise the Office of the Chairman, our principal executive deliberative body.</w:t>
      </w:r>
    </w:p>
    <w:p>
      <w:pPr>
        <w:spacing w:after="0" w:line="197" w:lineRule="exact"/>
        <w:rPr>
          <w:sz w:val="20"/>
          <w:szCs w:val="20"/>
          <w:color w:val="auto"/>
        </w:rPr>
      </w:pPr>
    </w:p>
    <w:p>
      <w:pPr>
        <w:ind w:right="840" w:firstLine="220"/>
        <w:spacing w:after="0" w:line="332" w:lineRule="auto"/>
        <w:rPr>
          <w:sz w:val="20"/>
          <w:szCs w:val="20"/>
          <w:color w:val="auto"/>
        </w:rPr>
      </w:pPr>
      <w:r>
        <w:rPr>
          <w:rFonts w:ascii="Arial" w:cs="Arial" w:eastAsia="Arial" w:hAnsi="Arial"/>
          <w:sz w:val="16"/>
          <w:szCs w:val="16"/>
          <w:b w:val="1"/>
          <w:bCs w:val="1"/>
          <w:i w:val="1"/>
          <w:iCs w:val="1"/>
          <w:color w:val="auto"/>
        </w:rPr>
        <w:t>The performance of AT&amp;T Broadband Group prior to the AT&amp;T Broadband spin-off may not be representative of the results of Comcast Cable Communications Holdings without the other AT&amp;T businesses and therefore is not a reliable indicator of its future results.</w:t>
      </w:r>
    </w:p>
    <w:p>
      <w:pPr>
        <w:spacing w:after="0" w:line="166"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AT&amp;T Broadband Group was a fully integrated business unit of AT&amp;T, and as a result the financial information of AT&amp;T Broadband Group incorporated by reference in this prospectus was derived from the consolidated financial statements and accounting records of AT&amp;T and reflects certain assumptions and allocations. The financial position, results of operations and cash flows of Comcast Cable Communications Holdings without the other AT&amp;T businesses could differ from those that would have resulted had its business operated with the other AT&amp;T businesses.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31" w:lineRule="exact"/>
        <w:rPr>
          <w:sz w:val="20"/>
          <w:szCs w:val="20"/>
          <w:color w:val="auto"/>
        </w:rPr>
      </w:pPr>
    </w:p>
    <w:p>
      <w:pPr>
        <w:ind w:right="260" w:firstLine="220"/>
        <w:spacing w:after="0" w:line="268" w:lineRule="auto"/>
        <w:rPr>
          <w:sz w:val="20"/>
          <w:szCs w:val="20"/>
          <w:color w:val="auto"/>
        </w:rPr>
      </w:pPr>
      <w:r>
        <w:rPr>
          <w:rFonts w:ascii="Arial" w:cs="Arial" w:eastAsia="Arial" w:hAnsi="Arial"/>
          <w:sz w:val="18"/>
          <w:szCs w:val="18"/>
          <w:b w:val="1"/>
          <w:bCs w:val="1"/>
          <w:i w:val="1"/>
          <w:iCs w:val="1"/>
          <w:color w:val="auto"/>
        </w:rPr>
        <w:t>Our actual financial position and results of operations may differ significantly and adversely from the pro forma amounts incorporated by reference in this prospectus.</w:t>
      </w:r>
    </w:p>
    <w:p>
      <w:pPr>
        <w:spacing w:after="0" w:line="213" w:lineRule="exact"/>
        <w:rPr>
          <w:sz w:val="20"/>
          <w:szCs w:val="20"/>
          <w:color w:val="auto"/>
        </w:rPr>
      </w:pPr>
    </w:p>
    <w:p>
      <w:pPr>
        <w:jc w:val="both"/>
        <w:ind w:right="500" w:firstLine="324"/>
        <w:spacing w:after="0" w:line="306" w:lineRule="auto"/>
        <w:rPr>
          <w:sz w:val="20"/>
          <w:szCs w:val="20"/>
          <w:color w:val="auto"/>
        </w:rPr>
      </w:pPr>
      <w:r>
        <w:rPr>
          <w:rFonts w:ascii="Arial" w:cs="Arial" w:eastAsia="Arial" w:hAnsi="Arial"/>
          <w:sz w:val="16"/>
          <w:szCs w:val="16"/>
          <w:color w:val="auto"/>
        </w:rPr>
        <w:t>Our actual financial position and results of operations may differ, perhaps significantly and adversely, from the pro forma information incorporated by reference in this prospectus due to a variety of factors, including access to additional information, changes in value not currently identified and changes in operating results between the date of the pro forma financial data and the date on which the AT&amp;T Comcast transaction was completed.</w:t>
      </w:r>
    </w:p>
    <w:p>
      <w:pPr>
        <w:spacing w:after="0" w:line="18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In addition, in many cases each of Comcast Holdings and AT&amp;T Broadband Group had long-term agreements, in some cases with the same counterparties, for the same services and products, such as programming, billing services and interactive programming guides. Comcast Holdings and AT&amp;T Broadband Group could not disclose the terms of many of these contracts to each other because of confidentiality provisions included in these contracts or other legal restrictions. For this and other reasons, it is not clear, in the case of certain services and products, whether after completion of the AT&amp;T Comcast transaction each of the existing agreements continues to apply only to the operations to which they have historically applied or whether instead one of the two contracts will apply to the operations of both companies and the other contract will be terminated. Since these contracts often differ significantly in their terms, resolution of these contractual issues could cause our actual financial position and results of</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operations to differ significantly and adversely from those reflected in the pro forma financial information incorporated by reference in this prospectus.</w:t>
      </w:r>
    </w:p>
    <w:p>
      <w:pPr>
        <w:spacing w:after="0" w:line="248" w:lineRule="exact"/>
        <w:rPr>
          <w:sz w:val="20"/>
          <w:szCs w:val="20"/>
          <w:color w:val="auto"/>
        </w:rPr>
      </w:pPr>
    </w:p>
    <w:p>
      <w:pPr>
        <w:ind w:right="280" w:firstLine="220"/>
        <w:spacing w:after="0" w:line="268" w:lineRule="auto"/>
        <w:rPr>
          <w:sz w:val="20"/>
          <w:szCs w:val="20"/>
          <w:color w:val="auto"/>
        </w:rPr>
      </w:pPr>
      <w:r>
        <w:rPr>
          <w:rFonts w:ascii="Arial" w:cs="Arial" w:eastAsia="Arial" w:hAnsi="Arial"/>
          <w:sz w:val="18"/>
          <w:szCs w:val="18"/>
          <w:b w:val="1"/>
          <w:bCs w:val="1"/>
          <w:i w:val="1"/>
          <w:iCs w:val="1"/>
          <w:color w:val="auto"/>
        </w:rPr>
        <w:t>Programming costs are increasing and we may not have the ability to pass these increases on to our customers, which would materially adversely affect our cash flow and operating margins.</w:t>
      </w:r>
    </w:p>
    <w:p>
      <w:pPr>
        <w:spacing w:after="0" w:line="21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Programming costs are expected to be our largest single expense item in the foreseeable future. In recent years, the cable and satellite video industries have experienced a rapid increase in the cost of programming, particularly sports programming. This increase is expected to continue, and we may not be able to pass programming cost increases on to our customers. The inability to pass these programming cost increases on to our customers would have a material adverse impact on our cash flow and operating margins. In addition, as we upgrade the channel capacity of our systems and add programming to our basic, expanded basic and digital programming tiers, we may face increased programming costs, which, in conjunction with the additional market constraints on our ability to pass programming costs on to our customers, may reduce operating margins.</w:t>
      </w:r>
    </w:p>
    <w:p>
      <w:pPr>
        <w:spacing w:after="0" w:line="201" w:lineRule="exact"/>
        <w:rPr>
          <w:sz w:val="20"/>
          <w:szCs w:val="20"/>
          <w:color w:val="auto"/>
        </w:rPr>
      </w:pPr>
    </w:p>
    <w:p>
      <w:pPr>
        <w:jc w:val="both"/>
        <w:ind w:right="500" w:firstLine="324"/>
        <w:spacing w:after="0" w:line="259" w:lineRule="auto"/>
        <w:rPr>
          <w:sz w:val="20"/>
          <w:szCs w:val="20"/>
          <w:color w:val="auto"/>
        </w:rPr>
      </w:pPr>
      <w:r>
        <w:rPr>
          <w:rFonts w:ascii="Arial" w:cs="Arial" w:eastAsia="Arial" w:hAnsi="Arial"/>
          <w:sz w:val="18"/>
          <w:szCs w:val="18"/>
          <w:color w:val="auto"/>
        </w:rPr>
        <w:t>We also expect to be subject to increasing financial and other demands by broadcasters to obtain the required consent for the transmission of broadcast programming to our subscribers. We cannot predict the financial impact of these negotiations or the effect on our subscribers should we be required to stop offering this programming.</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face a wide range of competition in areas served by our cable systems, which could adversely affect our future results of operations.</w:t>
      </w:r>
    </w:p>
    <w:p>
      <w:pPr>
        <w:spacing w:after="0" w:line="275"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Our cable communications systems compete with a number of different sources which provide news, information and entertainment programming to consumers. We compete directly with program distributors and other companies that use satellites, build competing cable systems in the same communities we serve or otherwise provide programming and other communications services to our subscribers and potential subscribers. In addition, federal law now allows local telephone companies to provide directly to subscribers a wide variety of services that are competitive with cable communications services. Some local telephone companies provide, or have announced plans to provide, video services within and outside their telephone service areas through a variety of methods, including broadband cable networks. Additionally, we will be subject to competition from telecommunications providers and Internet service providers, known as ISPs, in connection with offerings of new and advanced services, including telecommunications and Internet services. This competition may materially adversely affect our business and operations in the future. In addition, any increase in vacancy rates in multi-dwelling units has historically adversely impacted subscriber levels and is expected to do so in the future. Subscriber levels also have historically demonstrated seasonal fluctuations, particularly in markets that include major universities. The failure of seasonal fourth quarter increases to offset decreases would adversely affect subscriber levels.</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have substantial capital requirements which may require us to obtain additional financing that may be difficult to obtain.</w:t>
      </w:r>
    </w:p>
    <w:p>
      <w:pPr>
        <w:spacing w:after="0" w:line="252"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color w:val="auto"/>
        </w:rPr>
        <w:t>We expect that for some period of time our capital expenditures will exceed, perhaps significantly, our net cash provided by operating activities. This may require us to obtain additional financing. We may not be able to obtain or to obtain on favorable terms the capital necessary to fund the substantial capital expenditures described below that are required by our strategy and business plan. A failure to obtain necessary capital or to obtain necessary capital on favorable terms could have a material adverse effect on us and result in the delay, change or abandonment of our development or expansion plans.</w:t>
      </w:r>
    </w:p>
    <w:p>
      <w:pPr>
        <w:spacing w:after="0" w:line="19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Historically, AT&amp;T Broadband Group’s capital expenditures significantly exceeded its net cash provided by operations. For the year ended December 31, 2001 and the nine months ended September 30, 2002, AT&amp;T Broadband Group’s capital expenditures exceeded its net cash provided by operations by $3.5 billion and $1.5 billion, respectively. In addition, for the year ended December 31, 2001, Comcast Holdings’ capital expenditures exceeded its net cash provided by operating activities by $952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4" w:name="page25"/>
    <w:bookmarkEnd w:id="24"/>
    <w:p>
      <w:pPr>
        <w:ind w:firstLine="324"/>
        <w:spacing w:after="0" w:line="289" w:lineRule="auto"/>
        <w:rPr>
          <w:sz w:val="20"/>
          <w:szCs w:val="20"/>
          <w:color w:val="auto"/>
        </w:rPr>
      </w:pPr>
      <w:r>
        <w:rPr>
          <w:rFonts w:ascii="Arial" w:cs="Arial" w:eastAsia="Arial" w:hAnsi="Arial"/>
          <w:sz w:val="16"/>
          <w:szCs w:val="16"/>
          <w:color w:val="auto"/>
        </w:rPr>
        <w:t>We anticipate that we will upgrade a significant portion of our broadband systems over the coming years and make other capital investments, including with respect to our advanced services. In 2003, we anticipate that the combined Comcast Cable Communications Holdings and Comcast Cable cable systems will incur capital expenditures of approximately $4.2 billion to $4.5 billion. We are expected to incur substantial capital expenditures in the years subsequent to 2003. However, the actual amount of the funds required for capital expenditures cannot be determined with precision at this time. Capital is expected to be used to upgrade and rebuild network systems to expand bandwidth capacity and add two-way capability so that it may offer advanced services. In addition, capital expenditures are expected to be used to acquire equipment, such as set-top boxes, cable modems and telephone equipment, and to pay for installation costs for additional video and advanced services customers. There can be no assurance that these amounts will be sufficient to accomplish the planned system upgrades, equipment acquisitions and expansion.</w:t>
      </w:r>
    </w:p>
    <w:p>
      <w:pPr>
        <w:spacing w:after="0" w:line="199" w:lineRule="exact"/>
        <w:rPr>
          <w:sz w:val="20"/>
          <w:szCs w:val="20"/>
          <w:color w:val="auto"/>
        </w:rPr>
      </w:pPr>
    </w:p>
    <w:p>
      <w:pPr>
        <w:ind w:right="180" w:firstLine="324"/>
        <w:spacing w:after="0" w:line="332" w:lineRule="auto"/>
        <w:rPr>
          <w:sz w:val="20"/>
          <w:szCs w:val="20"/>
          <w:color w:val="auto"/>
        </w:rPr>
      </w:pPr>
      <w:r>
        <w:rPr>
          <w:rFonts w:ascii="Arial" w:cs="Arial" w:eastAsia="Arial" w:hAnsi="Arial"/>
          <w:sz w:val="16"/>
          <w:szCs w:val="16"/>
          <w:color w:val="auto"/>
        </w:rPr>
        <w:t>Comcast Cable Communications Holdings also have commitments under certain of their franchise agreements with local franchising authorities to upgrade and rebuild certain network systems. These commitments may require capital expenditures in order to avoid default and/or penalties.</w:t>
      </w:r>
    </w:p>
    <w:p>
      <w:pPr>
        <w:spacing w:after="0" w:line="139" w:lineRule="exact"/>
        <w:rPr>
          <w:sz w:val="20"/>
          <w:szCs w:val="20"/>
          <w:color w:val="auto"/>
        </w:rPr>
      </w:pPr>
    </w:p>
    <w:p>
      <w:pPr>
        <w:ind w:right="120" w:firstLine="220"/>
        <w:spacing w:after="0" w:line="268" w:lineRule="auto"/>
        <w:rPr>
          <w:sz w:val="20"/>
          <w:szCs w:val="20"/>
          <w:color w:val="auto"/>
        </w:rPr>
      </w:pPr>
      <w:r>
        <w:rPr>
          <w:rFonts w:ascii="Arial" w:cs="Arial" w:eastAsia="Arial" w:hAnsi="Arial"/>
          <w:sz w:val="18"/>
          <w:szCs w:val="18"/>
          <w:b w:val="1"/>
          <w:bCs w:val="1"/>
          <w:i w:val="1"/>
          <w:iCs w:val="1"/>
          <w:color w:val="auto"/>
        </w:rPr>
        <w:t>Some of our subsidiaries are subject to long-term exclusive agreements that may limit their future operating flexibility and materially adversely affect our financial results.</w:t>
      </w:r>
    </w:p>
    <w:p>
      <w:pPr>
        <w:spacing w:after="0" w:line="21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Some of the entities formerly attributed to AT&amp;T Broadband Group which are now our subsidiaries are subject to long-term agreements relating to significant aspects of their operations, including long-term agreements for video programming, audio programming, electronic program guides, billing and other services. For example, Comcast Cable Holdings (formerly known as AT&amp;T Broadband, LLC), and AT&amp;T Broadband Group’s subsidiary, Satellite Services, Inc., are parties to an affiliation term sheet with Starz Encore Group LLC, an affiliate of Liberty Media, which extends to 2022 and provides for fixed price payments, subject to adjustment for various factors including inflation, and may require Comcast Cable Communications Holdings to pay two-thirds of Starz Encore Group’s programming costs above levels designated in the term sheet. Satellite Services, Inc. also entered into a ten-year agreement with TV Guide in January 1999 for interactive program guide services, which designates TV Guide Interactive as the interactive programming guide for Comcast Cable Communications Holdings’ systems. Furthermore, a subsidiary of Comcast Cable Communications Holdings is party to an agreement that does not expire until December 31, 2013 under which it purchases certain billing services from CSG Systems, Inc. The price, terms and conditions of the Starz Encore term sheet, the TV Guide agreement and the CSG agreement may not reflect the current market and if one or more of these arrangements continue to apply to Comcast Cable Communications Holdings after completion of the AT&amp;T Comcast transaction, they may materially adversely impact our financial performance.</w:t>
      </w:r>
    </w:p>
    <w:p>
      <w:pPr>
        <w:spacing w:after="0" w:line="208"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By letter dated May 29, 2001, AT&amp;T Broadband Group disputed the enforceability of the excess programming pass-through provisions of the Starz Encore term sheet and questioned the validity of the term sheet as a whole. AT&amp;T Broadband Group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a lawsuit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 AT&amp;T Broadband Group and Starz Encore Group agreed to extend the stay of the litigation and the court extended the stay to and including January 31, 2003, with a requirement that the parties attempt to mediate the dispute. The parties have now selected a mediator, with mediation scheduled to proceed in mid-January 2003.</w:t>
      </w:r>
    </w:p>
    <w:p>
      <w:pPr>
        <w:spacing w:after="0" w:line="201" w:lineRule="exact"/>
        <w:rPr>
          <w:sz w:val="20"/>
          <w:szCs w:val="20"/>
          <w:color w:val="auto"/>
        </w:rPr>
      </w:pPr>
    </w:p>
    <w:p>
      <w:pPr>
        <w:ind w:right="160" w:firstLine="324"/>
        <w:spacing w:after="0" w:line="332" w:lineRule="auto"/>
        <w:rPr>
          <w:sz w:val="20"/>
          <w:szCs w:val="20"/>
          <w:color w:val="auto"/>
        </w:rPr>
      </w:pPr>
      <w:r>
        <w:rPr>
          <w:rFonts w:ascii="Arial" w:cs="Arial" w:eastAsia="Arial" w:hAnsi="Arial"/>
          <w:sz w:val="16"/>
          <w:szCs w:val="16"/>
          <w:color w:val="auto"/>
        </w:rPr>
        <w:t>On November 18, 2002, Comcast and Comcast Holdings filed suit against Starz Encore Group in the United States District Court for the Eastern District of Pennsylvania. Comcast and Comcast Holdings seek a declaratory judgment that, pursuant to their rights under a March 17, 1999 contract with a</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25" w:name="page26"/>
    <w:bookmarkEnd w:id="25"/>
    <w:p>
      <w:pPr>
        <w:ind w:right="40"/>
        <w:spacing w:after="0" w:line="259" w:lineRule="auto"/>
        <w:rPr>
          <w:sz w:val="20"/>
          <w:szCs w:val="20"/>
          <w:color w:val="auto"/>
        </w:rPr>
      </w:pPr>
      <w:r>
        <w:rPr>
          <w:rFonts w:ascii="Arial" w:cs="Arial" w:eastAsia="Arial" w:hAnsi="Arial"/>
          <w:sz w:val="18"/>
          <w:szCs w:val="18"/>
          <w:color w:val="auto"/>
        </w:rPr>
        <w:t>predecessor of Starz Encore Group, upon the completion of the AT&amp;T Comcast transaction that contract now provides the terms under which Starz Encore Group programming is acquired and transmitted by the Comcast Cable Communications Holdings’ systems. Starz Encore Group has until January 8, 2003 to file a response to this complaint.</w:t>
      </w:r>
    </w:p>
    <w:p>
      <w:pPr>
        <w:spacing w:after="0" w:line="22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On March 13, 2002, AT&amp;T Broadband Group informed CSG Systems, Inc. that AT&amp;T Broadband Group was considering the initiation of an arbitration against CSG relating to a Master Subscriber Management System Agreement that the two companies entered into in 1997. Pursuant to the Master Agreement, CSG provides billing support to AT&amp;T Broadband Group. On May 10, 2002, AT&amp;T Broadband Group filed a demand for arbitration against CSG before the American Arbitration Association. On May 31, 2002, CSG answered AT&amp;T Broadband Group’s arbitration demand and asserted various counterclaims. On June 21, 2002, CSG filed a lawsuit against Comcast Holdings in federal court located in Denver, Colorado asserting claims related to the Master Agreement and the pending arbitration. On November 4, 2002, CSG withdrew its complaint against Comcast Holdings without prejudice. On November 15, 2002, Comcast, Comcast Holdings, and Comcast Cable initiated a lawsuit against CSG in federal court located in Philadelphia, Pennsylvania. Comcast, Comcast Holdings and Comcast Cable assert that systems owned by Comcast Holdings are not required to use CSG as a billing service or customer care provider pursuant to the Master Agreement, and that systems owned by Comcast Cable Communications Holdings may be added to a billing service agreement between Comcast Cable and CSG. CSG’s response to the Complaint is due on December 16, 2002. In the event that either the arbitration or this litigation or the settlement thereof results in the termination of the Master Agreement, Comcast Cable Communications Holdings may incur significant costs in connection with its replacement of these customer care and billing services and may experience temporary disruptions to its operations.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are subject to regulation by federal, state and local governments which may impose costs and restrictions.</w:t>
      </w:r>
    </w:p>
    <w:p>
      <w:pPr>
        <w:spacing w:after="0" w:line="252" w:lineRule="exact"/>
        <w:rPr>
          <w:sz w:val="20"/>
          <w:szCs w:val="20"/>
          <w:color w:val="auto"/>
        </w:rPr>
      </w:pPr>
    </w:p>
    <w:p>
      <w:pPr>
        <w:ind w:right="160" w:firstLine="324"/>
        <w:spacing w:after="0" w:line="294" w:lineRule="auto"/>
        <w:rPr>
          <w:sz w:val="20"/>
          <w:szCs w:val="20"/>
          <w:color w:val="auto"/>
        </w:rPr>
      </w:pPr>
      <w:r>
        <w:rPr>
          <w:rFonts w:ascii="Arial" w:cs="Arial" w:eastAsia="Arial" w:hAnsi="Arial"/>
          <w:sz w:val="16"/>
          <w:szCs w:val="16"/>
          <w:color w:val="auto"/>
        </w:rPr>
        <w:t>The federal, state and local governments extensively regulate the cable communications industry. We expect that court actions and regulatory proceedings will refine the rights and obligations of various parties, including the government, under the Communications Act of 1934, as amended. The results of these judicial and administrative proceedings may materially affect our business operations. Local authorities grant us franchises that permit us to operate our cable systems. We will have to renew or renegotiate these franchises from time to time. Local franchising authorities often demand concessions or other commitments as a condition to renewal or transfer, which concessions or other commitments could be costly to obtain.</w:t>
      </w:r>
    </w:p>
    <w:p>
      <w:pPr>
        <w:spacing w:after="0" w:line="170" w:lineRule="exact"/>
        <w:rPr>
          <w:sz w:val="20"/>
          <w:szCs w:val="20"/>
          <w:color w:val="auto"/>
        </w:rPr>
      </w:pPr>
    </w:p>
    <w:p>
      <w:pPr>
        <w:ind w:right="600" w:firstLine="216"/>
        <w:spacing w:after="0" w:line="268" w:lineRule="auto"/>
        <w:rPr>
          <w:sz w:val="20"/>
          <w:szCs w:val="20"/>
          <w:color w:val="auto"/>
        </w:rPr>
      </w:pPr>
      <w:r>
        <w:rPr>
          <w:rFonts w:ascii="Arial" w:cs="Arial" w:eastAsia="Arial" w:hAnsi="Arial"/>
          <w:sz w:val="18"/>
          <w:szCs w:val="18"/>
          <w:b w:val="1"/>
          <w:bCs w:val="1"/>
          <w:i w:val="1"/>
          <w:iCs w:val="1"/>
          <w:color w:val="auto"/>
        </w:rPr>
        <w:t>We will be subject to additional regulatory burdens in connection with the provision of telecommunications services, which could cause us to incur additional costs.</w:t>
      </w:r>
    </w:p>
    <w:p>
      <w:pPr>
        <w:spacing w:after="0" w:line="213"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We will be subject to risks associated with the regulation of our telecommunications services by the Federal Communications Commission, or FCC, and state public utilities commissions, or PUCs. Telecommunications companies, including companies that have the ability to offer telephone services over the Internet, generally are subject to significant regulation. This regulation could materially adversely affect our business operations.</w:t>
      </w:r>
    </w:p>
    <w:p>
      <w:pPr>
        <w:spacing w:after="0" w:line="161" w:lineRule="exact"/>
        <w:rPr>
          <w:sz w:val="20"/>
          <w:szCs w:val="20"/>
          <w:color w:val="auto"/>
        </w:rPr>
      </w:pPr>
    </w:p>
    <w:p>
      <w:pPr>
        <w:ind w:right="20" w:firstLine="216"/>
        <w:spacing w:after="0" w:line="268" w:lineRule="auto"/>
        <w:rPr>
          <w:sz w:val="20"/>
          <w:szCs w:val="20"/>
          <w:color w:val="auto"/>
        </w:rPr>
      </w:pPr>
      <w:r>
        <w:rPr>
          <w:rFonts w:ascii="Arial" w:cs="Arial" w:eastAsia="Arial" w:hAnsi="Arial"/>
          <w:sz w:val="18"/>
          <w:szCs w:val="18"/>
          <w:b w:val="1"/>
          <w:bCs w:val="1"/>
          <w:i w:val="1"/>
          <w:iCs w:val="1"/>
          <w:color w:val="auto"/>
        </w:rPr>
        <w:t>We may face increased competition because of technological advances and new regulatory requirements, which could adversely affect our future results of operations.</w:t>
      </w:r>
    </w:p>
    <w:p>
      <w:pPr>
        <w:spacing w:after="0" w:line="213"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Numerous companies, including telephone companies, have introduced Digital Subscriber Line technology, known as DSL, which provides Internet access to subscribers at data transmission speeds greater than that of modems over conventional telephone lines. We expect other advances in communications technology, as well as changes in the marketplace, to occur in the future. Other new technologies and services may develop and may compete with services that cable communications systems offer. The success of these ongoing and future developments could have a negative impact on our business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6" w:name="page27"/>
    <w:bookmarkEnd w:id="26"/>
    <w:p>
      <w:pPr>
        <w:ind w:right="40" w:firstLine="324"/>
        <w:spacing w:after="0" w:line="287" w:lineRule="auto"/>
        <w:rPr>
          <w:sz w:val="20"/>
          <w:szCs w:val="20"/>
          <w:color w:val="auto"/>
        </w:rPr>
      </w:pPr>
      <w:r>
        <w:rPr>
          <w:rFonts w:ascii="Arial" w:cs="Arial" w:eastAsia="Arial" w:hAnsi="Arial"/>
          <w:sz w:val="16"/>
          <w:szCs w:val="16"/>
          <w:color w:val="auto"/>
        </w:rPr>
        <w:t>In addition, over the past several years, a number of companies, including telephone companies and ISPs, have asked local, state, and federal governmental authorities to mandate that cable communications operators provide capacity on their broadband infrastructure so that these and others may deliver Internet and other interactive television services directly to customers over these cable facilities. Some cable operators have initiated litigation challenging municipal efforts to unilaterally impose so-called “open access” requirements. The few court decisions dealing with this issue have been inconsistent. Moreover, in connection with their review of the AOL-Time Warner merger, the FCC and the Federal Trade Commission imposed “open access,” technical performance and other requirements related to the merged company’s Internet and Instant Messaging platforms. The FCC recently concluded in a regulatory proceeding initiated by it to consider “open access” and related regulatory issues that cable modem service, as it is currently offered, is properly classified as an interstate information service that is not subject to common carrier regulation but remains subject to the FCC’s jurisdiction. The FCC is seeking public comment regarding the regulatory implications of this conclusion, including, among other things, whether it is appropriate to impose “open access” requirements on these services or whether consumers will be able to obtain a choice of ISPs without government intervention.</w:t>
      </w:r>
    </w:p>
    <w:p>
      <w:pPr>
        <w:spacing w:after="0" w:line="204"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A number of cable operators have reached agreements to provide unaffiliated ISPs access to their cable systems in the absence of regulatory requirements. Comcast Holdings reached an “access” agreement with United Online and Comcast Cable Communications Holdings reached an “access” agreement with each of Earthlink, Internet Central, Connected Data Systems, Galaxy Internet Services and Connect Plus International. In connection with Comcast Holdings’ and AT&amp;T’s agreement with AOL Time Warner providing for the restructuring of Time Warner Entertainment Company L.P., or TWE, Comcast Holdings and Comcast Cable Communications will enter into a three-year non-exclusive access agreement with AOL Time Warner. Under the terms of the exchange agreement that Comcast Holdings and AT&amp;T have executed with Microsoft, now that the AT&amp;T Comcast transaction has been consummated, we will be required, with respect to each such agreement with another ISP, to offer Microsoft an access agreement on terms no less favorable than those provided to the other ISP with respect to the specific cable systems covered under the agreement with the other ISP. Notwithstanding the foregoing, there can be no assurance that regulatory authorities will not impose “open access” or similar requirements on us as part of an industry-wide requirement. Such requirements could have a negative impact on our business operations.</w:t>
      </w:r>
    </w:p>
    <w:p>
      <w:pPr>
        <w:spacing w:after="0" w:line="177" w:lineRule="exact"/>
        <w:rPr>
          <w:sz w:val="20"/>
          <w:szCs w:val="20"/>
          <w:color w:val="auto"/>
        </w:rPr>
      </w:pPr>
    </w:p>
    <w:p>
      <w:pPr>
        <w:ind w:right="480" w:firstLine="216"/>
        <w:spacing w:after="0" w:line="268" w:lineRule="auto"/>
        <w:rPr>
          <w:sz w:val="20"/>
          <w:szCs w:val="20"/>
          <w:color w:val="auto"/>
        </w:rPr>
      </w:pPr>
      <w:r>
        <w:rPr>
          <w:rFonts w:ascii="Arial" w:cs="Arial" w:eastAsia="Arial" w:hAnsi="Arial"/>
          <w:sz w:val="18"/>
          <w:szCs w:val="18"/>
          <w:b w:val="1"/>
          <w:bCs w:val="1"/>
          <w:i w:val="1"/>
          <w:iCs w:val="1"/>
          <w:color w:val="auto"/>
        </w:rPr>
        <w:t>We, through Comcast Cable Communications Holdings, have substantial economic interests in joint ventures in which we have limited management rights.</w:t>
      </w:r>
    </w:p>
    <w:p>
      <w:pPr>
        <w:spacing w:after="0" w:line="213"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Comcast Cable Communications Holdings is a partner in several large joint ventures, such as TWE, Texas Cable Partners and Kansas City Cable Partners, in which it has a substantial economic interest but does not have substantial control with regard to management policies or the selection of management. These joint ventures may be managed in a manner contrary to our best interests, and the value of our investment in these joint ventures, through Comcast Cable Communications Holdings, may be affected by management policies that are determined without our input or over our objections. Comcast Cable Communications Holdings has cable partnerships with each of AOL Time Warner, Insight Communications, Adelphia Communications, Midcontinent and US Cable. Materially adverse financial or other developments with respect to a partner could adversely impact the applicable partnership.</w:t>
      </w:r>
    </w:p>
    <w:p>
      <w:pPr>
        <w:spacing w:after="0" w:line="20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On June 25, 2002, three cable partnerships between subsidiaries of AT&amp;T and subsidiaries of Adelphia Communications Corporation commenced bankruptcy proceedings by the filing of Chapter 11 petitions in the Bankruptcy Court for the Southern District of New York at about the same time that other Adelphia entities filed for bankruptcy. These partnerships are: Century-TCI California Communications, L.P. (in which Comcast Cable Communications Holdings holds a 25% interest through a wholly-owned subsidiary and which as of December 31, 2001 had an aggregate of approximately 775,000 subscribers in the greater Los Angeles, California area), Parnassos Communications, L.P. (in which Comcast Cable Communications Holdings holds a 33.33% interest through a wholly-owned subsidiary) and Western NY Cablevision, L.P. (in which Comcast Cable Communications Holdings holds a 33.33%</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27" w:name="page28"/>
    <w:bookmarkEnd w:id="27"/>
    <w:p>
      <w:pPr>
        <w:ind w:right="80"/>
        <w:spacing w:after="0" w:line="323" w:lineRule="auto"/>
        <w:rPr>
          <w:sz w:val="20"/>
          <w:szCs w:val="20"/>
          <w:color w:val="auto"/>
        </w:rPr>
      </w:pPr>
      <w:r>
        <w:rPr>
          <w:rFonts w:ascii="Arial" w:cs="Arial" w:eastAsia="Arial" w:hAnsi="Arial"/>
          <w:sz w:val="15"/>
          <w:szCs w:val="15"/>
          <w:color w:val="auto"/>
        </w:rPr>
        <w:t>interest through a wholly-owned subsidiary and which as of December 31, 2001 had, together with Parnassos Communications, L.P., an aggregate of approximately 470,000 subscribers in Buffalo, New York and the surrounding areas). We cannot predict what the outcome of these proceedings will be on any of the partnerships and the proceedings may have a material adverse impact on the partnerships. AT&amp;T Broadband Group recorded an impairment charge through net losses related to equity investments of $143 million, net of taxes of $90 million, in connection with the bankruptcy proceedings of the Adelphia partnerships.</w:t>
      </w:r>
    </w:p>
    <w:p>
      <w:pPr>
        <w:spacing w:after="0" w:line="152" w:lineRule="exact"/>
        <w:rPr>
          <w:sz w:val="20"/>
          <w:szCs w:val="20"/>
          <w:color w:val="auto"/>
        </w:rPr>
      </w:pPr>
    </w:p>
    <w:p>
      <w:pPr>
        <w:ind w:right="480" w:firstLine="216"/>
        <w:spacing w:after="0" w:line="268" w:lineRule="auto"/>
        <w:rPr>
          <w:sz w:val="20"/>
          <w:szCs w:val="20"/>
          <w:color w:val="auto"/>
        </w:rPr>
      </w:pPr>
      <w:r>
        <w:rPr>
          <w:rFonts w:ascii="Arial" w:cs="Arial" w:eastAsia="Arial" w:hAnsi="Arial"/>
          <w:sz w:val="18"/>
          <w:szCs w:val="18"/>
          <w:b w:val="1"/>
          <w:bCs w:val="1"/>
          <w:i w:val="1"/>
          <w:iCs w:val="1"/>
          <w:color w:val="auto"/>
        </w:rPr>
        <w:t>We, through Comcast Holdings and Comcast Cable Communications Holdings, face risks arising from their and AT&amp;T’s relationship with At Home Corporation and UAL Corp.</w:t>
      </w:r>
    </w:p>
    <w:p>
      <w:pPr>
        <w:spacing w:after="0" w:line="213"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Through a subsidiary, AT&amp;T owns approximately 23% of the outstanding common stock and 74% of the voting power of the outstanding common stock of At Home Corporation, which filed for bankruptcy protection on September 28, 2001. Until October 1, 2001, AT&amp;T appointed a majority of At Home’s directors and it now appoints none.</w:t>
      </w:r>
    </w:p>
    <w:p>
      <w:pPr>
        <w:spacing w:after="0" w:line="22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Since September 28, 2001, some creditors of At Home have threatened to commence litigation against AT&amp;T relating to the conduct of AT&amp;T or its designees on the At Home Board in connection with At Home’s declaration of bankruptcy and At Home’s subsequent aborted efforts to dispose of some of its businesses or assets in a bankruptcy court-supervised auction, as well as in connection with other aspects of AT&amp;T’s relationship with At Home. On May 1, 2002, At Home filed a proposed plan of liquidation pursuant to Chapter 11 of the U.S. Bankruptcy Code, which, as modified on June 18, 2002, among other things, provides that all claims and causes of action of the bankrupt estate of At Home against AT&amp;T and other shareholders will be transferred to a liquidating trust owned ratably by the bondholders of At Home and funded with at least $12 million, and as much as $17 million, to finance the litigation of those claims. The plan was approved by the bankruptcy court on August 15, 2002 and became effective on or about October 1, 2002. On November 7, 2002, a complaint was filed by the bondholders’ liquidating trust against AT&amp;T and certain of its senior officers alleging various breaches of fiduciary duties, misappropriation of trade secrets and other causes of action in connection with the transactions in March 2000 described below, and prior and subsequent alleged conduct on the part of the defendants. Any liabilities resulting from this lawsuit would be shared equally between AT&amp;T and Comcast Cable Communications Holdings.</w:t>
      </w:r>
    </w:p>
    <w:p>
      <w:pPr>
        <w:spacing w:after="0" w:line="204"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In addition, purported class action lawsuits have been filed in California state court on behalf of At Home shareholders against AT&amp;T, At Home, Comcast Holdings and former directors of At Home. The lawsuits claim that the defendants breached fiduciary obligations of care, candor and loyalty in connection with a transaction announced in March 2000 in which, among other things, AT&amp;T, Cox Communications Inc. and Comcast Holdings agreed to extend existing distribution agreements, the At Home Board was reorganized, and AT&amp;T agreed to give Cox and Comcast Holdings rights to sell their At Home shares to AT&amp;T. These actions have been consolidated by the court. At the request of At Home’s bondholders, on September 10, 2002, the bankruptcy court ruled that the claims asserted in these actions belong to At Home’s bankruptcy estate, not its shareholders, that the actions must be dismissed, and that the claims in the actions are to be prosecuted by the At Home bondholders’ liquidating trust under the confirmed Chapter 11 plan. The order remains subject to appeal. The liability for these lawsuits would be shared equally between AT&amp;T and Comcast Cable Communications Holdings.</w:t>
      </w:r>
    </w:p>
    <w:p>
      <w:pPr>
        <w:spacing w:after="0" w:line="19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On September 23, 2002, the Official Committee of Unsecured Bondholders of At Home filed suit in the United States District Court for the District of Delaware against Comcast Holdings, Cox, Brian L. Roberts in his capacity as a director of At Home, and other corporate and individual defendants. The complaint seeks alleged “short-swing” profits under Section 16(b) of the Securities Exchange Act of 1934 in connection with At Home put options Comcast Holdings and Cox entered into with AT&amp;T. The complaint alleges a total of at least $600 million in damages in the aggregate from Comcast Holdings and Cox in connection with this claim. The complaint also seeks damages in an unspecified amount for alleged breaches of fiduciary duty by the defendants in connection with transactions entered into among AT&amp;T, At Home, Comcast Holdings and Cox. We believe this suit is without merit and intend to vigorously defend ourselves in the action.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28" w:name="page29"/>
    <w:bookmarkEnd w:id="28"/>
    <w:p>
      <w:pPr>
        <w:ind w:right="220" w:firstLine="324"/>
        <w:spacing w:after="0" w:line="298" w:lineRule="auto"/>
        <w:rPr>
          <w:sz w:val="20"/>
          <w:szCs w:val="20"/>
          <w:color w:val="auto"/>
        </w:rPr>
      </w:pPr>
      <w:r>
        <w:rPr>
          <w:rFonts w:ascii="Arial" w:cs="Arial" w:eastAsia="Arial" w:hAnsi="Arial"/>
          <w:sz w:val="16"/>
          <w:szCs w:val="16"/>
          <w:color w:val="auto"/>
        </w:rPr>
        <w:t>In March 2002, three purported class actions were filed in the United States District Court for the Southern District of New York against, among others, AT&amp;T and certain of its senior officers alleging violations of the federal securities laws in connection with disclosures made by At Home in the period from March 28, 2000 through August 28, 2001. These actions have been consolidated. On November 8, 2002, a consolidated class action complaint was filed in this action. Any liabilities resulting from this lawsuit would be shared equally between AT&amp;T and Comcast Cable Communications Holdings.</w:t>
      </w:r>
    </w:p>
    <w:p>
      <w:pPr>
        <w:spacing w:after="0" w:line="194"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As part of a portfolio of lease and project financing assets Comcast Cable Communications Holdings assumed in connection with the acquisition of Comcast MO Group, Comcast Cable Communications Holdings is the lessor of some airplanes under leveraged leases to UAL Corp. and US Airways Group. Under a leveraged lease, the assets are secured with debt, which is non-recourse to Comcast Cable Communications Holdings. US Airways filed for Chapter 11 bankruptcy protection on August 11, 2002 and UAL Corp. filed for Chapter 11 bankruptcy protection on December 9, 2002. In connection with their respective bankruptcy filings, each of US Airways and UAL Corp. can reject or reaffirm its leases. In connection with its bankruptcy filing, US Airways rejected its leases with AT&amp;T Broadband Group. AT&amp;T Broadband Group recorded an after-tax loss of approximately $39 million on such leases during the third quarter of 2002. We do not know if the leases with UAL Corp. will be rejected or reaffirmed. If the leases are rejected and the non-recourse debt holder forecloses on the assets, Comcast Cable Communications Holdings could incur an after-tax loss of approximately $33 million (based on September 30, 2002 balances).</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Our indentures do not restrict our ability to incur additional indebtedness, which could make our debt securities more risky in the future.</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2002, our pro forma consolidated indebtedness was approximately $32.5 billion, of which $25.3 billion was issued by our subsidiaries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was senior to debt obligations at Comcast Corporation. As of September 30, 2002, our pro forma consolidated stockholders’ equity was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$38.5 billion. The indentures that govern the terms of our debt do not restrict our ability or our subsidiaries’ ability to incur additional indebtedness. The degree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we incur additional debt could have important consequences to holders of the securities, including:</w:t>
      </w:r>
    </w:p>
    <w:p>
      <w:pPr>
        <w:spacing w:after="0" w:line="219" w:lineRule="exact"/>
        <w:rPr>
          <w:sz w:val="20"/>
          <w:szCs w:val="20"/>
          <w:color w:val="auto"/>
        </w:rPr>
      </w:pPr>
    </w:p>
    <w:p>
      <w:pPr>
        <w:ind w:left="820" w:right="580" w:hanging="461"/>
        <w:spacing w:after="0" w:line="268"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our ability to obtain any necessary financing in the future for working capital, capital expenditures, debt service requirements or other purposes;</w:t>
      </w:r>
    </w:p>
    <w:p>
      <w:pPr>
        <w:spacing w:after="0" w:line="212" w:lineRule="exact"/>
        <w:rPr>
          <w:rFonts w:ascii="Arial" w:cs="Arial" w:eastAsia="Arial" w:hAnsi="Arial"/>
          <w:sz w:val="18"/>
          <w:szCs w:val="18"/>
          <w:color w:val="auto"/>
        </w:rPr>
      </w:pPr>
    </w:p>
    <w:p>
      <w:pPr>
        <w:ind w:left="820" w:right="320" w:hanging="461"/>
        <w:spacing w:after="0" w:line="268"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flows from operations to the payment of indebtedness and not for other purposes, such as working capital and capital expenditures;</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businesses;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making us more indebted than some of our competitors, which may place us at a competitive disadvantage; and</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making us more vulnerable to a downturn in our businesses.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securities we are offering may not develop an active public market, which could depress the resale price of the securities.</w:t>
      </w:r>
    </w:p>
    <w:p>
      <w:pPr>
        <w:spacing w:after="0" w:line="25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The securities we are offering, other than our Class A Common Stock and Class A Special Common Stock, will be new issues of securities for which there is currently no trading market. We cannot predict whether an active trading market for the securities will develop or be sustained. If an active trading market were to develop, the securities could trade at prices that may be lower than the initial offering price of the securities.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8" w:right="259" w:bottom="1440" w:gutter="0" w:footer="0" w:header="0"/>
        </w:sectPr>
      </w:pPr>
    </w:p>
    <w:bookmarkStart w:id="29" w:name="page30"/>
    <w:bookmarkEnd w:id="29"/>
    <w:p>
      <w:pPr>
        <w:ind w:left="296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businesses may be affected by, among other things:</w:t>
      </w:r>
    </w:p>
    <w:p>
      <w:pPr>
        <w:spacing w:after="0" w:line="225" w:lineRule="exact"/>
        <w:rPr>
          <w:sz w:val="20"/>
          <w:szCs w:val="20"/>
          <w:color w:val="auto"/>
        </w:rPr>
      </w:pPr>
    </w:p>
    <w:p>
      <w:pPr>
        <w:ind w:left="820" w:hanging="461"/>
        <w:spacing w:after="0"/>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changes in laws and regulations;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changes in the competitive environment;</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industry consolidation and mergers;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franchise-related matters;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market conditions that may adversely affect the availability of debt and equity financing for working capital, capital expenditures or other purposes;</w:t>
      </w:r>
    </w:p>
    <w:p>
      <w:pPr>
        <w:spacing w:after="0" w:line="302" w:lineRule="exact"/>
        <w:rPr>
          <w:rFonts w:ascii="Arial" w:cs="Arial" w:eastAsia="Arial" w:hAnsi="Arial"/>
          <w:sz w:val="16"/>
          <w:szCs w:val="16"/>
          <w:color w:val="auto"/>
        </w:rPr>
      </w:pPr>
    </w:p>
    <w:p>
      <w:pPr>
        <w:ind w:left="820" w:hanging="461"/>
        <w:spacing w:after="0"/>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demand for the programming content we distribute or the willingness of other video program providers to carry our content;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52"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In this prospectus and in the documents we incorporate by reference, we state our expectations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“Risk Factors” above. Those factors may cause our actual results to differ materially from any of our forward-looking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58" w:lineRule="exact"/>
        <w:rPr>
          <w:sz w:val="20"/>
          <w:szCs w:val="20"/>
          <w:color w:val="auto"/>
        </w:rPr>
      </w:pPr>
    </w:p>
    <w:p>
      <w:pPr>
        <w:jc w:val="both"/>
        <w:ind w:right="440" w:firstLine="324"/>
        <w:spacing w:after="0" w:line="306"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5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DIVIDEND POLICY</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8"/>
              </w:rPr>
              <w:t>For the Nine</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gridSpan w:val="6"/>
          </w:tcPr>
          <w:p>
            <w:pPr>
              <w:jc w:val="right"/>
              <w:ind w:right="352"/>
              <w:spacing w:after="0"/>
              <w:rPr>
                <w:sz w:val="20"/>
                <w:szCs w:val="20"/>
                <w:color w:val="auto"/>
              </w:rPr>
            </w:pPr>
            <w:r>
              <w:rPr>
                <w:rFonts w:ascii="Arial" w:cs="Arial" w:eastAsia="Arial" w:hAnsi="Arial"/>
                <w:sz w:val="14"/>
                <w:szCs w:val="14"/>
                <w:b w:val="1"/>
                <w:bCs w:val="1"/>
                <w:color w:val="auto"/>
              </w:rPr>
              <w:t>For the Years Ended December 31,</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20" w:type="dxa"/>
            <w:vAlign w:val="bottom"/>
          </w:tcPr>
          <w:p>
            <w:pPr>
              <w:ind w:left="620"/>
              <w:spacing w:after="0"/>
              <w:rPr>
                <w:sz w:val="20"/>
                <w:szCs w:val="20"/>
                <w:color w:val="auto"/>
              </w:rPr>
            </w:pPr>
            <w:r>
              <w:rPr>
                <w:rFonts w:ascii="Arial" w:cs="Arial" w:eastAsia="Arial" w:hAnsi="Arial"/>
                <w:sz w:val="14"/>
                <w:szCs w:val="14"/>
                <w:b w:val="1"/>
                <w:bCs w:val="1"/>
                <w:color w:val="auto"/>
              </w:rPr>
              <w:t>2002</w:t>
            </w:r>
          </w:p>
        </w:tc>
        <w:tc>
          <w:tcPr>
            <w:tcW w:w="106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89"/>
              </w:rPr>
              <w:t>2001</w:t>
            </w:r>
          </w:p>
        </w:tc>
        <w:tc>
          <w:tcPr>
            <w:tcW w:w="104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83"/>
              </w:rPr>
              <w:t>2000</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22"/>
                <w:szCs w:val="22"/>
                <w:color w:val="auto"/>
              </w:rPr>
            </w:pPr>
          </w:p>
        </w:tc>
        <w:tc>
          <w:tcPr>
            <w:tcW w:w="10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1998</w:t>
            </w:r>
          </w:p>
        </w:tc>
        <w:tc>
          <w:tcPr>
            <w:tcW w:w="10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1997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Comcast(a)</w:t>
            </w:r>
          </w:p>
        </w:tc>
        <w:tc>
          <w:tcPr>
            <w:tcW w:w="1520" w:type="dxa"/>
            <w:vAlign w:val="bottom"/>
            <w:shd w:val="clear" w:color="auto" w:fill="EEEEEE"/>
          </w:tcPr>
          <w:p>
            <w:pPr>
              <w:ind w:left="620"/>
              <w:spacing w:after="0"/>
              <w:rPr>
                <w:sz w:val="20"/>
                <w:szCs w:val="20"/>
                <w:color w:val="auto"/>
              </w:rPr>
            </w:pPr>
            <w:r>
              <w:rPr>
                <w:rFonts w:ascii="Arial" w:cs="Arial" w:eastAsia="Arial" w:hAnsi="Arial"/>
                <w:sz w:val="18"/>
                <w:szCs w:val="18"/>
                <w:color w:val="auto"/>
              </w:rPr>
              <w:t>1.03x</w:t>
            </w:r>
          </w:p>
        </w:tc>
        <w:tc>
          <w:tcPr>
            <w:tcW w:w="260" w:type="dxa"/>
            <w:vAlign w:val="bottom"/>
            <w:shd w:val="clear" w:color="auto" w:fill="EEEEEE"/>
          </w:tcPr>
          <w:p>
            <w:pPr>
              <w:spacing w:after="0"/>
              <w:rPr>
                <w:sz w:val="18"/>
                <w:szCs w:val="18"/>
                <w:color w:val="auto"/>
              </w:rPr>
            </w:pPr>
          </w:p>
        </w:tc>
        <w:tc>
          <w:tcPr>
            <w:tcW w:w="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2.20x</w:t>
            </w: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5.93x</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3.30x</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12"/>
              <w:spacing w:after="0"/>
              <w:rPr>
                <w:sz w:val="20"/>
                <w:szCs w:val="20"/>
                <w:color w:val="auto"/>
              </w:rPr>
            </w:pPr>
            <w:r>
              <w:rPr>
                <w:rFonts w:ascii="Arial" w:cs="Arial" w:eastAsia="Arial" w:hAnsi="Arial"/>
                <w:sz w:val="18"/>
                <w:szCs w:val="18"/>
                <w:color w:val="auto"/>
              </w:rPr>
              <w:t>5.37x</w:t>
            </w: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12"/>
              <w:spacing w:after="0"/>
              <w:rPr>
                <w:sz w:val="20"/>
                <w:szCs w:val="20"/>
                <w:color w:val="auto"/>
              </w:rPr>
            </w:pPr>
            <w:r>
              <w:rPr>
                <w:rFonts w:ascii="Arial" w:cs="Arial" w:eastAsia="Arial" w:hAnsi="Arial"/>
                <w:sz w:val="18"/>
                <w:szCs w:val="18"/>
                <w:color w:val="auto"/>
              </w:rPr>
              <w:t>1.21x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Comcast Cable(b)</w:t>
            </w:r>
          </w:p>
        </w:tc>
        <w:tc>
          <w:tcPr>
            <w:tcW w:w="1520" w:type="dxa"/>
            <w:vAlign w:val="bottom"/>
          </w:tcPr>
          <w:p>
            <w:pPr>
              <w:ind w:left="620"/>
              <w:spacing w:after="0"/>
              <w:rPr>
                <w:sz w:val="20"/>
                <w:szCs w:val="20"/>
                <w:color w:val="auto"/>
              </w:rPr>
            </w:pPr>
            <w:r>
              <w:rPr>
                <w:rFonts w:ascii="Arial" w:cs="Arial" w:eastAsia="Arial" w:hAnsi="Arial"/>
                <w:sz w:val="18"/>
                <w:szCs w:val="18"/>
                <w:color w:val="auto"/>
              </w:rPr>
              <w:t>2.35x</w:t>
            </w:r>
          </w:p>
        </w:tc>
        <w:tc>
          <w:tcPr>
            <w:tcW w:w="26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8"/>
                <w:szCs w:val="18"/>
                <w:color w:val="auto"/>
                <w:w w:val="95"/>
              </w:rPr>
              <w:t>(c)</w:t>
            </w:r>
          </w:p>
        </w:tc>
        <w:tc>
          <w:tcPr>
            <w:tcW w:w="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1.76x</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5"/>
              </w:rPr>
              <w:t>(c)</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(c)</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Comcast Cable Communications Holdings(d)</w:t>
            </w:r>
          </w:p>
        </w:tc>
        <w:tc>
          <w:tcPr>
            <w:tcW w:w="1520" w:type="dxa"/>
            <w:vAlign w:val="bottom"/>
            <w:shd w:val="clear" w:color="auto" w:fill="EEEEEE"/>
          </w:tcPr>
          <w:p>
            <w:pPr>
              <w:ind w:left="1020"/>
              <w:spacing w:after="0"/>
              <w:rPr>
                <w:sz w:val="20"/>
                <w:szCs w:val="20"/>
                <w:color w:val="auto"/>
              </w:rPr>
            </w:pPr>
            <w:r>
              <w:rPr>
                <w:rFonts w:ascii="Arial" w:cs="Arial" w:eastAsia="Arial" w:hAnsi="Arial"/>
                <w:sz w:val="18"/>
                <w:szCs w:val="18"/>
                <w:color w:val="auto"/>
              </w:rPr>
              <w:t>(e)</w:t>
            </w:r>
          </w:p>
        </w:tc>
        <w:tc>
          <w:tcPr>
            <w:tcW w:w="260" w:type="dxa"/>
            <w:vAlign w:val="bottom"/>
            <w:shd w:val="clear" w:color="auto" w:fill="EEEEEE"/>
          </w:tcPr>
          <w:p>
            <w:pPr>
              <w:spacing w:after="0"/>
              <w:rPr>
                <w:sz w:val="18"/>
                <w:szCs w:val="18"/>
                <w:color w:val="auto"/>
              </w:rPr>
            </w:pPr>
          </w:p>
        </w:tc>
        <w:tc>
          <w:tcPr>
            <w:tcW w:w="800" w:type="dxa"/>
            <w:vAlign w:val="bottom"/>
            <w:shd w:val="clear" w:color="auto" w:fill="EEEEEE"/>
          </w:tcPr>
          <w:p>
            <w:pPr>
              <w:ind w:left="580"/>
              <w:spacing w:after="0"/>
              <w:rPr>
                <w:sz w:val="20"/>
                <w:szCs w:val="20"/>
                <w:color w:val="auto"/>
              </w:rPr>
            </w:pPr>
            <w:r>
              <w:rPr>
                <w:rFonts w:ascii="Arial" w:cs="Arial" w:eastAsia="Arial" w:hAnsi="Arial"/>
                <w:sz w:val="18"/>
                <w:szCs w:val="18"/>
                <w:color w:val="auto"/>
                <w:w w:val="90"/>
              </w:rPr>
              <w:t>(e)</w:t>
            </w: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ind w:left="600"/>
              <w:spacing w:after="0"/>
              <w:rPr>
                <w:sz w:val="20"/>
                <w:szCs w:val="20"/>
                <w:color w:val="auto"/>
              </w:rPr>
            </w:pPr>
            <w:r>
              <w:rPr>
                <w:rFonts w:ascii="Arial" w:cs="Arial" w:eastAsia="Arial" w:hAnsi="Arial"/>
                <w:sz w:val="18"/>
                <w:szCs w:val="18"/>
                <w:color w:val="auto"/>
                <w:w w:val="81"/>
              </w:rPr>
              <w:t>(e)</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0"/>
              </w:rPr>
              <w:t>(e)</w:t>
            </w: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Comcast Cable Holdings(f)</w:t>
            </w:r>
          </w:p>
        </w:tc>
        <w:tc>
          <w:tcPr>
            <w:tcW w:w="1520" w:type="dxa"/>
            <w:vAlign w:val="bottom"/>
          </w:tcPr>
          <w:p>
            <w:pPr>
              <w:ind w:left="1020"/>
              <w:spacing w:after="0"/>
              <w:rPr>
                <w:sz w:val="20"/>
                <w:szCs w:val="20"/>
                <w:color w:val="auto"/>
              </w:rPr>
            </w:pPr>
            <w:r>
              <w:rPr>
                <w:rFonts w:ascii="Arial" w:cs="Arial" w:eastAsia="Arial" w:hAnsi="Arial"/>
                <w:sz w:val="18"/>
                <w:szCs w:val="18"/>
                <w:color w:val="auto"/>
              </w:rPr>
              <w:t>(g)</w:t>
            </w:r>
          </w:p>
        </w:tc>
        <w:tc>
          <w:tcPr>
            <w:tcW w:w="26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8"/>
                <w:szCs w:val="18"/>
                <w:color w:val="auto"/>
                <w:w w:val="90"/>
              </w:rPr>
              <w:t>(g)</w:t>
            </w:r>
          </w:p>
        </w:tc>
        <w:tc>
          <w:tcPr>
            <w:tcW w:w="240" w:type="dxa"/>
            <w:vAlign w:val="bottom"/>
          </w:tcPr>
          <w:p>
            <w:pPr>
              <w:spacing w:after="0"/>
              <w:rPr>
                <w:sz w:val="18"/>
                <w:szCs w:val="18"/>
                <w:color w:val="auto"/>
              </w:rPr>
            </w:pPr>
          </w:p>
        </w:tc>
        <w:tc>
          <w:tcPr>
            <w:tcW w:w="800" w:type="dxa"/>
            <w:vAlign w:val="bottom"/>
          </w:tcPr>
          <w:p>
            <w:pPr>
              <w:ind w:left="600"/>
              <w:spacing w:after="0"/>
              <w:rPr>
                <w:sz w:val="20"/>
                <w:szCs w:val="20"/>
                <w:color w:val="auto"/>
              </w:rPr>
            </w:pPr>
            <w:r>
              <w:rPr>
                <w:rFonts w:ascii="Arial" w:cs="Arial" w:eastAsia="Arial" w:hAnsi="Arial"/>
                <w:sz w:val="18"/>
                <w:szCs w:val="18"/>
                <w:color w:val="auto"/>
                <w:w w:val="81"/>
              </w:rPr>
              <w:t>(g)</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0"/>
              </w:rPr>
              <w:t>(g)</w:t>
            </w:r>
          </w:p>
        </w:tc>
        <w:tc>
          <w:tcPr>
            <w:tcW w:w="26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Comcast MO Group(f)</w:t>
            </w:r>
          </w:p>
        </w:tc>
        <w:tc>
          <w:tcPr>
            <w:tcW w:w="1520" w:type="dxa"/>
            <w:vAlign w:val="bottom"/>
            <w:shd w:val="clear" w:color="auto" w:fill="EEEEEE"/>
          </w:tcPr>
          <w:p>
            <w:pPr>
              <w:ind w:left="620"/>
              <w:spacing w:after="0"/>
              <w:rPr>
                <w:sz w:val="20"/>
                <w:szCs w:val="20"/>
                <w:color w:val="auto"/>
              </w:rPr>
            </w:pPr>
            <w:r>
              <w:rPr>
                <w:rFonts w:ascii="Arial" w:cs="Arial" w:eastAsia="Arial" w:hAnsi="Arial"/>
                <w:sz w:val="18"/>
                <w:szCs w:val="18"/>
                <w:color w:val="auto"/>
              </w:rPr>
              <w:t>2.53x</w:t>
            </w:r>
          </w:p>
        </w:tc>
        <w:tc>
          <w:tcPr>
            <w:tcW w:w="260" w:type="dxa"/>
            <w:vAlign w:val="bottom"/>
            <w:shd w:val="clear" w:color="auto" w:fill="EEEEEE"/>
          </w:tcPr>
          <w:p>
            <w:pPr>
              <w:spacing w:after="0"/>
              <w:rPr>
                <w:sz w:val="18"/>
                <w:szCs w:val="18"/>
                <w:color w:val="auto"/>
              </w:rPr>
            </w:pPr>
          </w:p>
        </w:tc>
        <w:tc>
          <w:tcPr>
            <w:tcW w:w="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4.96x</w:t>
            </w: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ind w:left="600"/>
              <w:spacing w:after="0"/>
              <w:rPr>
                <w:sz w:val="20"/>
                <w:szCs w:val="20"/>
                <w:color w:val="auto"/>
              </w:rPr>
            </w:pPr>
            <w:r>
              <w:rPr>
                <w:rFonts w:ascii="Arial" w:cs="Arial" w:eastAsia="Arial" w:hAnsi="Arial"/>
                <w:sz w:val="18"/>
                <w:szCs w:val="18"/>
                <w:color w:val="auto"/>
                <w:w w:val="81"/>
              </w:rPr>
              <w:t>(h)</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bottom w:val="single" w:sz="8" w:color="808080"/>
            </w:tcBorders>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right="100" w:hanging="352"/>
        <w:spacing w:after="0" w:line="332" w:lineRule="auto"/>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became the parent of Comcast Holdings and Comcast Cable Communications Holdings on November 18, 2002 in connection with the consummation of the merger of Comcast Holdings and Comcast Cable Communications Holdings with our subsidiaries. Because Comcast Holdings is our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jc w:val="both"/>
        <w:ind w:left="360" w:right="40"/>
        <w:spacing w:after="0" w:line="306" w:lineRule="auto"/>
        <w:rPr>
          <w:sz w:val="20"/>
          <w:szCs w:val="20"/>
          <w:color w:val="auto"/>
        </w:rPr>
      </w:pPr>
      <w:r>
        <w:rPr>
          <w:rFonts w:ascii="Arial" w:cs="Arial" w:eastAsia="Arial" w:hAnsi="Arial"/>
          <w:sz w:val="16"/>
          <w:szCs w:val="16"/>
          <w:color w:val="auto"/>
        </w:rPr>
        <w:t>predecessor, our historical ratios are the same as Comcast Holdings’ historical ratios. For purposes of our ratio of earnings to fixed charges, earnings consist of income (loss) from continuing operations before income taxes, cumulative effect of accounting changes, minority interest, equity in net (income) losses of affiliates and fixed charges. Fixed charges consist of interest expense and capitalized interest.</w:t>
      </w:r>
    </w:p>
    <w:p>
      <w:pPr>
        <w:spacing w:after="0" w:line="188" w:lineRule="exact"/>
        <w:rPr>
          <w:sz w:val="20"/>
          <w:szCs w:val="20"/>
          <w:color w:val="auto"/>
        </w:rPr>
      </w:pPr>
    </w:p>
    <w:p>
      <w:pPr>
        <w:ind w:left="360" w:hanging="352"/>
        <w:spacing w:after="0" w:line="283" w:lineRule="auto"/>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purposes of Comcast Cable’s ratio of earnings to fixed charges, earnings consist of income (loss) from continuing operations before income taxes, cumulative effect of accounting changes, minority interest, equity in net (income) losses of affiliates and fixed charges. Fixed charges consist of interest expense and interest expense on notes payable to affiliates. As described in Note 2 to Comcast Cable’s unaudited condensed consolidated financial statements for the quarter ended September 30, 2002, which are incorporated herein by reference, Comcast Cable adopted the provisions of SFAS No. 145 on April 1, 2002. In connection with the adoption of SFAS No. 145, amounts previously reported net of taxes as extraordinary items have been reclassified to interest expense and income taxes. The table above includes reclassifications of interest expense of $10.9 million, $9.5 million, $0.2 million and</w:t>
      </w:r>
    </w:p>
    <w:p>
      <w:pPr>
        <w:spacing w:after="0" w:line="1"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$25.7 million for the years ended December 31, 2000, 1999, 1998 and 1997, respectively.</w:t>
      </w:r>
    </w:p>
    <w:p>
      <w:pPr>
        <w:spacing w:after="0" w:line="9" w:lineRule="exact"/>
        <w:rPr>
          <w:rFonts w:ascii="Arial" w:cs="Arial" w:eastAsia="Arial" w:hAnsi="Arial"/>
          <w:sz w:val="16"/>
          <w:szCs w:val="16"/>
          <w:color w:val="auto"/>
        </w:rPr>
      </w:pPr>
    </w:p>
    <w:p>
      <w:pPr>
        <w:ind w:left="360" w:right="120"/>
        <w:spacing w:after="0" w:line="290" w:lineRule="auto"/>
        <w:rPr>
          <w:rFonts w:ascii="Arial" w:cs="Arial" w:eastAsia="Arial" w:hAnsi="Arial"/>
          <w:sz w:val="16"/>
          <w:szCs w:val="16"/>
          <w:color w:val="auto"/>
        </w:rPr>
      </w:pPr>
      <w:r>
        <w:rPr>
          <w:rFonts w:ascii="Arial" w:cs="Arial" w:eastAsia="Arial" w:hAnsi="Arial"/>
          <w:sz w:val="16"/>
          <w:szCs w:val="16"/>
          <w:color w:val="auto"/>
        </w:rPr>
        <w:t>In addition, as described in Note 2 to Comcast Cable’s unaudited condensed consolidated financial statements for the quarter ended September 30, 2002, which are incorporated herein by reference, Comcast Cable adopted EITF 01-14 effective January 1, 2002. Upon adoption, Comcast Cable reclassified franchise fees collected from cable subscribers from a reduction of selling, general and administrative expenses to a component of service revenues in its consolidated statement of operations. The impact of adopting EITF 01-14 was to increase service revenues and selling, general and administrative expenses by $189.4 million, $149.9 million, $103.4 million, $94.7 million and $72.8 million for the years ended December 31, 2001, 2000, 1999, 1998 and 1997, respectively. This reclassification had no impact on Comcast Cable’s reported operating income (loss) or financial condition.</w:t>
      </w:r>
    </w:p>
    <w:p>
      <w:pPr>
        <w:spacing w:after="0" w:line="172" w:lineRule="exact"/>
        <w:rPr>
          <w:rFonts w:ascii="Arial" w:cs="Arial" w:eastAsia="Arial" w:hAnsi="Arial"/>
          <w:sz w:val="16"/>
          <w:szCs w:val="16"/>
          <w:color w:val="auto"/>
        </w:rPr>
      </w:pPr>
    </w:p>
    <w:p>
      <w:pPr>
        <w:ind w:left="360" w:right="460" w:hanging="352"/>
        <w:spacing w:after="0" w:line="268"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years ended December 31, 2001, 1999, 1998 and 1997, Comcast Cable’s earnings, as defined above, were inadequate to cover fixed charges by $390.0 million, $408.7 million, $149.8 million and $202.4 million, respectively.</w:t>
      </w:r>
    </w:p>
    <w:p>
      <w:pPr>
        <w:spacing w:after="0" w:line="212" w:lineRule="exact"/>
        <w:rPr>
          <w:rFonts w:ascii="Arial" w:cs="Arial" w:eastAsia="Arial" w:hAnsi="Arial"/>
          <w:sz w:val="18"/>
          <w:szCs w:val="18"/>
          <w:color w:val="auto"/>
        </w:rPr>
      </w:pPr>
    </w:p>
    <w:p>
      <w:pPr>
        <w:ind w:left="360" w:right="20" w:hanging="352"/>
        <w:spacing w:after="0" w:line="289" w:lineRule="auto"/>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From its date of inception on December 14, 2001 through September 30, 2002, Comcast Cable Communications Holdings had no operations. On November 18, 2002, AT&amp;T contributed its broadband communications business, referred to as the AT&amp;T Broadband Group in this prospectus, to Comcast Cable Communications Holdings. Because AT&amp;T Broadband Group is the predecessor of Comcast Cable Communications Holdings, Comcast Cable Communications Holdings’ historical ratios are the same as AT&amp;T Broadband Group’s historical ratios. For the purpose of calculating the ratio of earnings to fixed charges, earnings is calculated by adding fixed charges excluding capitalized interest to income from continuing operations before income taxes, and by adding distributions of less-than-fifty-percent-owned affiliates. By fixed charges we mean total interest, including capitalized interest, dividend requirements on preferred stock and interest on trust preferred securities and a portion of rentals, which we believe is representative of the interest factor of our rental expense, as applicable.</w:t>
      </w:r>
    </w:p>
    <w:p>
      <w:pPr>
        <w:spacing w:after="0" w:line="199" w:lineRule="exact"/>
        <w:rPr>
          <w:rFonts w:ascii="Arial" w:cs="Arial" w:eastAsia="Arial" w:hAnsi="Arial"/>
          <w:sz w:val="16"/>
          <w:szCs w:val="16"/>
          <w:color w:val="auto"/>
        </w:rPr>
      </w:pPr>
    </w:p>
    <w:p>
      <w:pPr>
        <w:ind w:left="360" w:right="200" w:hanging="352"/>
        <w:spacing w:after="0" w:line="306" w:lineRule="auto"/>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Comcast Cable Communications Holdings’ loss for the nine months ended September 30, 2002, the years ended December 31, 2001 and 2000, and the ten month period ended December 31, 1999 was inadequate to cover fixed charges, dividend requirements on subsidiary preferred stock and interest on trust preferred securities in the amount of $19.2 billion, $9.2 billion, $10.4 billion and $2.0 billion, respectively.</w:t>
      </w:r>
    </w:p>
    <w:p>
      <w:pPr>
        <w:spacing w:after="0" w:line="187" w:lineRule="exact"/>
        <w:rPr>
          <w:rFonts w:ascii="Arial" w:cs="Arial" w:eastAsia="Arial" w:hAnsi="Arial"/>
          <w:sz w:val="16"/>
          <w:szCs w:val="16"/>
          <w:color w:val="auto"/>
        </w:rPr>
      </w:pPr>
    </w:p>
    <w:p>
      <w:pPr>
        <w:ind w:left="360" w:right="360" w:hanging="352"/>
        <w:spacing w:after="0" w:line="306" w:lineRule="auto"/>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purpose of Comcast Cable Holdings’ and Comcast MO Group’s ratio of earnings to fixed charges, earnings is calculated by adding fixed charges excluding capitalized interest to income from continuing operations before income taxes, and by adding distributions of less-than-fifty-percent-owned affiliates. Fixed charges consist of total interest, including capitalized interest, dividend requirements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1" w:name="page32"/>
    <w:bookmarkEnd w:id="31"/>
    <w:p>
      <w:pPr>
        <w:ind w:left="360" w:right="480"/>
        <w:spacing w:after="0" w:line="268" w:lineRule="auto"/>
        <w:rPr>
          <w:sz w:val="20"/>
          <w:szCs w:val="20"/>
          <w:color w:val="auto"/>
        </w:rPr>
      </w:pPr>
      <w:r>
        <w:rPr>
          <w:rFonts w:ascii="Arial" w:cs="Arial" w:eastAsia="Arial" w:hAnsi="Arial"/>
          <w:sz w:val="18"/>
          <w:szCs w:val="18"/>
          <w:color w:val="auto"/>
        </w:rPr>
        <w:t>on preferred stock and interest on trust preferred securities and a portion of rentals, which Comcast Cable Holdings and Comcast MO Group believe is representative of the interest factor of their rental expense, as applicable.</w:t>
      </w:r>
    </w:p>
    <w:p>
      <w:pPr>
        <w:spacing w:after="0" w:line="213" w:lineRule="exact"/>
        <w:rPr>
          <w:sz w:val="20"/>
          <w:szCs w:val="20"/>
          <w:color w:val="auto"/>
        </w:rPr>
      </w:pPr>
    </w:p>
    <w:p>
      <w:pPr>
        <w:ind w:left="360" w:right="460" w:hanging="352"/>
        <w:spacing w:after="0" w:line="370" w:lineRule="auto"/>
        <w:tabs>
          <w:tab w:leader="none" w:pos="3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Comcast Cable Holdings’ loss for the nine months ended September 30, 2002, the years ended December 31, 2001 and 2000, and the ten month period ended December 31, 1999 was inadequate to cover fixed charges in the amount of $1.1 billion, $1.5 billion, $1.9 billion and $1.3 billion, respectively.</w:t>
      </w:r>
    </w:p>
    <w:p>
      <w:pPr>
        <w:spacing w:after="0" w:line="143" w:lineRule="exact"/>
        <w:rPr>
          <w:rFonts w:ascii="Arial" w:cs="Arial" w:eastAsia="Arial" w:hAnsi="Arial"/>
          <w:sz w:val="15"/>
          <w:szCs w:val="15"/>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Comcast MO Group’s loss for the period ended December 31, 2000 was inadequate to cover fixed charges in the amount of $0.4 billion.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RATIO OF EARNINGS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FIXED CHARGES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0"/>
              </w:rPr>
              <w:t>For the Nine</w:t>
            </w:r>
          </w:p>
        </w:tc>
        <w:tc>
          <w:tcPr>
            <w:tcW w:w="3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30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7"/>
              </w:rPr>
              <w:t>September 30, 2002</w:t>
            </w:r>
          </w:p>
        </w:tc>
        <w:tc>
          <w:tcPr>
            <w:tcW w:w="30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 2001</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Comcast</w:t>
            </w:r>
          </w:p>
        </w:tc>
        <w:tc>
          <w:tcPr>
            <w:tcW w:w="1860" w:type="dxa"/>
            <w:vAlign w:val="bottom"/>
            <w:shd w:val="clear" w:color="auto" w:fill="EEEEEE"/>
          </w:tcPr>
          <w:p>
            <w:pPr>
              <w:ind w:left="1020"/>
              <w:spacing w:after="0"/>
              <w:rPr>
                <w:sz w:val="20"/>
                <w:szCs w:val="20"/>
                <w:color w:val="auto"/>
              </w:rPr>
            </w:pPr>
            <w:r>
              <w:rPr>
                <w:rFonts w:ascii="Arial" w:cs="Arial" w:eastAsia="Arial" w:hAnsi="Arial"/>
                <w:sz w:val="18"/>
                <w:szCs w:val="18"/>
                <w:color w:val="auto"/>
              </w:rPr>
              <w:t>(j)</w:t>
            </w:r>
          </w:p>
        </w:tc>
        <w:tc>
          <w:tcPr>
            <w:tcW w:w="300" w:type="dxa"/>
            <w:vAlign w:val="bottom"/>
            <w:shd w:val="clear" w:color="auto" w:fill="EEEEEE"/>
          </w:tcPr>
          <w:p>
            <w:pPr>
              <w:spacing w:after="0"/>
              <w:rPr>
                <w:sz w:val="18"/>
                <w:szCs w:val="18"/>
                <w:color w:val="auto"/>
              </w:rPr>
            </w:pPr>
          </w:p>
        </w:tc>
        <w:tc>
          <w:tcPr>
            <w:tcW w:w="1740" w:type="dxa"/>
            <w:vAlign w:val="bottom"/>
            <w:shd w:val="clear" w:color="auto" w:fill="EEEEEE"/>
          </w:tcPr>
          <w:p>
            <w:pPr>
              <w:ind w:left="90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r>
        <w:trPr>
          <w:trHeight w:val="216"/>
        </w:trPr>
        <w:tc>
          <w:tcPr>
            <w:tcW w:w="580" w:type="dxa"/>
            <w:vAlign w:val="bottom"/>
            <w:tcBorders>
              <w:bottom w:val="single" w:sz="8" w:color="808080"/>
            </w:tcBorders>
          </w:tcPr>
          <w:p>
            <w:pPr>
              <w:spacing w:after="0"/>
              <w:rPr>
                <w:sz w:val="18"/>
                <w:szCs w:val="18"/>
                <w:color w:val="auto"/>
              </w:rPr>
            </w:pPr>
          </w:p>
        </w:tc>
        <w:tc>
          <w:tcPr>
            <w:tcW w:w="3000" w:type="dxa"/>
            <w:vAlign w:val="bottom"/>
            <w:tcBorders>
              <w:bottom w:val="single" w:sz="8" w:color="808080"/>
            </w:tcBorders>
          </w:tcPr>
          <w:p>
            <w:pPr>
              <w:spacing w:after="0"/>
              <w:rPr>
                <w:sz w:val="18"/>
                <w:szCs w:val="18"/>
                <w:color w:val="auto"/>
              </w:rPr>
            </w:pPr>
          </w:p>
        </w:tc>
        <w:tc>
          <w:tcPr>
            <w:tcW w:w="3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right="360" w:hanging="352"/>
        <w:spacing w:after="0" w:line="256"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purposes of calculating our pro forma ratio of earnings to fixed charges, earnings consist of income (loss) before income taxes, extraordinary items, cumulative effect of accounting change, minority interest, equity in net (income) losses of affiliates and fixed charges. Fixed charges consist of interest expense. For the nine months ended September 30, 2002 and for the year ended December 31, 2001, earning as defined above, were inadequate to cover fixed charges by $19.1 billion and $6.0 billion, respectively.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COMBINED FIXED CHARGES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PREFERRED DIVIDENDS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3"/>
          </w:tcPr>
          <w:p>
            <w:pPr>
              <w:ind w:left="120"/>
              <w:spacing w:after="0"/>
              <w:rPr>
                <w:sz w:val="20"/>
                <w:szCs w:val="20"/>
                <w:color w:val="auto"/>
              </w:rPr>
            </w:pPr>
            <w:r>
              <w:rPr>
                <w:rFonts w:ascii="Arial" w:cs="Arial" w:eastAsia="Arial" w:hAnsi="Arial"/>
                <w:sz w:val="14"/>
                <w:szCs w:val="14"/>
                <w:b w:val="1"/>
                <w:bCs w:val="1"/>
                <w:color w:val="auto"/>
                <w:w w:val="88"/>
              </w:rPr>
              <w:t>Pro Forma</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Historical</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5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8"/>
              </w:rPr>
              <w:t>For the Nine</w:t>
            </w:r>
          </w:p>
        </w:tc>
        <w:tc>
          <w:tcPr>
            <w:tcW w:w="900" w:type="dxa"/>
            <w:vAlign w:val="bottom"/>
          </w:tcPr>
          <w:p>
            <w:pPr>
              <w:jc w:val="center"/>
              <w:ind w:right="48"/>
              <w:spacing w:after="0"/>
              <w:rPr>
                <w:sz w:val="20"/>
                <w:szCs w:val="20"/>
                <w:color w:val="auto"/>
              </w:rPr>
            </w:pPr>
            <w:r>
              <w:rPr>
                <w:rFonts w:ascii="Arial" w:cs="Arial" w:eastAsia="Arial" w:hAnsi="Arial"/>
                <w:sz w:val="14"/>
                <w:szCs w:val="14"/>
                <w:b w:val="1"/>
                <w:bCs w:val="1"/>
                <w:color w:val="auto"/>
                <w:w w:val="90"/>
              </w:rPr>
              <w:t>For the Year</w:t>
            </w:r>
          </w:p>
        </w:tc>
        <w:tc>
          <w:tcPr>
            <w:tcW w:w="280" w:type="dxa"/>
            <w:vAlign w:val="bottom"/>
          </w:tcPr>
          <w:p>
            <w:pPr>
              <w:spacing w:after="0"/>
              <w:rPr>
                <w:sz w:val="20"/>
                <w:szCs w:val="20"/>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For the Nine</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5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9"/>
              </w:rPr>
              <w:t>Months Ended</w:t>
            </w:r>
          </w:p>
        </w:tc>
        <w:tc>
          <w:tcPr>
            <w:tcW w:w="900" w:type="dxa"/>
            <w:vAlign w:val="bottom"/>
          </w:tcPr>
          <w:p>
            <w:pPr>
              <w:jc w:val="center"/>
              <w:ind w:right="48"/>
              <w:spacing w:after="0"/>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5"/>
                <w:szCs w:val="15"/>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Months Ended</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5"/>
          </w:tcPr>
          <w:p>
            <w:pPr>
              <w:ind w:left="200"/>
              <w:spacing w:after="0"/>
              <w:rPr>
                <w:sz w:val="20"/>
                <w:szCs w:val="20"/>
                <w:color w:val="auto"/>
              </w:rPr>
            </w:pPr>
            <w:r>
              <w:rPr>
                <w:rFonts w:ascii="Arial" w:cs="Arial" w:eastAsia="Arial" w:hAnsi="Arial"/>
                <w:sz w:val="14"/>
                <w:szCs w:val="14"/>
                <w:b w:val="1"/>
                <w:bCs w:val="1"/>
                <w:color w:val="auto"/>
                <w:w w:val="90"/>
              </w:rPr>
              <w:t>For the Years Ended December 31,</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54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85"/>
              </w:rPr>
              <w:t>September 30,</w:t>
            </w:r>
          </w:p>
        </w:tc>
        <w:tc>
          <w:tcPr>
            <w:tcW w:w="9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85"/>
              </w:rPr>
              <w:t>December 31,</w:t>
            </w:r>
          </w:p>
        </w:tc>
        <w:tc>
          <w:tcPr>
            <w:tcW w:w="280" w:type="dxa"/>
            <w:vAlign w:val="bottom"/>
          </w:tcPr>
          <w:p>
            <w:pPr>
              <w:spacing w:after="0"/>
              <w:rPr>
                <w:sz w:val="8"/>
                <w:szCs w:val="8"/>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780" w:type="dxa"/>
            <w:vAlign w:val="bottom"/>
          </w:tcPr>
          <w:p>
            <w:pPr>
              <w:jc w:val="center"/>
              <w:ind w:left="268"/>
              <w:spacing w:after="0"/>
              <w:rPr>
                <w:sz w:val="20"/>
                <w:szCs w:val="20"/>
                <w:color w:val="auto"/>
              </w:rPr>
            </w:pPr>
            <w:r>
              <w:rPr>
                <w:rFonts w:ascii="Arial" w:cs="Arial" w:eastAsia="Arial" w:hAnsi="Arial"/>
                <w:sz w:val="14"/>
                <w:szCs w:val="14"/>
                <w:b w:val="1"/>
                <w:bCs w:val="1"/>
                <w:color w:val="auto"/>
                <w:w w:val="89"/>
              </w:rPr>
              <w:t>2002</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48"/>
              <w:spacing w:after="0"/>
              <w:rPr>
                <w:sz w:val="20"/>
                <w:szCs w:val="20"/>
                <w:color w:val="auto"/>
              </w:rPr>
            </w:pPr>
            <w:r>
              <w:rPr>
                <w:rFonts w:ascii="Arial" w:cs="Arial" w:eastAsia="Arial" w:hAnsi="Arial"/>
                <w:sz w:val="14"/>
                <w:szCs w:val="14"/>
                <w:b w:val="1"/>
                <w:bCs w:val="1"/>
                <w:color w:val="auto"/>
                <w:w w:val="83"/>
              </w:rPr>
              <w:t>2001</w:t>
            </w:r>
          </w:p>
        </w:tc>
        <w:tc>
          <w:tcPr>
            <w:tcW w:w="174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w w:val="83"/>
              </w:rPr>
              <w:t>2002</w:t>
            </w:r>
          </w:p>
        </w:tc>
        <w:tc>
          <w:tcPr>
            <w:tcW w:w="260" w:type="dxa"/>
            <w:vAlign w:val="bottom"/>
          </w:tcPr>
          <w:p>
            <w:pPr>
              <w:spacing w:after="0"/>
              <w:rPr>
                <w:sz w:val="16"/>
                <w:szCs w:val="16"/>
                <w:color w:val="auto"/>
              </w:rPr>
            </w:pPr>
          </w:p>
        </w:tc>
        <w:tc>
          <w:tcPr>
            <w:tcW w:w="600" w:type="dxa"/>
            <w:vAlign w:val="bottom"/>
          </w:tcPr>
          <w:p>
            <w:pPr>
              <w:jc w:val="right"/>
              <w:ind w:right="82"/>
              <w:spacing w:after="0"/>
              <w:rPr>
                <w:sz w:val="20"/>
                <w:szCs w:val="20"/>
                <w:color w:val="auto"/>
              </w:rPr>
            </w:pPr>
            <w:r>
              <w:rPr>
                <w:rFonts w:ascii="Arial" w:cs="Arial" w:eastAsia="Arial" w:hAnsi="Arial"/>
                <w:sz w:val="14"/>
                <w:szCs w:val="14"/>
                <w:b w:val="1"/>
                <w:bCs w:val="1"/>
                <w:color w:val="auto"/>
              </w:rPr>
              <w:t>2001</w:t>
            </w:r>
          </w:p>
        </w:tc>
        <w:tc>
          <w:tcPr>
            <w:tcW w:w="860" w:type="dxa"/>
            <w:vAlign w:val="bottom"/>
            <w:gridSpan w:val="2"/>
          </w:tcPr>
          <w:p>
            <w:pPr>
              <w:jc w:val="right"/>
              <w:ind w:right="86"/>
              <w:spacing w:after="0"/>
              <w:rPr>
                <w:sz w:val="20"/>
                <w:szCs w:val="20"/>
                <w:color w:val="auto"/>
              </w:rPr>
            </w:pPr>
            <w:r>
              <w:rPr>
                <w:rFonts w:ascii="Arial" w:cs="Arial" w:eastAsia="Arial" w:hAnsi="Arial"/>
                <w:sz w:val="14"/>
                <w:szCs w:val="14"/>
                <w:b w:val="1"/>
                <w:bCs w:val="1"/>
                <w:color w:val="auto"/>
              </w:rPr>
              <w:t>2000</w:t>
            </w:r>
          </w:p>
        </w:tc>
        <w:tc>
          <w:tcPr>
            <w:tcW w:w="280" w:type="dxa"/>
            <w:vAlign w:val="bottom"/>
          </w:tcPr>
          <w:p>
            <w:pPr>
              <w:spacing w:after="0"/>
              <w:rPr>
                <w:sz w:val="16"/>
                <w:szCs w:val="16"/>
                <w:color w:val="auto"/>
              </w:rPr>
            </w:pPr>
          </w:p>
        </w:tc>
        <w:tc>
          <w:tcPr>
            <w:tcW w:w="580" w:type="dxa"/>
            <w:vAlign w:val="bottom"/>
          </w:tcPr>
          <w:p>
            <w:pPr>
              <w:jc w:val="right"/>
              <w:ind w:right="82"/>
              <w:spacing w:after="0"/>
              <w:rPr>
                <w:sz w:val="20"/>
                <w:szCs w:val="20"/>
                <w:color w:val="auto"/>
              </w:rPr>
            </w:pPr>
            <w:r>
              <w:rPr>
                <w:rFonts w:ascii="Arial" w:cs="Arial" w:eastAsia="Arial" w:hAnsi="Arial"/>
                <w:sz w:val="14"/>
                <w:szCs w:val="14"/>
                <w:b w:val="1"/>
                <w:bCs w:val="1"/>
                <w:color w:val="auto"/>
              </w:rPr>
              <w:t>1999</w:t>
            </w:r>
          </w:p>
        </w:tc>
        <w:tc>
          <w:tcPr>
            <w:tcW w:w="8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1998</w:t>
            </w:r>
          </w:p>
        </w:tc>
        <w:tc>
          <w:tcPr>
            <w:tcW w:w="980" w:type="dxa"/>
            <w:vAlign w:val="bottom"/>
            <w:gridSpan w:val="2"/>
          </w:tcPr>
          <w:p>
            <w:pPr>
              <w:ind w:left="500"/>
              <w:spacing w:after="0"/>
              <w:rPr>
                <w:sz w:val="20"/>
                <w:szCs w:val="20"/>
                <w:color w:val="auto"/>
              </w:rPr>
            </w:pPr>
            <w:r>
              <w:rPr>
                <w:rFonts w:ascii="Arial" w:cs="Arial" w:eastAsia="Arial" w:hAnsi="Arial"/>
                <w:sz w:val="14"/>
                <w:szCs w:val="14"/>
                <w:b w:val="1"/>
                <w:bCs w:val="1"/>
                <w:color w:val="auto"/>
              </w:rPr>
              <w:t>1997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EEEEEE"/>
          </w:tcPr>
          <w:p>
            <w:pPr>
              <w:spacing w:after="0"/>
              <w:rPr>
                <w:sz w:val="20"/>
                <w:szCs w:val="20"/>
                <w:color w:val="auto"/>
              </w:rPr>
            </w:pPr>
            <w:r>
              <w:rPr>
                <w:rFonts w:ascii="Arial" w:cs="Arial" w:eastAsia="Arial" w:hAnsi="Arial"/>
                <w:sz w:val="18"/>
                <w:szCs w:val="18"/>
                <w:color w:val="auto"/>
              </w:rPr>
              <w:t>Comcast</w:t>
            </w:r>
          </w:p>
        </w:tc>
        <w:tc>
          <w:tcPr>
            <w:tcW w:w="1540" w:type="dxa"/>
            <w:vAlign w:val="bottom"/>
            <w:gridSpan w:val="4"/>
            <w:shd w:val="clear" w:color="auto" w:fill="EEEEEE"/>
          </w:tcPr>
          <w:p>
            <w:pPr>
              <w:ind w:left="580"/>
              <w:spacing w:after="0"/>
              <w:rPr>
                <w:sz w:val="20"/>
                <w:szCs w:val="20"/>
                <w:color w:val="auto"/>
              </w:rPr>
            </w:pPr>
            <w:r>
              <w:rPr>
                <w:rFonts w:ascii="Arial" w:cs="Arial" w:eastAsia="Arial" w:hAnsi="Arial"/>
                <w:sz w:val="18"/>
                <w:szCs w:val="18"/>
                <w:color w:val="auto"/>
              </w:rPr>
              <w:t>(k)</w:t>
            </w:r>
          </w:p>
        </w:tc>
        <w:tc>
          <w:tcPr>
            <w:tcW w:w="900" w:type="dxa"/>
            <w:vAlign w:val="bottom"/>
            <w:shd w:val="clear" w:color="auto" w:fill="EEEEEE"/>
          </w:tcPr>
          <w:p>
            <w:pPr>
              <w:ind w:left="460"/>
              <w:spacing w:after="0"/>
              <w:rPr>
                <w:sz w:val="20"/>
                <w:szCs w:val="20"/>
                <w:color w:val="auto"/>
              </w:rPr>
            </w:pPr>
            <w:r>
              <w:rPr>
                <w:rFonts w:ascii="Arial" w:cs="Arial" w:eastAsia="Arial" w:hAnsi="Arial"/>
                <w:sz w:val="18"/>
                <w:szCs w:val="18"/>
                <w:color w:val="auto"/>
              </w:rPr>
              <w:t>(k)</w:t>
            </w:r>
          </w:p>
        </w:tc>
        <w:tc>
          <w:tcPr>
            <w:tcW w:w="2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0"/>
              </w:rPr>
              <w:t>1.03x</w:t>
            </w:r>
          </w:p>
        </w:tc>
        <w:tc>
          <w:tcPr>
            <w:tcW w:w="6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6"/>
              </w:rPr>
              <w:t>2.20x</w:t>
            </w:r>
          </w:p>
        </w:tc>
        <w:tc>
          <w:tcPr>
            <w:tcW w:w="2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center"/>
              <w:ind w:right="260"/>
              <w:spacing w:after="0"/>
              <w:rPr>
                <w:sz w:val="20"/>
                <w:szCs w:val="20"/>
                <w:color w:val="auto"/>
              </w:rPr>
            </w:pPr>
            <w:r>
              <w:rPr>
                <w:rFonts w:ascii="Arial" w:cs="Arial" w:eastAsia="Arial" w:hAnsi="Arial"/>
                <w:sz w:val="18"/>
                <w:szCs w:val="18"/>
                <w:color w:val="auto"/>
                <w:w w:val="90"/>
              </w:rPr>
              <w:t>5.77x</w:t>
            </w:r>
          </w:p>
        </w:tc>
        <w:tc>
          <w:tcPr>
            <w:tcW w:w="5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3.20x</w:t>
            </w: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6"/>
              </w:rPr>
              <w:t>5.11x</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1.20x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right="60" w:hanging="352"/>
        <w:spacing w:after="0" w:line="255"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purposes of calculating our pro forma and historical ratios of earnings to combined fixed charges and preferred dividends, earnings consist of income (loss) before income taxes, extraordinary items, cumulative effect of accounting change, minority interest, equity in net (income) losses of affiliate and combined fixed charges and preferred dividends. Combined fixed charges and preferred dividends consist of interest expense, capitalized interest and preferred dividends. For the nine months ended September 30, 2002 and for the year ended December 31, 2001, earnings, as defined above, were inadequate to cover fixed charges by $19.1 billion and $6.0 billion, respectively.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SENIOR DEBT SECURITIES, SUBORDINATED DEBT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CABLE GUARANTEES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debt securities, consisting of notes, debentures or other evidences of indebtedness, may be issued from time to time in one or more series:</w:t>
      </w:r>
    </w:p>
    <w:p>
      <w:pPr>
        <w:spacing w:after="0" w:line="248" w:lineRule="exact"/>
        <w:rPr>
          <w:sz w:val="20"/>
          <w:szCs w:val="20"/>
          <w:color w:val="auto"/>
        </w:rPr>
      </w:pPr>
    </w:p>
    <w:p>
      <w:pPr>
        <w:ind w:left="820" w:right="80" w:hanging="461"/>
        <w:spacing w:after="0" w:line="268"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senior debt securities, under a senior indenture to be entered into among us, the cable guarantors and The Bank of New York, as trustee; and</w:t>
      </w:r>
    </w:p>
    <w:p>
      <w:pPr>
        <w:spacing w:after="0" w:line="212" w:lineRule="exact"/>
        <w:rPr>
          <w:rFonts w:ascii="Arial" w:cs="Arial" w:eastAsia="Arial" w:hAnsi="Arial"/>
          <w:sz w:val="18"/>
          <w:szCs w:val="18"/>
          <w:color w:val="auto"/>
        </w:rPr>
      </w:pPr>
    </w:p>
    <w:p>
      <w:pPr>
        <w:ind w:left="820" w:right="320" w:hanging="461"/>
        <w:spacing w:after="0" w:line="268"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subordinated debt securities, under a subordinated indenture to be entered into among us, the cable guarantors and The Bank of New York, as trustee.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2" w:name="page33"/>
    <w:bookmarkEnd w:id="32"/>
    <w:p>
      <w:pPr>
        <w:ind w:right="720" w:firstLine="324"/>
        <w:spacing w:after="0" w:line="268" w:lineRule="auto"/>
        <w:rPr>
          <w:sz w:val="20"/>
          <w:szCs w:val="20"/>
          <w:color w:val="auto"/>
        </w:rPr>
      </w:pPr>
      <w:r>
        <w:rPr>
          <w:rFonts w:ascii="Arial" w:cs="Arial" w:eastAsia="Arial" w:hAnsi="Arial"/>
          <w:sz w:val="18"/>
          <w:szCs w:val="18"/>
          <w:color w:val="auto"/>
        </w:rPr>
        <w:t>The senior indenture and the subordinated indenture will be substantially in the form included as exhibits to the registration statement of which this prospectus is a part.</w:t>
      </w:r>
    </w:p>
    <w:p>
      <w:pPr>
        <w:spacing w:after="0" w:line="213"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captions “Description of Warrants,” “Description of Common Stock,” “Description of Purchase Contracts” and “Description of Units,” the terms “we,” “us” and “our” mean Comcast Corporation only, and not subsidiaries of Comcast Corporation.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 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w:t>
      </w:r>
    </w:p>
    <w:p>
      <w:pPr>
        <w:spacing w:after="0" w:line="19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distributing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In addition, some of our subsidiaries’ existing indentures require them to maintain financial ratios and cash flow levels and contain restrictions on their ability to make dividend payments, pay management fees and make advances to affiliated entities, including us. Our indentures will not limit our subsidiaries’ ability to enter into other agreements that prohibit or restrict dividends or other payments or advances to us.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225" w:lineRule="exact"/>
        <w:rPr>
          <w:sz w:val="20"/>
          <w:szCs w:val="20"/>
          <w:color w:val="auto"/>
        </w:rPr>
      </w:pPr>
    </w:p>
    <w:p>
      <w:pPr>
        <w:ind w:left="820" w:hanging="461"/>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279" w:lineRule="exact"/>
        <w:rPr>
          <w:rFonts w:ascii="Arial" w:cs="Arial" w:eastAsia="Arial" w:hAnsi="Arial"/>
          <w:sz w:val="18"/>
          <w:szCs w:val="18"/>
          <w:color w:val="auto"/>
        </w:rPr>
      </w:pPr>
    </w:p>
    <w:p>
      <w:pPr>
        <w:ind w:left="820" w:hanging="461"/>
        <w:spacing w:after="0" w:line="259"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221" w:lineRule="exact"/>
        <w:rPr>
          <w:rFonts w:ascii="Arial" w:cs="Arial" w:eastAsia="Arial" w:hAnsi="Arial"/>
          <w:sz w:val="18"/>
          <w:szCs w:val="18"/>
          <w:color w:val="auto"/>
        </w:rPr>
      </w:pPr>
    </w:p>
    <w:p>
      <w:pPr>
        <w:ind w:left="820" w:hanging="461"/>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8" w:right="259" w:bottom="1440" w:gutter="0" w:footer="0" w:header="0"/>
        </w:sectPr>
      </w:pPr>
    </w:p>
    <w:bookmarkStart w:id="33" w:name="page34"/>
    <w:bookmarkEnd w:id="33"/>
    <w:p>
      <w:pPr>
        <w:ind w:left="820" w:right="20" w:hanging="461"/>
        <w:spacing w:after="0" w:line="268"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279" w:lineRule="exact"/>
        <w:rPr>
          <w:rFonts w:ascii="Arial" w:cs="Arial" w:eastAsia="Arial" w:hAnsi="Arial"/>
          <w:sz w:val="18"/>
          <w:szCs w:val="18"/>
          <w:color w:val="auto"/>
        </w:rPr>
      </w:pPr>
    </w:p>
    <w:p>
      <w:pPr>
        <w:ind w:left="820" w:right="260" w:hanging="461"/>
        <w:spacing w:after="0" w:line="268"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212" w:lineRule="exact"/>
        <w:rPr>
          <w:rFonts w:ascii="Arial" w:cs="Arial" w:eastAsia="Arial" w:hAnsi="Arial"/>
          <w:sz w:val="18"/>
          <w:szCs w:val="18"/>
          <w:color w:val="auto"/>
        </w:rPr>
      </w:pPr>
    </w:p>
    <w:p>
      <w:pPr>
        <w:ind w:left="820" w:right="280" w:hanging="461"/>
        <w:spacing w:after="0" w:line="268"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212" w:lineRule="exact"/>
        <w:rPr>
          <w:rFonts w:ascii="Arial" w:cs="Arial" w:eastAsia="Arial" w:hAnsi="Arial"/>
          <w:sz w:val="18"/>
          <w:szCs w:val="18"/>
          <w:color w:val="auto"/>
        </w:rPr>
      </w:pPr>
    </w:p>
    <w:p>
      <w:pPr>
        <w:ind w:left="820" w:right="440" w:hanging="461"/>
        <w:spacing w:after="0" w:line="268"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212" w:lineRule="exact"/>
        <w:rPr>
          <w:rFonts w:ascii="Arial" w:cs="Arial" w:eastAsia="Arial" w:hAnsi="Arial"/>
          <w:sz w:val="18"/>
          <w:szCs w:val="18"/>
          <w:color w:val="auto"/>
        </w:rPr>
      </w:pPr>
    </w:p>
    <w:p>
      <w:pPr>
        <w:ind w:left="820" w:right="180" w:hanging="461"/>
        <w:spacing w:after="0" w:line="268"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 and</w:t>
      </w:r>
    </w:p>
    <w:p>
      <w:pPr>
        <w:spacing w:after="0" w:line="212" w:lineRule="exact"/>
        <w:rPr>
          <w:rFonts w:ascii="Arial" w:cs="Arial" w:eastAsia="Arial" w:hAnsi="Arial"/>
          <w:sz w:val="18"/>
          <w:szCs w:val="18"/>
          <w:color w:val="auto"/>
        </w:rPr>
      </w:pPr>
    </w:p>
    <w:p>
      <w:pPr>
        <w:ind w:left="820" w:right="120" w:hanging="461"/>
        <w:spacing w:after="0" w:line="268"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21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22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22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Cable Guarantees</w:t>
      </w:r>
    </w:p>
    <w:p>
      <w:pPr>
        <w:spacing w:after="0" w:line="25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225" w:lineRule="exact"/>
        <w:rPr>
          <w:sz w:val="20"/>
          <w:szCs w:val="20"/>
          <w:color w:val="auto"/>
        </w:rPr>
      </w:pPr>
    </w:p>
    <w:p>
      <w:pPr>
        <w:ind w:left="820" w:right="220" w:hanging="461"/>
        <w:spacing w:after="0" w:line="268"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00" w:lineRule="exact"/>
        <w:rPr>
          <w:sz w:val="20"/>
          <w:szCs w:val="20"/>
          <w:color w:val="auto"/>
        </w:rPr>
      </w:pPr>
    </w:p>
    <w:p>
      <w:pPr>
        <w:spacing w:after="0" w:line="31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and the cable guarantors will agree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221"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The senior indenture will not contain any financial covenants other than those summarized below and will not restrict us or our subsidiaries from paying dividends or incurring additional debt. In addition, the senior indenture will not protect holders of notes issued under it in the event of a highly leveraged transaction or a change in control.</w:t>
      </w:r>
    </w:p>
    <w:p>
      <w:pPr>
        <w:spacing w:after="0" w:line="221"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i w:val="1"/>
          <w:iCs w:val="1"/>
          <w:color w:val="auto"/>
        </w:rPr>
        <w:t xml:space="preserve">Limitation on Liens Securing Indebtedness. </w:t>
      </w:r>
      <w:r>
        <w:rPr>
          <w:rFonts w:ascii="Arial" w:cs="Arial" w:eastAsia="Arial" w:hAnsi="Arial"/>
          <w:sz w:val="18"/>
          <w:szCs w:val="18"/>
          <w:color w:val="auto"/>
        </w:rPr>
        <w:t>Neither we nor any cable guarantor shall create, incur or assume any Lien (other than any Permitted Lien) on</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wholly-owned subsidiaries’ to secure the payment of our Indebtedness or that of any cable guarantor, unless we secure the outstanding senior debt securities or cable guarantee, as the case may be, equally and ratably with (or prior to) all Indebtedness secured by such Lien, so long as such Indebtedness shall be so secured.</w:t>
      </w:r>
    </w:p>
    <w:p>
      <w:pPr>
        <w:spacing w:after="0" w:line="224"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i w:val="1"/>
          <w:iCs w:val="1"/>
          <w:color w:val="auto"/>
        </w:rPr>
        <w:t xml:space="preserve">Limitation on Sale and Leaseback Transactions. </w:t>
      </w:r>
      <w:r>
        <w:rPr>
          <w:rFonts w:ascii="Arial" w:cs="Arial" w:eastAsia="Arial" w:hAnsi="Arial"/>
          <w:sz w:val="18"/>
          <w:szCs w:val="18"/>
          <w:color w:val="auto"/>
        </w:rPr>
        <w:t>Neither we nor any cable guarantor shall enter into any Sale and Leaseback Transaction involving any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wholly-owned subsidiaries.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restriction in the foregoing paragraph shall not apply to any Sale and Leaseback Transaction if:</w:t>
      </w:r>
    </w:p>
    <w:p>
      <w:pPr>
        <w:spacing w:after="0" w:line="225" w:lineRule="exact"/>
        <w:rPr>
          <w:sz w:val="20"/>
          <w:szCs w:val="20"/>
          <w:color w:val="auto"/>
        </w:rPr>
      </w:pPr>
    </w:p>
    <w:p>
      <w:pPr>
        <w:ind w:left="820" w:hanging="461"/>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lease is for a period not in excess of three years, including renewal of rights;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lease secures or relates to industrial revenue or similar financing;</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transaction is solely between us and a cable guarantor or between or among cable guarantors; or</w:t>
      </w:r>
    </w:p>
    <w:p>
      <w:pPr>
        <w:spacing w:after="0" w:line="279" w:lineRule="exact"/>
        <w:rPr>
          <w:rFonts w:ascii="Arial" w:cs="Arial" w:eastAsia="Arial" w:hAnsi="Arial"/>
          <w:sz w:val="18"/>
          <w:szCs w:val="18"/>
          <w:color w:val="auto"/>
        </w:rPr>
      </w:pPr>
    </w:p>
    <w:p>
      <w:pPr>
        <w:ind w:left="820" w:right="20" w:hanging="461"/>
        <w:spacing w:after="0" w:line="259"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194" w:lineRule="exact"/>
        <w:rPr>
          <w:rFonts w:ascii="Arial" w:cs="Arial" w:eastAsia="Arial" w:hAnsi="Arial"/>
          <w:sz w:val="18"/>
          <w:szCs w:val="18"/>
          <w:color w:val="auto"/>
        </w:rPr>
      </w:pPr>
    </w:p>
    <w:p>
      <w:pPr>
        <w:ind w:left="1040" w:right="20" w:hanging="459"/>
        <w:spacing w:after="0" w:line="268" w:lineRule="auto"/>
        <w:rPr>
          <w:rFonts w:ascii="Arial" w:cs="Arial" w:eastAsia="Arial" w:hAnsi="Arial"/>
          <w:sz w:val="18"/>
          <w:szCs w:val="18"/>
          <w:color w:val="auto"/>
        </w:rPr>
      </w:pPr>
      <w:r>
        <w:rPr>
          <w:rFonts w:ascii="Arial" w:cs="Arial" w:eastAsia="Arial" w:hAnsi="Arial"/>
          <w:sz w:val="18"/>
          <w:szCs w:val="18"/>
          <w:color w:val="auto"/>
        </w:rPr>
        <w:t>— the retirement (or open market purchase) of senior debt securities, our other long-term Indebtedness ranking on a parity with or senior to the senior debt securities or long-term Indebtedness of a cable guarantor; or</w:t>
      </w:r>
    </w:p>
    <w:p>
      <w:pPr>
        <w:spacing w:after="0" w:line="212" w:lineRule="exact"/>
        <w:rPr>
          <w:rFonts w:ascii="Arial" w:cs="Arial" w:eastAsia="Arial" w:hAnsi="Arial"/>
          <w:sz w:val="18"/>
          <w:szCs w:val="18"/>
          <w:color w:val="auto"/>
        </w:rPr>
      </w:pPr>
    </w:p>
    <w:p>
      <w:pPr>
        <w:ind w:left="1040" w:right="460" w:hanging="459"/>
        <w:spacing w:after="0" w:line="268" w:lineRule="auto"/>
        <w:rPr>
          <w:rFonts w:ascii="Arial" w:cs="Arial" w:eastAsia="Arial" w:hAnsi="Arial"/>
          <w:sz w:val="18"/>
          <w:szCs w:val="18"/>
          <w:color w:val="auto"/>
        </w:rPr>
      </w:pPr>
      <w:r>
        <w:rPr>
          <w:rFonts w:ascii="Arial" w:cs="Arial" w:eastAsia="Arial" w:hAnsi="Arial"/>
          <w:sz w:val="18"/>
          <w:szCs w:val="18"/>
          <w:color w:val="auto"/>
        </w:rPr>
        <w:t>— the purchase by us or any cable guarantor of other property, plant or equipment related to our business or the business of any cable guarantor having a value at least equal to the value of the assets or part thereof leased.</w:t>
      </w:r>
    </w:p>
    <w:p>
      <w:pPr>
        <w:spacing w:after="0" w:line="213"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This provision and the provision described under “—Limitation on Liens Securing Indebtedness” do not apply to any of our subsidiaries other than the cable guarantors.</w:t>
      </w:r>
    </w:p>
    <w:p>
      <w:pPr>
        <w:spacing w:after="0" w:line="207" w:lineRule="exact"/>
        <w:rPr>
          <w:sz w:val="20"/>
          <w:szCs w:val="20"/>
          <w:color w:val="auto"/>
        </w:rPr>
      </w:pPr>
    </w:p>
    <w:p>
      <w:pPr>
        <w:ind w:right="80" w:firstLine="324"/>
        <w:spacing w:after="0" w:line="275" w:lineRule="auto"/>
        <w:rPr>
          <w:sz w:val="20"/>
          <w:szCs w:val="20"/>
          <w:color w:val="auto"/>
        </w:rPr>
      </w:pPr>
      <w:r>
        <w:rPr>
          <w:rFonts w:ascii="Arial" w:cs="Arial" w:eastAsia="Arial" w:hAnsi="Arial"/>
          <w:sz w:val="18"/>
          <w:szCs w:val="18"/>
          <w:b w:val="1"/>
          <w:bCs w:val="1"/>
          <w:color w:val="auto"/>
        </w:rPr>
        <w:t xml:space="preserve">“Capitalized Lease” </w:t>
      </w:r>
      <w:r>
        <w:rPr>
          <w:rFonts w:ascii="Arial" w:cs="Arial" w:eastAsia="Arial" w:hAnsi="Arial"/>
          <w:sz w:val="18"/>
          <w:szCs w:val="18"/>
          <w:color w:val="auto"/>
        </w:rPr>
        <w:t>means, as applied to any person, any lease of any property (whether real, personal, or mixed) of which the discounted present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rental obligations of such person as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8" w:right="279" w:bottom="1440" w:gutter="0" w:footer="0" w:header="0"/>
        </w:sectPr>
      </w:pPr>
    </w:p>
    <w:bookmarkStart w:id="35" w:name="page36"/>
    <w:bookmarkEnd w:id="35"/>
    <w:p>
      <w:pPr>
        <w:ind w:right="240"/>
        <w:spacing w:after="0" w:line="268" w:lineRule="auto"/>
        <w:rPr>
          <w:sz w:val="20"/>
          <w:szCs w:val="20"/>
          <w:color w:val="auto"/>
        </w:rPr>
      </w:pPr>
      <w:r>
        <w:rPr>
          <w:rFonts w:ascii="Arial" w:cs="Arial" w:eastAsia="Arial" w:hAnsi="Arial"/>
          <w:sz w:val="18"/>
          <w:szCs w:val="18"/>
          <w:color w:val="auto"/>
        </w:rPr>
        <w:t>lessee, in conformity with GAAP, is required to be capitalized on the balance sheet of such person; and “Capitalized Lease Obligation” is defined to mean the rental obligations, as aforesaid, under such lease.</w:t>
      </w:r>
    </w:p>
    <w:p>
      <w:pPr>
        <w:spacing w:after="0" w:line="20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 xml:space="preserve">“Capital Stock” </w:t>
      </w:r>
      <w:r>
        <w:rPr>
          <w:rFonts w:ascii="Arial" w:cs="Arial" w:eastAsia="Arial" w:hAnsi="Arial"/>
          <w:sz w:val="18"/>
          <w:szCs w:val="18"/>
          <w:color w:val="auto"/>
        </w:rPr>
        <w:t>means, with respect to any person, any and all shares, interests, participations, or other equivalents (however designated, whether voting or</w:t>
      </w:r>
      <w:r>
        <w:rPr>
          <w:rFonts w:ascii="Arial" w:cs="Arial" w:eastAsia="Arial" w:hAnsi="Arial"/>
          <w:sz w:val="18"/>
          <w:szCs w:val="18"/>
          <w:b w:val="1"/>
          <w:bCs w:val="1"/>
          <w:color w:val="auto"/>
        </w:rPr>
        <w:t xml:space="preserve"> </w:t>
      </w:r>
      <w:r>
        <w:rPr>
          <w:rFonts w:ascii="Arial" w:cs="Arial" w:eastAsia="Arial" w:hAnsi="Arial"/>
          <w:sz w:val="18"/>
          <w:szCs w:val="18"/>
          <w:color w:val="auto"/>
        </w:rPr>
        <w:t>non-voting) of such person’s capital stock or other ownership interests, whether now outstanding or issued after the date of hereof, including, without limitation, all common stock and preferred stock.</w:t>
      </w:r>
    </w:p>
    <w:p>
      <w:pPr>
        <w:spacing w:after="0" w:line="213" w:lineRule="exact"/>
        <w:rPr>
          <w:sz w:val="20"/>
          <w:szCs w:val="20"/>
          <w:color w:val="auto"/>
        </w:rPr>
      </w:pPr>
    </w:p>
    <w:p>
      <w:pPr>
        <w:ind w:right="240" w:firstLine="324"/>
        <w:spacing w:after="0" w:line="275" w:lineRule="auto"/>
        <w:rPr>
          <w:sz w:val="20"/>
          <w:szCs w:val="20"/>
          <w:color w:val="auto"/>
        </w:rPr>
      </w:pPr>
      <w:r>
        <w:rPr>
          <w:rFonts w:ascii="Arial" w:cs="Arial" w:eastAsia="Arial" w:hAnsi="Arial"/>
          <w:sz w:val="18"/>
          <w:szCs w:val="18"/>
          <w:b w:val="1"/>
          <w:bCs w:val="1"/>
          <w:color w:val="auto"/>
        </w:rPr>
        <w:t xml:space="preserve">“Currency Agreement” </w:t>
      </w:r>
      <w:r>
        <w:rPr>
          <w:rFonts w:ascii="Arial" w:cs="Arial" w:eastAsia="Arial" w:hAnsi="Arial"/>
          <w:sz w:val="18"/>
          <w:szCs w:val="18"/>
          <w:color w:val="auto"/>
        </w:rPr>
        <w:t>means any foreign exchange contract, currency swap agreement, or other similar agreement or arrangement designed to protect</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the fluctuation in currency values.</w:t>
      </w:r>
    </w:p>
    <w:p>
      <w:pPr>
        <w:spacing w:after="0" w:line="201"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generally accepted accounting principles in the United States of America as in effect as of the date of determination,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220" w:lineRule="exact"/>
        <w:rPr>
          <w:sz w:val="20"/>
          <w:szCs w:val="20"/>
          <w:color w:val="auto"/>
        </w:rPr>
      </w:pPr>
    </w:p>
    <w:p>
      <w:pPr>
        <w:ind w:right="140" w:firstLine="324"/>
        <w:spacing w:after="0" w:line="339" w:lineRule="auto"/>
        <w:rPr>
          <w:sz w:val="20"/>
          <w:szCs w:val="20"/>
          <w:color w:val="auto"/>
        </w:rPr>
      </w:pPr>
      <w:r>
        <w:rPr>
          <w:rFonts w:ascii="Arial" w:cs="Arial" w:eastAsia="Arial" w:hAnsi="Arial"/>
          <w:sz w:val="16"/>
          <w:szCs w:val="16"/>
          <w:b w:val="1"/>
          <w:bCs w:val="1"/>
          <w:color w:val="auto"/>
        </w:rPr>
        <w:t xml:space="preserve">“Guarantee” </w:t>
      </w:r>
      <w:r>
        <w:rPr>
          <w:rFonts w:ascii="Arial" w:cs="Arial" w:eastAsia="Arial" w:hAnsi="Arial"/>
          <w:sz w:val="16"/>
          <w:szCs w:val="16"/>
          <w:color w:val="auto"/>
        </w:rPr>
        <w:t>means any obligation, contingent or otherwise, of any person directly or indirectly guaranteeing any Indebtedness or other obligation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person and, without limiting the generality of the foregoing, any obligation, direct or indirect, contingent or otherwise, of such person:</w:t>
      </w:r>
    </w:p>
    <w:p>
      <w:pPr>
        <w:spacing w:after="0" w:line="134" w:lineRule="exact"/>
        <w:rPr>
          <w:sz w:val="20"/>
          <w:szCs w:val="20"/>
          <w:color w:val="auto"/>
        </w:rPr>
      </w:pPr>
    </w:p>
    <w:p>
      <w:pPr>
        <w:ind w:left="820" w:right="120" w:hanging="461"/>
        <w:spacing w:after="0" w:line="259"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221" w:lineRule="exact"/>
        <w:rPr>
          <w:rFonts w:ascii="Arial" w:cs="Arial" w:eastAsia="Arial" w:hAnsi="Arial"/>
          <w:sz w:val="18"/>
          <w:szCs w:val="18"/>
          <w:color w:val="auto"/>
        </w:rPr>
      </w:pPr>
    </w:p>
    <w:p>
      <w:pPr>
        <w:ind w:left="820" w:right="260" w:hanging="461"/>
        <w:spacing w:after="0" w:line="268"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term “Guarantee” shall not include endorsements for collection or deposit in the ordinary course of business.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term “Guarantee” used as a verb has a corresponding meaning.</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means, with respect to any person at any date of determination (without duplication):</w:t>
      </w:r>
    </w:p>
    <w:p>
      <w:pPr>
        <w:spacing w:after="0" w:line="231" w:lineRule="exact"/>
        <w:rPr>
          <w:sz w:val="20"/>
          <w:szCs w:val="20"/>
          <w:color w:val="auto"/>
        </w:rPr>
      </w:pPr>
    </w:p>
    <w:p>
      <w:pPr>
        <w:ind w:left="820" w:hanging="461"/>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obligations of such person in respect of letters of credit or other similar instruments (including reimbursement obligations with respect thereto);</w:t>
      </w:r>
    </w:p>
    <w:p>
      <w:pPr>
        <w:spacing w:after="0" w:line="302" w:lineRule="exact"/>
        <w:rPr>
          <w:rFonts w:ascii="Arial" w:cs="Arial" w:eastAsia="Arial" w:hAnsi="Arial"/>
          <w:sz w:val="16"/>
          <w:szCs w:val="16"/>
          <w:color w:val="auto"/>
        </w:rPr>
      </w:pPr>
    </w:p>
    <w:p>
      <w:pPr>
        <w:ind w:left="820" w:right="80" w:hanging="461"/>
        <w:spacing w:after="0" w:line="268"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Capitalized Leases;</w:t>
      </w:r>
    </w:p>
    <w:p>
      <w:pPr>
        <w:spacing w:after="0" w:line="279" w:lineRule="exact"/>
        <w:rPr>
          <w:rFonts w:ascii="Arial" w:cs="Arial" w:eastAsia="Arial" w:hAnsi="Arial"/>
          <w:sz w:val="18"/>
          <w:szCs w:val="18"/>
          <w:color w:val="auto"/>
        </w:rPr>
      </w:pPr>
    </w:p>
    <w:p>
      <w:pPr>
        <w:ind w:left="820" w:right="540" w:hanging="461"/>
        <w:spacing w:after="0" w:line="268"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18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the fair market value of such asset at such date of determination; and</w:t>
      </w:r>
    </w:p>
    <w:p>
      <w:pPr>
        <w:spacing w:after="0" w:line="27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the amount of such Indebtedness;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41" w:right="339" w:bottom="1440" w:gutter="0" w:footer="0" w:header="0"/>
        </w:sectPr>
      </w:pPr>
    </w:p>
    <w:bookmarkStart w:id="36" w:name="page37"/>
    <w:bookmarkEnd w:id="36"/>
    <w:p>
      <w:pPr>
        <w:ind w:left="820" w:hanging="461"/>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Indebtedness of other persons Guaranteed by such person to the extent such Indebtedness is Guaranteed by such person;</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obligations under Currency Agreements and Interest Rate Agreements.</w:t>
      </w:r>
    </w:p>
    <w:p>
      <w:pPr>
        <w:spacing w:after="0" w:line="279" w:lineRule="exact"/>
        <w:rPr>
          <w:sz w:val="20"/>
          <w:szCs w:val="20"/>
          <w:color w:val="auto"/>
        </w:rPr>
      </w:pPr>
    </w:p>
    <w:p>
      <w:pPr>
        <w:ind w:right="160" w:firstLine="324"/>
        <w:spacing w:after="0" w:line="332" w:lineRule="auto"/>
        <w:rPr>
          <w:sz w:val="20"/>
          <w:szCs w:val="20"/>
          <w:color w:val="auto"/>
        </w:rPr>
      </w:pPr>
      <w:r>
        <w:rPr>
          <w:rFonts w:ascii="Arial" w:cs="Arial" w:eastAsia="Arial" w:hAnsi="Arial"/>
          <w:sz w:val="16"/>
          <w:szCs w:val="16"/>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139" w:lineRule="exact"/>
        <w:rPr>
          <w:sz w:val="20"/>
          <w:szCs w:val="20"/>
          <w:color w:val="auto"/>
        </w:rPr>
      </w:pPr>
    </w:p>
    <w:p>
      <w:pPr>
        <w:ind w:left="820" w:right="480" w:hanging="461"/>
        <w:spacing w:after="0" w:line="370" w:lineRule="auto"/>
        <w:tabs>
          <w:tab w:leader="none" w:pos="8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143" w:lineRule="exact"/>
        <w:rPr>
          <w:rFonts w:ascii="Arial" w:cs="Arial" w:eastAsia="Arial" w:hAnsi="Arial"/>
          <w:sz w:val="15"/>
          <w:szCs w:val="15"/>
          <w:color w:val="auto"/>
        </w:rPr>
      </w:pPr>
    </w:p>
    <w:p>
      <w:pPr>
        <w:ind w:left="820" w:hanging="461"/>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Indebtedness shall not include any liability for federal, state, local, or other taxes.</w:t>
      </w:r>
    </w:p>
    <w:p>
      <w:pPr>
        <w:spacing w:after="0" w:line="273"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b w:val="1"/>
          <w:bCs w:val="1"/>
          <w:color w:val="auto"/>
        </w:rPr>
        <w:t xml:space="preserve">“Interest Rate Agreements” </w:t>
      </w:r>
      <w:r>
        <w:rPr>
          <w:rFonts w:ascii="Arial" w:cs="Arial" w:eastAsia="Arial" w:hAnsi="Arial"/>
          <w:sz w:val="16"/>
          <w:szCs w:val="16"/>
          <w:color w:val="auto"/>
        </w:rPr>
        <w:t>means any obligations of any person pursuant to any interest rate swaps, caps, collars, and similar arrangements providing</w:t>
      </w:r>
      <w:r>
        <w:rPr>
          <w:rFonts w:ascii="Arial" w:cs="Arial" w:eastAsia="Arial" w:hAnsi="Arial"/>
          <w:sz w:val="16"/>
          <w:szCs w:val="16"/>
          <w:b w:val="1"/>
          <w:bCs w:val="1"/>
          <w:color w:val="auto"/>
        </w:rPr>
        <w:t xml:space="preserve"> </w:t>
      </w:r>
      <w:r>
        <w:rPr>
          <w:rFonts w:ascii="Arial" w:cs="Arial" w:eastAsia="Arial" w:hAnsi="Arial"/>
          <w:sz w:val="16"/>
          <w:szCs w:val="16"/>
          <w:color w:val="auto"/>
        </w:rPr>
        <w:t>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92"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“Lien” </w:t>
      </w:r>
      <w:r>
        <w:rPr>
          <w:rFonts w:ascii="Arial" w:cs="Arial" w:eastAsia="Arial" w:hAnsi="Arial"/>
          <w:sz w:val="18"/>
          <w:szCs w:val="18"/>
          <w:color w:val="auto"/>
        </w:rPr>
        <w:t>means, with respect to any asset, any mortgage, lien, pledge, charge, security interest or encumbrance of any kind, or any other type of preferential</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“Permitted Liens” </w:t>
      </w:r>
      <w:r>
        <w:rPr>
          <w:rFonts w:ascii="Arial" w:cs="Arial" w:eastAsia="Arial" w:hAnsi="Arial"/>
          <w:sz w:val="18"/>
          <w:szCs w:val="18"/>
          <w:color w:val="auto"/>
        </w:rPr>
        <w:t>means:</w:t>
      </w:r>
    </w:p>
    <w:p>
      <w:pPr>
        <w:spacing w:after="0" w:line="231" w:lineRule="exact"/>
        <w:rPr>
          <w:sz w:val="20"/>
          <w:szCs w:val="20"/>
          <w:color w:val="auto"/>
        </w:rPr>
      </w:pPr>
    </w:p>
    <w:p>
      <w:pPr>
        <w:ind w:left="820" w:hanging="461"/>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Lien on any asset incurred prior to the date of the senior indenture;</w:t>
      </w:r>
    </w:p>
    <w:p>
      <w:pPr>
        <w:spacing w:after="0" w:line="279" w:lineRule="exact"/>
        <w:rPr>
          <w:rFonts w:ascii="Arial" w:cs="Arial" w:eastAsia="Arial" w:hAnsi="Arial"/>
          <w:sz w:val="18"/>
          <w:szCs w:val="18"/>
          <w:color w:val="auto"/>
        </w:rPr>
      </w:pPr>
    </w:p>
    <w:p>
      <w:pPr>
        <w:ind w:left="820" w:right="180" w:hanging="461"/>
        <w:spacing w:after="0" w:line="255"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223" w:lineRule="exact"/>
        <w:rPr>
          <w:rFonts w:ascii="Arial" w:cs="Arial" w:eastAsia="Arial" w:hAnsi="Arial"/>
          <w:sz w:val="18"/>
          <w:szCs w:val="18"/>
          <w:color w:val="auto"/>
        </w:rPr>
      </w:pPr>
    </w:p>
    <w:p>
      <w:pPr>
        <w:ind w:left="820" w:hanging="461"/>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Lien on any assets in favor of us or any cable guarantor;</w:t>
      </w:r>
    </w:p>
    <w:p>
      <w:pPr>
        <w:spacing w:after="0" w:line="279" w:lineRule="exact"/>
        <w:rPr>
          <w:rFonts w:ascii="Arial" w:cs="Arial" w:eastAsia="Arial" w:hAnsi="Arial"/>
          <w:sz w:val="18"/>
          <w:szCs w:val="18"/>
          <w:color w:val="auto"/>
        </w:rPr>
      </w:pPr>
    </w:p>
    <w:p>
      <w:pPr>
        <w:ind w:left="820" w:right="80" w:hanging="461"/>
        <w:spacing w:after="0" w:line="268"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Lien on assets incurred in connection with the issuance of tax-exempt governmental obligations (including, without limitation, industrial revenue bonds and similar financing);</w:t>
      </w:r>
    </w:p>
    <w:p>
      <w:pPr>
        <w:spacing w:after="0" w:line="212" w:lineRule="exact"/>
        <w:rPr>
          <w:rFonts w:ascii="Arial" w:cs="Arial" w:eastAsia="Arial" w:hAnsi="Arial"/>
          <w:sz w:val="18"/>
          <w:szCs w:val="18"/>
          <w:color w:val="auto"/>
        </w:rPr>
      </w:pPr>
    </w:p>
    <w:p>
      <w:pPr>
        <w:ind w:left="820" w:right="140" w:hanging="461"/>
        <w:spacing w:after="0" w:line="268"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212" w:lineRule="exact"/>
        <w:rPr>
          <w:rFonts w:ascii="Arial" w:cs="Arial" w:eastAsia="Arial" w:hAnsi="Arial"/>
          <w:sz w:val="18"/>
          <w:szCs w:val="18"/>
          <w:color w:val="auto"/>
        </w:rPr>
      </w:pPr>
    </w:p>
    <w:p>
      <w:pPr>
        <w:ind w:left="820" w:right="240" w:hanging="461"/>
        <w:spacing w:after="0" w:line="259"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37" w:name="page38"/>
    <w:bookmarkEnd w:id="37"/>
    <w:p>
      <w:pPr>
        <w:ind w:right="80" w:firstLine="324"/>
        <w:spacing w:after="0" w:line="258" w:lineRule="auto"/>
        <w:rPr>
          <w:sz w:val="20"/>
          <w:szCs w:val="20"/>
          <w:color w:val="auto"/>
        </w:rPr>
      </w:pPr>
      <w:r>
        <w:rPr>
          <w:rFonts w:ascii="Arial" w:cs="Arial" w:eastAsia="Arial" w:hAnsi="Arial"/>
          <w:sz w:val="18"/>
          <w:szCs w:val="18"/>
          <w:b w:val="1"/>
          <w:bCs w:val="1"/>
          <w:color w:val="auto"/>
        </w:rPr>
        <w:t xml:space="preserve">“Sale and Leaseback Transaction” </w:t>
      </w:r>
      <w:r>
        <w:rPr>
          <w:rFonts w:ascii="Arial" w:cs="Arial" w:eastAsia="Arial" w:hAnsi="Arial"/>
          <w:sz w:val="18"/>
          <w:szCs w:val="18"/>
          <w:color w:val="auto"/>
        </w:rPr>
        <w:t>means any direct or indirect arrangement with any person or to which any such person is a party, providing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leasing to us or a cable guarantor of 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22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i w:val="1"/>
          <w:iCs w:val="1"/>
          <w:color w:val="auto"/>
        </w:rPr>
        <w:t xml:space="preserve">Financial Information. </w:t>
      </w:r>
      <w:r>
        <w:rPr>
          <w:rFonts w:ascii="Arial" w:cs="Arial" w:eastAsia="Arial" w:hAnsi="Arial"/>
          <w:sz w:val="18"/>
          <w:szCs w:val="18"/>
          <w:color w:val="auto"/>
        </w:rPr>
        <w:t>We will file, whether or not required to do so under applicable law, with the trustee, within 15 days after being required to file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under the Securities Exchange Act of 1934, copies of the annual reports and the information, documents and other reports to be filed pursuant to Section 13 or 15(d) of the Securities Exchange Act of 1934. We intend to file all such reports, information and documents with the SEC, whether or not required by Section 13 or 15(d), and will send copies to the trustee within such 15-day period.</w:t>
      </w:r>
    </w:p>
    <w:p>
      <w:pPr>
        <w:spacing w:after="0" w:line="224"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i w:val="1"/>
          <w:iCs w:val="1"/>
          <w:color w:val="auto"/>
        </w:rPr>
        <w:t xml:space="preserve">Consolidation, Merger and Sale of Assets. </w:t>
      </w:r>
      <w:r>
        <w:rPr>
          <w:rFonts w:ascii="Arial" w:cs="Arial" w:eastAsia="Arial" w:hAnsi="Arial"/>
          <w:sz w:val="16"/>
          <w:szCs w:val="16"/>
          <w:color w:val="auto"/>
        </w:rPr>
        <w:t>The senior indenture will restrict our ability to consolidate with, merge with or into, or sell, convey, transfer, lease,</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otherwise dispose of all or substantially all of our property and assets as an entirety or substantially an entirety in one transaction or a series of related transactions to any person (other than a consolidation with or merger with or into or a sale, conveyance, transfer, lease or other disposition to a wholly-owned subsidiary with a positive net worth; provided that, in connection with any merger of us and a wholly-owned subsidiary, no consideration other than common stock in the surviving person shall be issued or distributed to our stockholders) or permit any person to merge with or into such party unless:</w:t>
      </w:r>
    </w:p>
    <w:p>
      <w:pPr>
        <w:spacing w:after="0" w:line="170" w:lineRule="exact"/>
        <w:rPr>
          <w:sz w:val="20"/>
          <w:szCs w:val="20"/>
          <w:color w:val="auto"/>
        </w:rPr>
      </w:pPr>
    </w:p>
    <w:p>
      <w:pPr>
        <w:ind w:left="820" w:right="120" w:hanging="461"/>
        <w:spacing w:after="0" w:line="256"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such party is merged or that acquired or leased such property and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224" w:lineRule="exact"/>
        <w:rPr>
          <w:rFonts w:ascii="Arial" w:cs="Arial" w:eastAsia="Arial" w:hAnsi="Arial"/>
          <w:sz w:val="18"/>
          <w:szCs w:val="18"/>
          <w:color w:val="auto"/>
        </w:rPr>
      </w:pPr>
    </w:p>
    <w:p>
      <w:pPr>
        <w:ind w:left="820" w:hanging="461"/>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279" w:lineRule="exact"/>
        <w:rPr>
          <w:rFonts w:ascii="Arial" w:cs="Arial" w:eastAsia="Arial" w:hAnsi="Arial"/>
          <w:sz w:val="18"/>
          <w:szCs w:val="18"/>
          <w:color w:val="auto"/>
        </w:rPr>
      </w:pPr>
    </w:p>
    <w:p>
      <w:pPr>
        <w:ind w:left="820" w:right="200" w:hanging="461"/>
        <w:spacing w:after="0" w:line="259"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the foregoing limitations will not apply if, in the good faith determination of our board of directors set forth in a board resolution,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purpose of such transaction is to change the state of incorporation of such party; and provided further that any such transaction shall not have as one of its purposes the evasion of the foregoing limitations.</w:t>
      </w:r>
    </w:p>
    <w:p>
      <w:pPr>
        <w:spacing w:after="0" w:line="221"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Upon any express assumption of our obligations as described above, we will be released and discharged from all obligations and covenants under the senior indenture and all the senior debt securities.</w:t>
      </w:r>
    </w:p>
    <w:p>
      <w:pPr>
        <w:spacing w:after="0" w:line="213"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252"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For purposes of this section, the term “Obligor” shall mean each of us, Comcast Cable, Comcast Cable Communications Holdings, Comcast Cable Holdings and Comcast MO Group, in each case excluding such entity’s subsidiaries.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38" w:name="page39"/>
    <w:bookmarkEnd w:id="38"/>
    <w:p>
      <w:pPr>
        <w:ind w:left="340"/>
        <w:spacing w:after="0"/>
        <w:rPr>
          <w:sz w:val="20"/>
          <w:szCs w:val="20"/>
          <w:color w:val="auto"/>
        </w:rPr>
      </w:pPr>
      <w:r>
        <w:rPr>
          <w:rFonts w:ascii="Arial" w:cs="Arial" w:eastAsia="Arial" w:hAnsi="Arial"/>
          <w:sz w:val="18"/>
          <w:szCs w:val="18"/>
          <w:color w:val="auto"/>
        </w:rPr>
        <w:t>An event of default for a series of senior debt securities is defined under the senior indenture as being:</w:t>
      </w:r>
    </w:p>
    <w:p>
      <w:pPr>
        <w:spacing w:after="0" w:line="252" w:lineRule="exact"/>
        <w:rPr>
          <w:sz w:val="20"/>
          <w:szCs w:val="20"/>
          <w:color w:val="auto"/>
        </w:rPr>
      </w:pPr>
    </w:p>
    <w:p>
      <w:pPr>
        <w:ind w:right="360" w:firstLine="332"/>
        <w:spacing w:after="0" w:line="268" w:lineRule="auto"/>
        <w:tabs>
          <w:tab w:leader="none" w:pos="57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default by any Obligor in the payment of principal or premium on the senior debt securities of such series when the same becomes due and payable whether at maturity, upon acceleration, redemption or otherwise;</w:t>
      </w:r>
    </w:p>
    <w:p>
      <w:pPr>
        <w:spacing w:after="0" w:line="212" w:lineRule="exact"/>
        <w:rPr>
          <w:rFonts w:ascii="Arial" w:cs="Arial" w:eastAsia="Arial" w:hAnsi="Arial"/>
          <w:sz w:val="18"/>
          <w:szCs w:val="18"/>
          <w:color w:val="auto"/>
        </w:rPr>
      </w:pPr>
    </w:p>
    <w:p>
      <w:pPr>
        <w:ind w:right="300" w:firstLine="332"/>
        <w:spacing w:after="0" w:line="268" w:lineRule="auto"/>
        <w:tabs>
          <w:tab w:leader="none" w:pos="57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default by any Obligor in the payment of interest on the senior debt securities of such series when the same becomes due and payable, if that default continues for a period of 30 days;</w:t>
      </w:r>
    </w:p>
    <w:p>
      <w:pPr>
        <w:spacing w:after="0" w:line="212" w:lineRule="exact"/>
        <w:rPr>
          <w:rFonts w:ascii="Arial" w:cs="Arial" w:eastAsia="Arial" w:hAnsi="Arial"/>
          <w:sz w:val="18"/>
          <w:szCs w:val="18"/>
          <w:color w:val="auto"/>
        </w:rPr>
      </w:pPr>
    </w:p>
    <w:p>
      <w:pPr>
        <w:ind w:firstLine="332"/>
        <w:spacing w:after="0" w:line="306" w:lineRule="auto"/>
        <w:tabs>
          <w:tab w:leader="none" w:pos="573"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default by any Obligor in the performance of or breach by any Obligor of any of its other covenants or agreements in the senior indenture applicable to all the senior debt securities or applicable to the senior debt securities of any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187" w:lineRule="exact"/>
        <w:rPr>
          <w:rFonts w:ascii="Arial" w:cs="Arial" w:eastAsia="Arial" w:hAnsi="Arial"/>
          <w:sz w:val="16"/>
          <w:szCs w:val="16"/>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cable guarantee is not (or is claimed by any cable guarantor not to be) in full force and effect;</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225" w:lineRule="exact"/>
        <w:rPr>
          <w:rFonts w:ascii="Arial" w:cs="Arial" w:eastAsia="Arial" w:hAnsi="Arial"/>
          <w:sz w:val="18"/>
          <w:szCs w:val="18"/>
          <w:color w:val="auto"/>
        </w:rPr>
      </w:pPr>
    </w:p>
    <w:p>
      <w:pPr>
        <w:ind w:left="1160" w:right="460" w:hanging="463"/>
        <w:spacing w:after="0" w:line="268" w:lineRule="auto"/>
        <w:tabs>
          <w:tab w:leader="none" w:pos="11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relief in respect of any Obligor in an involuntary case under any applicable bankruptcy, insolvency, or other similar law now or hereafter in effect;</w:t>
      </w:r>
    </w:p>
    <w:p>
      <w:pPr>
        <w:spacing w:after="0" w:line="212" w:lineRule="exact"/>
        <w:rPr>
          <w:rFonts w:ascii="Arial" w:cs="Arial" w:eastAsia="Arial" w:hAnsi="Arial"/>
          <w:sz w:val="18"/>
          <w:szCs w:val="18"/>
          <w:color w:val="auto"/>
        </w:rPr>
      </w:pPr>
    </w:p>
    <w:p>
      <w:pPr>
        <w:ind w:left="1160" w:right="200" w:hanging="463"/>
        <w:spacing w:after="0" w:line="268" w:lineRule="auto"/>
        <w:tabs>
          <w:tab w:leader="none" w:pos="11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any Obligor for any substantial part of such party’s property and assets; or</w:t>
      </w:r>
    </w:p>
    <w:p>
      <w:pPr>
        <w:spacing w:after="0" w:line="212" w:lineRule="exact"/>
        <w:rPr>
          <w:rFonts w:ascii="Arial" w:cs="Arial" w:eastAsia="Arial" w:hAnsi="Arial"/>
          <w:sz w:val="18"/>
          <w:szCs w:val="18"/>
          <w:color w:val="auto"/>
        </w:rPr>
      </w:pPr>
    </w:p>
    <w:p>
      <w:pPr>
        <w:ind w:left="1160" w:hanging="463"/>
        <w:spacing w:after="0"/>
        <w:tabs>
          <w:tab w:leader="none" w:pos="11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winding up or liquidation of any Obligor’s affairs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and such decree or order shall remain unstayed and in effect for a period of 180 consecutive days; or</w:t>
      </w:r>
    </w:p>
    <w:p>
      <w:pPr>
        <w:spacing w:after="0" w:line="252" w:lineRule="exact"/>
        <w:rPr>
          <w:sz w:val="20"/>
          <w:szCs w:val="20"/>
          <w:color w:val="auto"/>
        </w:rPr>
      </w:pPr>
    </w:p>
    <w:p>
      <w:pPr>
        <w:ind w:left="580" w:hanging="248"/>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Obligor:</w:t>
      </w:r>
    </w:p>
    <w:p>
      <w:pPr>
        <w:spacing w:after="0" w:line="225" w:lineRule="exact"/>
        <w:rPr>
          <w:rFonts w:ascii="Arial" w:cs="Arial" w:eastAsia="Arial" w:hAnsi="Arial"/>
          <w:sz w:val="18"/>
          <w:szCs w:val="18"/>
          <w:color w:val="auto"/>
        </w:rPr>
      </w:pPr>
    </w:p>
    <w:p>
      <w:pPr>
        <w:ind w:left="1160" w:right="120" w:hanging="463"/>
        <w:spacing w:after="0" w:line="268" w:lineRule="auto"/>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 or consent to the entry of an order for relief in an involuntary case under any such law;</w:t>
      </w:r>
    </w:p>
    <w:p>
      <w:pPr>
        <w:spacing w:after="0" w:line="212" w:lineRule="exact"/>
        <w:rPr>
          <w:rFonts w:ascii="Arial" w:cs="Arial" w:eastAsia="Arial" w:hAnsi="Arial"/>
          <w:sz w:val="18"/>
          <w:szCs w:val="18"/>
          <w:color w:val="auto"/>
        </w:rPr>
      </w:pPr>
    </w:p>
    <w:p>
      <w:pPr>
        <w:ind w:left="1160" w:right="120" w:hanging="463"/>
        <w:spacing w:after="0" w:line="268" w:lineRule="auto"/>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such party or for any substantial part of such party’s property; or</w:t>
      </w:r>
    </w:p>
    <w:p>
      <w:pPr>
        <w:spacing w:after="0" w:line="212" w:lineRule="exact"/>
        <w:rPr>
          <w:rFonts w:ascii="Arial" w:cs="Arial" w:eastAsia="Arial" w:hAnsi="Arial"/>
          <w:sz w:val="18"/>
          <w:szCs w:val="18"/>
          <w:color w:val="auto"/>
        </w:rPr>
      </w:pPr>
    </w:p>
    <w:p>
      <w:pPr>
        <w:ind w:left="1160" w:hanging="463"/>
        <w:spacing w:after="0"/>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default under any Obligor’s other indebtedness is not a default under the senior indenture.</w:t>
      </w:r>
    </w:p>
    <w:p>
      <w:pPr>
        <w:spacing w:after="0" w:line="252"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and the trustee at the request of such holders shall, declare the principal amount of and accrued interest, if any, on such senior debt securities to be immediately due and payable. The amount due upon acceleration shall include only the original issue price of the senior debt securities and accrued to the date of acceleration and accrued interest, if any. Upon a declaration of acceleration, such principal amount of and accrued interest, if any, on such senior debt securities shall be immediately due and payable. If an event of default specified in clauses (5) and (6) above occurs with respect to any Obligor, the principal amount of and accrued interest, if any, on each issue of senior debt securities then outstanding shall be and become immediately due and payable without any notice or other action on the part of the trustee or any holder.</w:t>
      </w:r>
    </w:p>
    <w:p>
      <w:pPr>
        <w:spacing w:after="0" w:line="201" w:lineRule="exact"/>
        <w:rPr>
          <w:sz w:val="20"/>
          <w:szCs w:val="20"/>
          <w:color w:val="auto"/>
        </w:rPr>
      </w:pPr>
    </w:p>
    <w:p>
      <w:pPr>
        <w:ind w:firstLine="324"/>
        <w:spacing w:after="0" w:line="370" w:lineRule="auto"/>
        <w:rPr>
          <w:sz w:val="20"/>
          <w:szCs w:val="20"/>
          <w:color w:val="auto"/>
        </w:rPr>
      </w:pPr>
      <w:r>
        <w:rPr>
          <w:rFonts w:ascii="Arial" w:cs="Arial" w:eastAsia="Arial" w:hAnsi="Arial"/>
          <w:sz w:val="15"/>
          <w:szCs w:val="15"/>
          <w:color w:val="auto"/>
        </w:rPr>
        <w:t>Upon certain conditions such declarations may be rescinded and annulled and past defaults may be waived by the holders of a majority in aggregate principal amount of an issue of senior debt securities that has been accelerated. Furthermore, subject to various provisions in the senior indenture, the holders of at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8" w:right="259" w:bottom="1440" w:gutter="0" w:footer="0" w:header="0"/>
        </w:sectPr>
      </w:pPr>
    </w:p>
    <w:bookmarkStart w:id="39" w:name="page40"/>
    <w:bookmarkEnd w:id="39"/>
    <w:p>
      <w:pPr>
        <w:spacing w:after="0" w:line="291" w:lineRule="auto"/>
        <w:rPr>
          <w:sz w:val="20"/>
          <w:szCs w:val="20"/>
          <w:color w:val="auto"/>
        </w:rPr>
      </w:pPr>
      <w:r>
        <w:rPr>
          <w:rFonts w:ascii="Arial" w:cs="Arial" w:eastAsia="Arial" w:hAnsi="Arial"/>
          <w:sz w:val="16"/>
          <w:szCs w:val="16"/>
          <w:color w:val="auto"/>
        </w:rPr>
        <w:t>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securities.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20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174" w:lineRule="exact"/>
        <w:rPr>
          <w:sz w:val="20"/>
          <w:szCs w:val="20"/>
          <w:color w:val="auto"/>
        </w:rPr>
      </w:pPr>
    </w:p>
    <w:p>
      <w:pPr>
        <w:ind w:left="820" w:hanging="461"/>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279" w:lineRule="exact"/>
        <w:rPr>
          <w:rFonts w:ascii="Arial" w:cs="Arial" w:eastAsia="Arial" w:hAnsi="Arial"/>
          <w:sz w:val="18"/>
          <w:szCs w:val="18"/>
          <w:color w:val="auto"/>
        </w:rPr>
      </w:pPr>
    </w:p>
    <w:p>
      <w:pPr>
        <w:ind w:left="820" w:right="320" w:hanging="461"/>
        <w:spacing w:after="0" w:line="268"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279" w:lineRule="exact"/>
        <w:rPr>
          <w:rFonts w:ascii="Arial" w:cs="Arial" w:eastAsia="Arial" w:hAnsi="Arial"/>
          <w:sz w:val="18"/>
          <w:szCs w:val="18"/>
          <w:color w:val="auto"/>
        </w:rPr>
      </w:pPr>
    </w:p>
    <w:p>
      <w:pPr>
        <w:ind w:left="820" w:right="340" w:hanging="461"/>
        <w:spacing w:after="0" w:line="268"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senior debt securities do not give the trustee a direction that is inconsistent with the request.</w:t>
      </w:r>
    </w:p>
    <w:p>
      <w:pPr>
        <w:spacing w:after="0" w:line="21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w:t>
      </w:r>
    </w:p>
    <w:p>
      <w:pPr>
        <w:spacing w:after="0" w:line="22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senior indenture will require certain of our officers to certify, on or before a date not more than 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252"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186" w:lineRule="exact"/>
        <w:rPr>
          <w:sz w:val="20"/>
          <w:szCs w:val="20"/>
          <w:color w:val="auto"/>
        </w:rPr>
      </w:pPr>
    </w:p>
    <w:p>
      <w:pPr>
        <w:ind w:left="820" w:right="220" w:hanging="461"/>
        <w:spacing w:after="0" w:line="268"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212" w:lineRule="exact"/>
        <w:rPr>
          <w:rFonts w:ascii="Arial" w:cs="Arial" w:eastAsia="Arial" w:hAnsi="Arial"/>
          <w:sz w:val="18"/>
          <w:szCs w:val="18"/>
          <w:color w:val="auto"/>
        </w:rPr>
      </w:pPr>
    </w:p>
    <w:p>
      <w:pPr>
        <w:ind w:left="820" w:right="900" w:hanging="461"/>
        <w:spacing w:after="0" w:line="268"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40" w:name="page41"/>
    <w:bookmarkEnd w:id="40"/>
    <w:p>
      <w:pPr>
        <w:ind w:left="1040" w:right="40" w:hanging="451"/>
        <w:spacing w:after="0" w:line="291" w:lineRule="auto"/>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201" w:lineRule="exact"/>
        <w:rPr>
          <w:rFonts w:ascii="Arial" w:cs="Arial" w:eastAsia="Arial" w:hAnsi="Arial"/>
          <w:sz w:val="16"/>
          <w:szCs w:val="16"/>
          <w:color w:val="auto"/>
        </w:rPr>
      </w:pPr>
    </w:p>
    <w:p>
      <w:pPr>
        <w:jc w:val="both"/>
        <w:ind w:left="1040" w:right="380" w:hanging="451"/>
        <w:spacing w:after="0" w:line="259"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22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With respect to all senior debt securities which have been delivered to the trustee for cancellation and for which have been paid all sums payable by us under the senior indenture, only our obligations 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deemed appropriate by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senior indenture also provides that, except as otherwise provided in this paragraph, we:</w:t>
      </w:r>
    </w:p>
    <w:p>
      <w:pPr>
        <w:spacing w:after="0" w:line="225" w:lineRule="exact"/>
        <w:rPr>
          <w:sz w:val="20"/>
          <w:szCs w:val="20"/>
          <w:color w:val="auto"/>
        </w:rPr>
      </w:pPr>
    </w:p>
    <w:p>
      <w:pPr>
        <w:ind w:left="820" w:right="220" w:hanging="461"/>
        <w:spacing w:after="0" w:line="332" w:lineRule="auto"/>
        <w:tabs>
          <w:tab w:leader="none" w:pos="8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166" w:lineRule="exact"/>
        <w:rPr>
          <w:rFonts w:ascii="Arial" w:cs="Arial" w:eastAsia="Arial" w:hAnsi="Arial"/>
          <w:sz w:val="16"/>
          <w:szCs w:val="16"/>
          <w:color w:val="auto"/>
        </w:rPr>
      </w:pPr>
    </w:p>
    <w:p>
      <w:pPr>
        <w:ind w:left="820" w:right="80" w:hanging="461"/>
        <w:spacing w:after="0" w:line="259"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may omit to comply with any term, provision or condition of the senior indenture described above under “—Certain Covenants” and such omission shall be deemed not to be an event of default under the third clause of the first paragraph of “—Events of Default” with respect to that series of senior debt securities (“covenant defeasance”);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following conditions shall have been satisfied:</w:t>
      </w:r>
    </w:p>
    <w:p>
      <w:pPr>
        <w:spacing w:after="0" w:line="225" w:lineRule="exact"/>
        <w:rPr>
          <w:sz w:val="20"/>
          <w:szCs w:val="20"/>
          <w:color w:val="auto"/>
        </w:rPr>
      </w:pPr>
    </w:p>
    <w:p>
      <w:pPr>
        <w:ind w:left="820" w:right="20" w:hanging="461"/>
        <w:spacing w:after="0" w:line="314" w:lineRule="auto"/>
        <w:tabs>
          <w:tab w:leader="none" w:pos="8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185" w:lineRule="exact"/>
        <w:rPr>
          <w:rFonts w:ascii="Arial" w:cs="Arial" w:eastAsia="Arial" w:hAnsi="Arial"/>
          <w:sz w:val="15"/>
          <w:szCs w:val="15"/>
          <w:color w:val="auto"/>
        </w:rPr>
      </w:pPr>
    </w:p>
    <w:p>
      <w:pPr>
        <w:ind w:left="820" w:right="300" w:hanging="461"/>
        <w:spacing w:after="0" w:line="268"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41" w:name="page42"/>
    <w:bookmarkEnd w:id="41"/>
    <w:p>
      <w:pPr>
        <w:ind w:left="820" w:hanging="461"/>
        <w:spacing w:after="0"/>
        <w:tabs>
          <w:tab w:leader="none" w:pos="8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no default or event of default with respect to the senior debt securities of such series shall have occurred and be continuing on the date of such deposit;</w:t>
      </w:r>
    </w:p>
    <w:p>
      <w:pPr>
        <w:spacing w:after="0" w:line="313" w:lineRule="exact"/>
        <w:rPr>
          <w:rFonts w:ascii="Arial" w:cs="Arial" w:eastAsia="Arial" w:hAnsi="Arial"/>
          <w:sz w:val="15"/>
          <w:szCs w:val="15"/>
          <w:color w:val="auto"/>
        </w:rPr>
      </w:pPr>
    </w:p>
    <w:p>
      <w:pPr>
        <w:ind w:left="820" w:hanging="461"/>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shall have delivered to the trustee:</w:t>
      </w:r>
    </w:p>
    <w:p>
      <w:pPr>
        <w:spacing w:after="0" w:line="252" w:lineRule="exact"/>
        <w:rPr>
          <w:rFonts w:ascii="Arial" w:cs="Arial" w:eastAsia="Arial" w:hAnsi="Arial"/>
          <w:sz w:val="18"/>
          <w:szCs w:val="18"/>
          <w:color w:val="auto"/>
        </w:rPr>
      </w:pPr>
    </w:p>
    <w:p>
      <w:pPr>
        <w:ind w:left="1160" w:right="80" w:hanging="459"/>
        <w:spacing w:after="0" w:line="255" w:lineRule="auto"/>
        <w:rPr>
          <w:rFonts w:ascii="Arial" w:cs="Arial" w:eastAsia="Arial" w:hAnsi="Arial"/>
          <w:sz w:val="18"/>
          <w:szCs w:val="18"/>
          <w:color w:val="auto"/>
        </w:rPr>
      </w:pPr>
      <w:r>
        <w:rPr>
          <w:rFonts w:ascii="Arial" w:cs="Arial" w:eastAsia="Arial" w:hAnsi="Arial"/>
          <w:sz w:val="18"/>
          <w:szCs w:val="18"/>
          <w:color w:val="auto"/>
        </w:rPr>
        <w:t>— 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223" w:lineRule="exact"/>
        <w:rPr>
          <w:rFonts w:ascii="Arial" w:cs="Arial" w:eastAsia="Arial" w:hAnsi="Arial"/>
          <w:sz w:val="18"/>
          <w:szCs w:val="18"/>
          <w:color w:val="auto"/>
        </w:rPr>
      </w:pPr>
    </w:p>
    <w:p>
      <w:pPr>
        <w:ind w:left="1160" w:right="20" w:hanging="459"/>
        <w:spacing w:after="0" w:line="268" w:lineRule="auto"/>
        <w:rPr>
          <w:rFonts w:ascii="Arial" w:cs="Arial" w:eastAsia="Arial" w:hAnsi="Arial"/>
          <w:sz w:val="18"/>
          <w:szCs w:val="18"/>
          <w:color w:val="auto"/>
        </w:rPr>
      </w:pPr>
      <w:r>
        <w:rPr>
          <w:rFonts w:ascii="Arial" w:cs="Arial" w:eastAsia="Arial" w:hAnsi="Arial"/>
          <w:sz w:val="18"/>
          <w:szCs w:val="18"/>
          <w:color w:val="auto"/>
        </w:rPr>
        <w:t>— an opinion of counsel that the holders of the senior debt securities of such series have a valid security interest in the trust funds subject to no prior liens under the Uniform Commercial Code; and</w:t>
      </w:r>
    </w:p>
    <w:p>
      <w:pPr>
        <w:spacing w:after="0" w:line="185" w:lineRule="exact"/>
        <w:rPr>
          <w:rFonts w:ascii="Arial" w:cs="Arial" w:eastAsia="Arial" w:hAnsi="Arial"/>
          <w:sz w:val="18"/>
          <w:szCs w:val="18"/>
          <w:color w:val="auto"/>
        </w:rPr>
      </w:pPr>
    </w:p>
    <w:p>
      <w:pPr>
        <w:ind w:left="820" w:right="80" w:hanging="461"/>
        <w:spacing w:after="0" w:line="332" w:lineRule="auto"/>
        <w:tabs>
          <w:tab w:leader="none" w:pos="8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16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200" w:lineRule="exact"/>
        <w:rPr>
          <w:sz w:val="20"/>
          <w:szCs w:val="20"/>
          <w:color w:val="auto"/>
        </w:rPr>
      </w:pPr>
    </w:p>
    <w:p>
      <w:pPr>
        <w:spacing w:after="0" w:line="24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and the trustee may amend or supplement the senior indenture or the senior debt securities without notice to or the consent of any holder:</w:t>
      </w:r>
    </w:p>
    <w:p>
      <w:pPr>
        <w:spacing w:after="0" w:line="248" w:lineRule="exact"/>
        <w:rPr>
          <w:sz w:val="20"/>
          <w:szCs w:val="20"/>
          <w:color w:val="auto"/>
        </w:rPr>
      </w:pPr>
    </w:p>
    <w:p>
      <w:pPr>
        <w:ind w:left="820" w:right="280" w:hanging="461"/>
        <w:spacing w:after="0" w:line="268"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industry; provided that such amendments or supplements shall not adversely affect the interests of the holders in any material respect;</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comply with the provisions described under “— Certain Covenants — Consolidation, Merger and Sale of Assets;”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the senior indenture under the Trust Indenture Act;</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provide for uncertificated notes and to make all appropriate changes for such purpose;</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42" w:name="page43"/>
    <w:bookmarkEnd w:id="42"/>
    <w:p>
      <w:pPr>
        <w:ind w:left="820" w:right="120" w:hanging="461"/>
        <w:spacing w:after="0" w:line="332" w:lineRule="auto"/>
        <w:tabs>
          <w:tab w:leader="none" w:pos="8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166" w:lineRule="exact"/>
        <w:rPr>
          <w:rFonts w:ascii="Arial" w:cs="Arial" w:eastAsia="Arial" w:hAnsi="Arial"/>
          <w:sz w:val="16"/>
          <w:szCs w:val="16"/>
          <w:color w:val="auto"/>
        </w:rPr>
      </w:pPr>
    </w:p>
    <w:p>
      <w:pPr>
        <w:ind w:left="820" w:hanging="461"/>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make any change so long as no senior debt securities are outstanding.</w:t>
      </w:r>
    </w:p>
    <w:p>
      <w:pPr>
        <w:spacing w:after="0" w:line="279"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provided, however, that each affected holder must consent to any modification, amendment or waiver that:</w:t>
      </w:r>
    </w:p>
    <w:p>
      <w:pPr>
        <w:spacing w:after="0" w:line="170" w:lineRule="exact"/>
        <w:rPr>
          <w:sz w:val="20"/>
          <w:szCs w:val="20"/>
          <w:color w:val="auto"/>
        </w:rPr>
      </w:pPr>
    </w:p>
    <w:p>
      <w:pPr>
        <w:ind w:left="820" w:hanging="461"/>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installment of interest on, the senior debt securities of the affected series;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the senior debt securities of the affected series;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changes the place or currency of payment of principal of, or premium, if any, or interest on, the senior debt securities of the affected series;</w:t>
      </w:r>
    </w:p>
    <w:p>
      <w:pPr>
        <w:spacing w:after="0" w:line="302" w:lineRule="exact"/>
        <w:rPr>
          <w:rFonts w:ascii="Arial" w:cs="Arial" w:eastAsia="Arial" w:hAnsi="Arial"/>
          <w:sz w:val="16"/>
          <w:szCs w:val="16"/>
          <w:color w:val="auto"/>
        </w:rPr>
      </w:pPr>
    </w:p>
    <w:p>
      <w:pPr>
        <w:ind w:left="820" w:hanging="461"/>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279" w:lineRule="exact"/>
        <w:rPr>
          <w:rFonts w:ascii="Arial" w:cs="Arial" w:eastAsia="Arial" w:hAnsi="Arial"/>
          <w:sz w:val="18"/>
          <w:szCs w:val="18"/>
          <w:color w:val="auto"/>
        </w:rPr>
      </w:pPr>
    </w:p>
    <w:p>
      <w:pPr>
        <w:ind w:left="820" w:right="220" w:hanging="461"/>
        <w:spacing w:after="0" w:line="332" w:lineRule="auto"/>
        <w:tabs>
          <w:tab w:leader="none" w:pos="8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166" w:lineRule="exact"/>
        <w:rPr>
          <w:rFonts w:ascii="Arial" w:cs="Arial" w:eastAsia="Arial" w:hAnsi="Arial"/>
          <w:sz w:val="16"/>
          <w:szCs w:val="16"/>
          <w:color w:val="auto"/>
        </w:rPr>
      </w:pPr>
    </w:p>
    <w:p>
      <w:pPr>
        <w:ind w:left="820" w:right="80" w:hanging="461"/>
        <w:spacing w:after="0" w:line="268"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waives a default in the payment of principal of, premium, if any, or interest on the senior debt securities; or</w:t>
      </w:r>
    </w:p>
    <w:p>
      <w:pPr>
        <w:spacing w:after="0" w:line="279" w:lineRule="exact"/>
        <w:rPr>
          <w:rFonts w:ascii="Arial" w:cs="Arial" w:eastAsia="Arial" w:hAnsi="Arial"/>
          <w:sz w:val="18"/>
          <w:szCs w:val="18"/>
          <w:color w:val="auto"/>
        </w:rPr>
      </w:pPr>
    </w:p>
    <w:p>
      <w:pPr>
        <w:ind w:left="820" w:right="460" w:hanging="461"/>
        <w:spacing w:after="0" w:line="332" w:lineRule="auto"/>
        <w:tabs>
          <w:tab w:leader="none" w:pos="8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w:t>
      </w:r>
    </w:p>
    <w:p>
      <w:pPr>
        <w:spacing w:after="0" w:line="16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It is not necessary for the consent of the holders under the senior indenture to approve the particular form of any note amendment, supplement or waiver, but it shall be sufficient if such consent approves the substance thereof. After an amendment, supplement or waiver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43" w:name="page44"/>
    <w:bookmarkEnd w:id="43"/>
    <w:p>
      <w:pPr>
        <w:ind w:left="22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25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Governing Law</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senior indenture and the debt securities will be governed by, and construed in accordance with, the internal laws of the State of New York.</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Trustees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25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Subordination</w:t>
      </w:r>
    </w:p>
    <w:p>
      <w:pPr>
        <w:spacing w:after="0" w:line="25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distribution of our assets upon any dissolution, winding up, liquidation or reorganization, the payment of the principal of, or premium, if any, and interest on the subordinated debt securities is to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subordination provisions also apply in the same way to each cable guarantor with respect to the Senior Indebtedness of such cable guarantor.</w:t>
      </w:r>
    </w:p>
    <w:p>
      <w:pPr>
        <w:spacing w:after="0" w:line="275"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The term “Senior Indebtedness” of a person means with respect to such person the principal of, premium, if any, interest on, and any other payment due pursuant to any of the following, whether outstanding today or incurred by that person in the future:</w:t>
      </w:r>
    </w:p>
    <w:p>
      <w:pPr>
        <w:spacing w:after="0" w:line="186" w:lineRule="exact"/>
        <w:rPr>
          <w:sz w:val="20"/>
          <w:szCs w:val="20"/>
          <w:color w:val="auto"/>
        </w:rPr>
      </w:pPr>
    </w:p>
    <w:p>
      <w:pPr>
        <w:ind w:left="820" w:hanging="461"/>
        <w:spacing w:after="0" w:line="305" w:lineRule="auto"/>
        <w:tabs>
          <w:tab w:leader="none" w:pos="8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w:t>
      </w:r>
    </w:p>
    <w:p>
      <w:pPr>
        <w:ind w:left="820"/>
        <w:spacing w:after="0"/>
        <w:rPr>
          <w:rFonts w:ascii="Arial" w:cs="Arial" w:eastAsia="Arial" w:hAnsi="Arial"/>
          <w:sz w:val="15"/>
          <w:szCs w:val="15"/>
          <w:color w:val="auto"/>
        </w:rPr>
      </w:pPr>
      <w:r>
        <w:rPr>
          <w:rFonts w:ascii="Arial" w:cs="Arial" w:eastAsia="Arial" w:hAnsi="Arial"/>
          <w:sz w:val="18"/>
          <w:szCs w:val="18"/>
          <w:color w:val="auto"/>
        </w:rPr>
        <w:t>(2) existing on property at the time that person acquires it;</w:t>
      </w:r>
    </w:p>
    <w:p>
      <w:pPr>
        <w:spacing w:after="0" w:line="245" w:lineRule="exact"/>
        <w:rPr>
          <w:rFonts w:ascii="Arial" w:cs="Arial" w:eastAsia="Arial" w:hAnsi="Arial"/>
          <w:sz w:val="15"/>
          <w:szCs w:val="15"/>
          <w:color w:val="auto"/>
        </w:rPr>
      </w:pPr>
    </w:p>
    <w:p>
      <w:pPr>
        <w:ind w:left="820" w:hanging="461"/>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of the indebtedness of that person evidenced by notes, debentures, bonds or other securities sold by that person for money;</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 of the lease obligations which are capitalized on the books of that person in accordance with generally accepted accounting principles;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2" w:right="259" w:bottom="1440" w:gutter="0" w:footer="0" w:header="0"/>
        </w:sectPr>
      </w:pPr>
    </w:p>
    <w:bookmarkStart w:id="44" w:name="page45"/>
    <w:bookmarkEnd w:id="44"/>
    <w:p>
      <w:pPr>
        <w:ind w:left="820" w:right="40" w:hanging="461"/>
        <w:spacing w:after="0" w:line="259"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 or guarantee or that the person in effect guarantees through an agreement to purchase, whether that agreement is contingent or otherwise; and</w:t>
      </w:r>
    </w:p>
    <w:p>
      <w:pPr>
        <w:spacing w:after="0" w:line="221" w:lineRule="exact"/>
        <w:rPr>
          <w:rFonts w:ascii="Arial" w:cs="Arial" w:eastAsia="Arial" w:hAnsi="Arial"/>
          <w:sz w:val="18"/>
          <w:szCs w:val="18"/>
          <w:color w:val="auto"/>
        </w:rPr>
      </w:pPr>
    </w:p>
    <w:p>
      <w:pPr>
        <w:ind w:left="820" w:right="520" w:hanging="461"/>
        <w:spacing w:after="0" w:line="268"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86"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unless</w:t>
      </w:r>
      <w:r>
        <w:rPr>
          <w:rFonts w:ascii="Arial" w:cs="Arial" w:eastAsia="Arial" w:hAnsi="Arial"/>
          <w:sz w:val="16"/>
          <w:szCs w:val="16"/>
          <w:color w:val="auto"/>
        </w:rPr>
        <w:t>, in the case of any particular indebtedness, lease, renewal, extension or refunding, the instrument or lease creating or evidencing it or the assumption or</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 relating to it expressly provides that such 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the cross guarantees, constitute Senior Indebtedness for purposes of the subordinated debt indenture.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2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224"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Unless otherwise indicated in the prospectus supplement, the following provisions will apply to debt securities being offered that may be exchanged for or converted into capital stock:</w:t>
      </w:r>
    </w:p>
    <w:p>
      <w:pPr>
        <w:spacing w:after="0" w:line="213"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224"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224"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Unless the terms of the specific debt securities being offered provide otherwise, in certain events, the conversion rate will be subject to adjustment as set forth in the indentures. Such events include:</w:t>
      </w:r>
    </w:p>
    <w:p>
      <w:pPr>
        <w:spacing w:after="0" w:line="186" w:lineRule="exact"/>
        <w:rPr>
          <w:sz w:val="20"/>
          <w:szCs w:val="20"/>
          <w:color w:val="auto"/>
        </w:rPr>
      </w:pPr>
    </w:p>
    <w:p>
      <w:pPr>
        <w:ind w:left="820" w:right="240" w:hanging="461"/>
        <w:spacing w:after="0" w:line="268"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issuance of shares of any class of capital stock of ours as a dividend on the class of capital stock into which the debt securities of such series are convertible;</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subdivisions, combinations and reclassifications of the class of capital stock into which debt securities of such series are convertible;</w:t>
      </w:r>
    </w:p>
    <w:p>
      <w:pPr>
        <w:spacing w:after="0" w:line="279" w:lineRule="exact"/>
        <w:rPr>
          <w:rFonts w:ascii="Arial" w:cs="Arial" w:eastAsia="Arial" w:hAnsi="Arial"/>
          <w:sz w:val="18"/>
          <w:szCs w:val="18"/>
          <w:color w:val="auto"/>
        </w:rPr>
      </w:pPr>
    </w:p>
    <w:p>
      <w:pPr>
        <w:ind w:left="820" w:right="80" w:hanging="461"/>
        <w:spacing w:after="0" w:line="259"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issuance to all holders of the class of capital stock into which debt securities of such series are convertible of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45" w:name="page46"/>
    <w:bookmarkEnd w:id="45"/>
    <w:p>
      <w:pPr>
        <w:ind w:left="820" w:right="40" w:hanging="461"/>
        <w:spacing w:after="0" w:line="268"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distributions of cash in excess of certain threshold amounts.</w:t>
      </w:r>
    </w:p>
    <w:p>
      <w:pPr>
        <w:spacing w:after="0" w:line="279" w:lineRule="exact"/>
        <w:rPr>
          <w:sz w:val="20"/>
          <w:szCs w:val="20"/>
          <w:color w:val="auto"/>
        </w:rPr>
      </w:pPr>
    </w:p>
    <w:p>
      <w:pPr>
        <w:ind w:right="780" w:firstLine="324"/>
        <w:spacing w:after="0" w:line="332" w:lineRule="auto"/>
        <w:rPr>
          <w:sz w:val="20"/>
          <w:szCs w:val="20"/>
          <w:color w:val="auto"/>
        </w:rPr>
      </w:pPr>
      <w:r>
        <w:rPr>
          <w:rFonts w:ascii="Arial" w:cs="Arial" w:eastAsia="Arial" w:hAnsi="Arial"/>
          <w:sz w:val="16"/>
          <w:szCs w:val="16"/>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166"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We may issue warrants to purchase securities or other securities or rights of ours, including rights to receive payment in cash or securities based on the value, rate or price of one or more specified commodities, currencies or indices, or securities of other issuers or any combination of the foregoing. Warrants may be issued independently or together with any securities and may be attached to or separate from such securities. Each series of warrants will be issued under a separate warrant agreement to be entered into between us and a warrant agent. The following sets forth certain general terms and provisions of the warrants offered hereby. Further terms of the warrants and the applicable warrant agreement are set forth in the applicable prospectus supplement.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applicable prospectus supplement will describe the following terms of any warrants in respect of which this prospectus is being delivered:</w:t>
      </w:r>
    </w:p>
    <w:p>
      <w:pPr>
        <w:spacing w:after="0" w:line="248" w:lineRule="exact"/>
        <w:rPr>
          <w:sz w:val="20"/>
          <w:szCs w:val="20"/>
          <w:color w:val="auto"/>
        </w:rPr>
      </w:pPr>
    </w:p>
    <w:p>
      <w:pPr>
        <w:ind w:left="820" w:hanging="461"/>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279" w:lineRule="exact"/>
        <w:rPr>
          <w:rFonts w:ascii="Arial" w:cs="Arial" w:eastAsia="Arial" w:hAnsi="Arial"/>
          <w:sz w:val="18"/>
          <w:szCs w:val="18"/>
          <w:color w:val="auto"/>
        </w:rPr>
      </w:pPr>
    </w:p>
    <w:p>
      <w:pPr>
        <w:ind w:left="820" w:right="280" w:hanging="461"/>
        <w:spacing w:after="0" w:line="370" w:lineRule="auto"/>
        <w:tabs>
          <w:tab w:leader="none" w:pos="8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securities or other rights, including rights to receive payment in cash or securities based on the value, rate or price of one or more specified commodities, currencies or indices, or securities of other issuers or any combination of the foregoing, purchasable upon exercise of such warrants;</w:t>
      </w:r>
    </w:p>
    <w:p>
      <w:pPr>
        <w:spacing w:after="0" w:line="143" w:lineRule="exact"/>
        <w:rPr>
          <w:rFonts w:ascii="Arial" w:cs="Arial" w:eastAsia="Arial" w:hAnsi="Arial"/>
          <w:sz w:val="15"/>
          <w:szCs w:val="15"/>
          <w:color w:val="auto"/>
        </w:rPr>
      </w:pPr>
    </w:p>
    <w:p>
      <w:pPr>
        <w:ind w:left="820" w:right="100" w:hanging="461"/>
        <w:spacing w:after="0" w:line="268"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including composite currencies, in which the securities purchasable upon exercise of such warrants may be purchased;</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279" w:lineRule="exact"/>
        <w:rPr>
          <w:rFonts w:ascii="Arial" w:cs="Arial" w:eastAsia="Arial" w:hAnsi="Arial"/>
          <w:sz w:val="18"/>
          <w:szCs w:val="18"/>
          <w:color w:val="auto"/>
        </w:rPr>
      </w:pPr>
    </w:p>
    <w:p>
      <w:pPr>
        <w:ind w:left="820" w:right="160" w:hanging="461"/>
        <w:spacing w:after="0" w:line="268"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46" w:name="page47"/>
    <w:bookmarkEnd w:id="46"/>
    <w:p>
      <w:pPr>
        <w:ind w:left="820" w:hanging="461"/>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applicable, a discussion of certain United States Federal income tax considerations;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applicable, the identity of any of our cable subsidiaries guaranteeing our obligations with respect to such warrants; and</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26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DESCRIPTION OF PURCHASE CONTRACTS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issue purchase contracts for the purchase or sale of:</w:t>
      </w:r>
    </w:p>
    <w:p>
      <w:pPr>
        <w:spacing w:after="0" w:line="225" w:lineRule="exact"/>
        <w:rPr>
          <w:sz w:val="20"/>
          <w:szCs w:val="20"/>
          <w:color w:val="auto"/>
        </w:rPr>
      </w:pPr>
    </w:p>
    <w:p>
      <w:pPr>
        <w:ind w:left="820" w:right="500" w:hanging="461"/>
        <w:spacing w:after="0" w:line="268"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securities or securities of an entity unaffiliated or affiliated with us, a basket of such securities, an index or indices of such securities or any combination of the above as specified in the applicable prospectus supplement;</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currencies or composite currencies; or</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commodities.</w:t>
      </w:r>
    </w:p>
    <w:p>
      <w:pPr>
        <w:spacing w:after="0" w:line="27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Each purchase contract will entitle the holder thereof to purchase or sell, and obligate us to sell or purchase, on specified dates, such securities, currencies or commodities at a specified purchase price, all as set forth in the applicable prospectus supplement. We must, however, satisfy our obligations, if any, with respect to any purchase contract by delivering the cash value thereof or, in the case of underlying currencies, by delivering the underlying currencies, as set forth in the applicable prospectus supplement. The applicable prospectus supplement will also specify the methods by which the holders may purchase or sell such securities, currencies or commodities, any acceleration, cancellation or termination provisions or other provisions relating to the settlement of a purchase contract and, if applicable, the identity of any of our cable subsidiaries guaranteeing our obligations with respect to such purchase contracts.</w:t>
      </w:r>
    </w:p>
    <w:p>
      <w:pPr>
        <w:spacing w:after="0" w:line="20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Purchase contracts may require holders to satisfy their obligations thereunder when the purchase contracts are issued. Our obligation to settle such pre-paid purchase contracts on the relevant settlement date may constitute indebtedness. Accordingly, the pre-paid purchase contracts will be issued under one of the indentures.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258" w:lineRule="exact"/>
        <w:rPr>
          <w:sz w:val="20"/>
          <w:szCs w:val="20"/>
          <w:color w:val="auto"/>
        </w:rPr>
      </w:pPr>
    </w:p>
    <w:p>
      <w:pPr>
        <w:ind w:right="40" w:firstLine="324"/>
        <w:spacing w:after="0" w:line="332" w:lineRule="auto"/>
        <w:rPr>
          <w:sz w:val="20"/>
          <w:szCs w:val="20"/>
          <w:color w:val="auto"/>
        </w:rPr>
      </w:pPr>
      <w:r>
        <w:rPr>
          <w:rFonts w:ascii="Arial" w:cs="Arial" w:eastAsia="Arial" w:hAnsi="Arial"/>
          <w:sz w:val="16"/>
          <w:szCs w:val="16"/>
          <w:color w:val="auto"/>
        </w:rPr>
        <w:t>As specified in the applicable prospectus supplement, units will consist of one or more purchase contracts, warrants, debt securities, preferred stock, Class A Common Stock or Class A Special Common Stock or any combination thereof. Reference is made to the applicable prospectus supplement for:</w:t>
      </w:r>
    </w:p>
    <w:p>
      <w:pPr>
        <w:spacing w:after="0" w:line="139" w:lineRule="exact"/>
        <w:rPr>
          <w:sz w:val="20"/>
          <w:szCs w:val="20"/>
          <w:color w:val="auto"/>
        </w:rPr>
      </w:pPr>
    </w:p>
    <w:p>
      <w:pPr>
        <w:ind w:left="820" w:right="100" w:hanging="461"/>
        <w:spacing w:after="0" w:line="259"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terms of the units and of the purchase contracts, warrants, debt securities, shares of preferred stock, shares of Class A Common Stock or shares of Class A Special Common Stock, or any combination thereof, comprising the units, including whether and under what circumstances the securities comprising the units may or may not be traded separately;</w:t>
      </w:r>
    </w:p>
    <w:p>
      <w:pPr>
        <w:spacing w:after="0" w:line="221" w:lineRule="exact"/>
        <w:rPr>
          <w:rFonts w:ascii="Arial" w:cs="Arial" w:eastAsia="Arial" w:hAnsi="Arial"/>
          <w:sz w:val="18"/>
          <w:szCs w:val="18"/>
          <w:color w:val="auto"/>
        </w:rPr>
      </w:pPr>
    </w:p>
    <w:p>
      <w:pPr>
        <w:ind w:left="820" w:hanging="461"/>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applicable, a description of any guarantee by any of our subsidiaries of our obligations under the units; and</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25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99" w:lineRule="exact"/>
        <w:rPr>
          <w:sz w:val="20"/>
          <w:szCs w:val="20"/>
          <w:color w:val="auto"/>
        </w:rPr>
      </w:pPr>
    </w:p>
    <w:p>
      <w:pPr>
        <w:ind w:right="120" w:firstLine="324"/>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166" w:lineRule="exact"/>
        <w:rPr>
          <w:sz w:val="20"/>
          <w:szCs w:val="20"/>
          <w:color w:val="auto"/>
        </w:rPr>
      </w:pPr>
    </w:p>
    <w:p>
      <w:pPr>
        <w:ind w:firstLine="324"/>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8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205"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8" w:name="page49"/>
    <w:bookmarkEnd w:id="48"/>
    <w:p>
      <w:pPr>
        <w:ind w:right="60"/>
        <w:spacing w:after="0" w:line="268" w:lineRule="auto"/>
        <w:rPr>
          <w:sz w:val="20"/>
          <w:szCs w:val="20"/>
          <w:color w:val="auto"/>
        </w:rPr>
      </w:pPr>
      <w:r>
        <w:rPr>
          <w:rFonts w:ascii="Arial" w:cs="Arial" w:eastAsia="Arial" w:hAnsi="Arial"/>
          <w:sz w:val="18"/>
          <w:szCs w:val="18"/>
          <w:color w:val="auto"/>
        </w:rPr>
        <w:t>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213" w:lineRule="exact"/>
        <w:rPr>
          <w:sz w:val="20"/>
          <w:szCs w:val="20"/>
          <w:color w:val="auto"/>
        </w:rPr>
      </w:pPr>
    </w:p>
    <w:p>
      <w:pPr>
        <w:ind w:right="500" w:firstLine="324"/>
        <w:spacing w:after="0" w:line="254" w:lineRule="auto"/>
        <w:rPr>
          <w:sz w:val="20"/>
          <w:szCs w:val="20"/>
          <w:color w:val="auto"/>
        </w:rPr>
      </w:pPr>
      <w:r>
        <w:rPr>
          <w:rFonts w:ascii="Arial" w:cs="Arial" w:eastAsia="Arial" w:hAnsi="Arial"/>
          <w:sz w:val="18"/>
          <w:szCs w:val="18"/>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Securities Exchange Act of 1934, and we do not appoint a successor depositary registered as a clearing agency under the Securities Exchange Act of 1934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PREFERRED STOCK</w:t>
      </w:r>
    </w:p>
    <w:p>
      <w:pPr>
        <w:spacing w:after="0" w:line="258"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Our board of directors is authorized to issue in one or more series up to a maximum of 20,000,000 shares of preferred stock, without par value. The shares can be issued with such designations, preferences, qualifications, privileges, limitations, restrictions, options, conversion or exchange rights and other special or relative rights as the board of directors shall from time to time fix by resolution. The dividend, voting, conversion, exchange, repurchase and redemption rights, if applicable, the liquidation preference, and other specific terms of each series of the preferred stock will be set forth in the prospectus supplement.</w:t>
      </w:r>
    </w:p>
    <w:p>
      <w:pPr>
        <w:spacing w:after="0" w:line="194"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The applicable prospectus supplement will describe the following terms to the extent that they may apply to an issuance of preferred stock in respect of which this prospectus is being delivered:</w:t>
      </w:r>
    </w:p>
    <w:p>
      <w:pPr>
        <w:spacing w:after="0" w:line="186" w:lineRule="exact"/>
        <w:rPr>
          <w:sz w:val="20"/>
          <w:szCs w:val="20"/>
          <w:color w:val="auto"/>
        </w:rPr>
      </w:pPr>
    </w:p>
    <w:p>
      <w:pPr>
        <w:ind w:left="820" w:hanging="461"/>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specific designation, number of shares, seniority and purchase price;</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liquidation preference per share;</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date of maturity;</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redemption, repayment or sinking fund provisions;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any dividend rate or rates and the dates on which any such dividends will be payable (or the method by which such rates or dates will be determined);</w:t>
      </w:r>
    </w:p>
    <w:p>
      <w:pPr>
        <w:spacing w:after="0" w:line="313" w:lineRule="exact"/>
        <w:rPr>
          <w:rFonts w:ascii="Arial" w:cs="Arial" w:eastAsia="Arial" w:hAnsi="Arial"/>
          <w:sz w:val="15"/>
          <w:szCs w:val="15"/>
          <w:color w:val="auto"/>
        </w:rPr>
      </w:pPr>
    </w:p>
    <w:p>
      <w:pPr>
        <w:ind w:left="820" w:hanging="461"/>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voting rights;</w:t>
      </w:r>
    </w:p>
    <w:p>
      <w:pPr>
        <w:spacing w:after="0" w:line="279" w:lineRule="exact"/>
        <w:rPr>
          <w:rFonts w:ascii="Arial" w:cs="Arial" w:eastAsia="Arial" w:hAnsi="Arial"/>
          <w:sz w:val="18"/>
          <w:szCs w:val="18"/>
          <w:color w:val="auto"/>
        </w:rPr>
      </w:pPr>
    </w:p>
    <w:p>
      <w:pPr>
        <w:ind w:left="820" w:right="80" w:hanging="461"/>
        <w:spacing w:after="0" w:line="268"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other than the currency of the United States of America, the currency or currencies including composite currencies in which such preferred stock is denominated and/or in which payments will or may be payable;</w:t>
      </w:r>
    </w:p>
    <w:p>
      <w:pPr>
        <w:spacing w:after="0" w:line="212" w:lineRule="exact"/>
        <w:rPr>
          <w:rFonts w:ascii="Arial" w:cs="Arial" w:eastAsia="Arial" w:hAnsi="Arial"/>
          <w:sz w:val="18"/>
          <w:szCs w:val="18"/>
          <w:color w:val="auto"/>
        </w:rPr>
      </w:pPr>
    </w:p>
    <w:p>
      <w:pPr>
        <w:ind w:left="820" w:right="40" w:hanging="461"/>
        <w:spacing w:after="0" w:line="268"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method by which amounts in respect of such preferred stock may be calculated and any commodities, currencies or indices, or value, rate or price, relevant to such calculation;</w:t>
      </w:r>
    </w:p>
    <w:p>
      <w:pPr>
        <w:spacing w:after="0" w:line="212" w:lineRule="exact"/>
        <w:rPr>
          <w:rFonts w:ascii="Arial" w:cs="Arial" w:eastAsia="Arial" w:hAnsi="Arial"/>
          <w:sz w:val="18"/>
          <w:szCs w:val="18"/>
          <w:color w:val="auto"/>
        </w:rPr>
      </w:pPr>
    </w:p>
    <w:p>
      <w:pPr>
        <w:ind w:left="820" w:right="680" w:hanging="461"/>
        <w:spacing w:after="0" w:line="268"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the preferred stock is convertible or exchangeable and, if so, the securities or rights into which such preferred stock is convertible or exchangeable, and the terms and conditions upon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49" w:name="page50"/>
    <w:bookmarkEnd w:id="49"/>
    <w:p>
      <w:pPr>
        <w:ind w:left="820" w:right="140"/>
        <w:spacing w:after="0" w:line="268" w:lineRule="auto"/>
        <w:rPr>
          <w:sz w:val="20"/>
          <w:szCs w:val="20"/>
          <w:color w:val="auto"/>
        </w:rPr>
      </w:pPr>
      <w:r>
        <w:rPr>
          <w:rFonts w:ascii="Arial" w:cs="Arial" w:eastAsia="Arial" w:hAnsi="Arial"/>
          <w:sz w:val="18"/>
          <w:szCs w:val="18"/>
          <w:color w:val="auto"/>
        </w:rPr>
        <w:t>which such conversions or exchanges will be effected including the initial conversion or exchange prices or rates, the conversion or exchange period and any other related provisions;</w:t>
      </w:r>
    </w:p>
    <w:p>
      <w:pPr>
        <w:spacing w:after="0" w:line="213" w:lineRule="exact"/>
        <w:rPr>
          <w:sz w:val="20"/>
          <w:szCs w:val="20"/>
          <w:color w:val="auto"/>
        </w:rPr>
      </w:pPr>
    </w:p>
    <w:p>
      <w:pPr>
        <w:ind w:left="820" w:hanging="461"/>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place or places where dividends and other payments on the preferred stock will be payable; and</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additional voting, dividend, liquidation, redemption and other rights, preferences, privileges, limitations and restrictions.</w:t>
      </w:r>
    </w:p>
    <w:p>
      <w:pPr>
        <w:spacing w:after="0" w:line="27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As described under “Description of Depositary Shares,” we may, at our option, elect to offer depositary shares evidenced by depositary receipts, each representing an interest (to be specified in the prospectus supplement relating to the particular series of the preferred stock) in a share of the particular series of the preferred stock issued and deposited with a bank or trust company selected by us as the depositary.</w:t>
      </w:r>
    </w:p>
    <w:p>
      <w:pPr>
        <w:spacing w:after="0" w:line="221" w:lineRule="exact"/>
        <w:rPr>
          <w:sz w:val="20"/>
          <w:szCs w:val="20"/>
          <w:color w:val="auto"/>
        </w:rPr>
      </w:pPr>
    </w:p>
    <w:p>
      <w:pPr>
        <w:ind w:right="560" w:firstLine="324"/>
        <w:spacing w:after="0" w:line="332" w:lineRule="auto"/>
        <w:rPr>
          <w:sz w:val="20"/>
          <w:szCs w:val="20"/>
          <w:color w:val="auto"/>
        </w:rPr>
      </w:pPr>
      <w:r>
        <w:rPr>
          <w:rFonts w:ascii="Arial" w:cs="Arial" w:eastAsia="Arial" w:hAnsi="Arial"/>
          <w:sz w:val="16"/>
          <w:szCs w:val="16"/>
          <w:color w:val="auto"/>
        </w:rPr>
        <w:t>All shares of preferred stock offered hereby, or issuable upon conversion, exchange or exercise of securities, will, when issued, be fully paid and non-assessable. We have been advised that the preferred stock will be exempt from existing Pennsylvania personal property tax.</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DEPOSITARY SHARES</w:t>
      </w:r>
    </w:p>
    <w:p>
      <w:pPr>
        <w:spacing w:after="0" w:line="25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description set forth below and in any prospectus supplement of certain provisions of the deposit agreement and of the depositary shares and depositary receipts does not purport to be complete and is subject to, and qualified in its entirety by reference to, the form of deposit agreement and form of depositary receipts relating to each series of the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may, at our option, elect to have shares of preferred stock be represented by depositary shares. The shares of any series of the preferred stock underlying the depositary shares will be deposited under a separate deposit agreement between us and a bank or trust company selected by us as the depositary. The prospectus supplement relating to a series of depositary shares will set forth the name and address of the depositary. Subject to the terms of the deposit agreement, each owner of a depositary share will be entitled, in proportion to the applicable interest in the number of shares of preferred stock underlying such depositary share, to all the rights and preferences of the preferred stock underlying such depositary share, including dividend, voting, redemption, conversion, exchange and liquidation rights.</w:t>
      </w:r>
    </w:p>
    <w:p>
      <w:pPr>
        <w:spacing w:after="0" w:line="225"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 depositary shares will be evidenced by depositary receipts issued pursuant to the deposit agreement, each of which will represent the applicable interest in a number of shares of a particular series of the preferred stock described in the applicable prospectus supplement.</w:t>
      </w:r>
    </w:p>
    <w:p>
      <w:pPr>
        <w:spacing w:after="0" w:line="213"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Unless otherwise specified in the prospectus supplement, a holder of depositary shares is not entitled to receive the shares of preferred stock underlying the depositary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58" w:lineRule="exact"/>
        <w:rPr>
          <w:sz w:val="20"/>
          <w:szCs w:val="20"/>
          <w:color w:val="auto"/>
        </w:rPr>
      </w:pPr>
    </w:p>
    <w:p>
      <w:pPr>
        <w:ind w:right="460" w:firstLine="324"/>
        <w:spacing w:after="0" w:line="370" w:lineRule="auto"/>
        <w:rPr>
          <w:sz w:val="20"/>
          <w:szCs w:val="20"/>
          <w:color w:val="auto"/>
        </w:rPr>
      </w:pPr>
      <w:r>
        <w:rPr>
          <w:rFonts w:ascii="Arial" w:cs="Arial" w:eastAsia="Arial" w:hAnsi="Arial"/>
          <w:sz w:val="15"/>
          <w:szCs w:val="15"/>
          <w:color w:val="auto"/>
        </w:rPr>
        <w:t>The depositary will distribute all cash dividends or other cash distributions received in respect of the preferred stock to the record holders of depositary shares representing such preferred stock in proportion to the numbers of such depositary shares owned by such holders on the relevant record date.</w:t>
      </w:r>
    </w:p>
    <w:p>
      <w:pPr>
        <w:spacing w:after="0" w:line="14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the event of a distribution other than in cash, the depositary will distribute property received by it to the record holders of depositary shares entitled thereto or the depositary may, with our approval, sell such property and distribute the net proceeds from such sale to such holders. The deposit agreement also contains provisions relating to the manner in which any subscription or similar rights offered by us to holders of preferred stock shall be made available to holders of depositary shares.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Conversion and Exchange</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any preferred stock underlying the depositary shares is subject to provisions relating to its conversion or exchange as set forth in the prospectus supplement relating thereto, each record holder of depositary shares will have the right or obligation to convert or exchange such depositary shares pursuant to the terms thereof.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25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If preferred stock underlying the depositary shares is subject to redemption, the depositary shares will be redeemed from the proceeds received by the depositary resulting from the redemption, in whole or in part, of the preferred stock held by the depositary. The redemption price per depositary share will be equal to the aggregate redemption price payable with respect to the number of shares of preferred stock underlying the depositary shares. Whenever we redeem preferred stock from the depositary, the depositary will redeem as of the same redemption date a proportionate number of depositary shares representing the shares of preferred stock that were redeemed. If less than all the depositary shares are to be redeemed, the depositary shares to be redeemed will be selected by lot or pro rata as may be determined by us.</w:t>
      </w:r>
    </w:p>
    <w:p>
      <w:pPr>
        <w:spacing w:after="0" w:line="201"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After the date fixed for redemption, the depositary shares so called for redemption will no longer be deemed to be outstanding and all rights of the holders of the depositary shares will cease, except the right to receive the redemption price payable upon such redemption. Any funds deposited by us with the depositary for any depositary shares which the holders thereof fail to redeem shall be returned to us after a period of two years from the date such funds are so deposited.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Upon receipt of notice of any meeting or action in lieu of any meeting at which the holders of any shares of preferred stock underlying the depositary shares are entitled to vote, the depositary will mail the information contained in such notice to the record holders of the depositary shares relating to such preferred stock. Each record holder of such depositary shares on the record date (which will be the same date as the record date for the preferred stock) will be entitled to instruct the depositary as to the exercise of the voting rights pertaining to the number of shares of preferred stock underlying such holder’s depositary shares. The depositary will endeavor, insofar as practicable, to vote the number of shares of preferred stock underlying such depositary shares in accordance with such instructions, and we will agree to take all action which may be deemed necessary by the depositary in order to enable the depositary to do so.</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Deposit Agreement</w:t>
      </w:r>
    </w:p>
    <w:p>
      <w:pPr>
        <w:spacing w:after="0" w:line="258" w:lineRule="exact"/>
        <w:rPr>
          <w:sz w:val="20"/>
          <w:szCs w:val="20"/>
          <w:color w:val="auto"/>
        </w:rPr>
      </w:pPr>
    </w:p>
    <w:p>
      <w:pPr>
        <w:jc w:val="both"/>
        <w:ind w:right="460" w:firstLine="324"/>
        <w:spacing w:after="0" w:line="306" w:lineRule="auto"/>
        <w:rPr>
          <w:sz w:val="20"/>
          <w:szCs w:val="20"/>
          <w:color w:val="auto"/>
        </w:rPr>
      </w:pPr>
      <w:r>
        <w:rPr>
          <w:rFonts w:ascii="Arial" w:cs="Arial" w:eastAsia="Arial" w:hAnsi="Arial"/>
          <w:sz w:val="16"/>
          <w:szCs w:val="16"/>
          <w:color w:val="auto"/>
        </w:rPr>
        <w:t>The form of depositary receipt evidencing the depositary shares and any provision of the deposit agreement may at any time be amended by agreement between us and the depositary, provided, however, that any amendment which materially and adversely alters the rights of the existing holders of depositary shares will not be effective unless such amendment has been approved by at least a majority of the depositary shares then outstanding.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5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will pay all transfer and other taxes and governmental charges that arise solely from the existence of the depositary arrangements. We will pay charges of the depositary in connection with the initial deposit of the preferred stock and any exchange or redemption of the preferred stock. Holders of depositary shares will pay all other transfer and other taxes and governmental charges, and, in addition, such other charges as are expressly provided in the deposit agreement to be for their accounts.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Miscellaneous</w:t>
      </w:r>
    </w:p>
    <w:p>
      <w:pPr>
        <w:spacing w:after="0" w:line="25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We, or at our option, the depositary, will forward to the holders of depositary shares all reports and communications from us which we are required to furnish to the holders of preferred stock.</w:t>
      </w:r>
    </w:p>
    <w:p>
      <w:pPr>
        <w:spacing w:after="0" w:line="213" w:lineRule="exact"/>
        <w:rPr>
          <w:sz w:val="20"/>
          <w:szCs w:val="20"/>
          <w:color w:val="auto"/>
        </w:rPr>
      </w:pPr>
    </w:p>
    <w:p>
      <w:pPr>
        <w:ind w:firstLine="324"/>
        <w:spacing w:after="0" w:line="318" w:lineRule="auto"/>
        <w:rPr>
          <w:sz w:val="20"/>
          <w:szCs w:val="20"/>
          <w:color w:val="auto"/>
        </w:rPr>
      </w:pPr>
      <w:r>
        <w:rPr>
          <w:rFonts w:ascii="Arial" w:cs="Arial" w:eastAsia="Arial" w:hAnsi="Arial"/>
          <w:sz w:val="15"/>
          <w:szCs w:val="15"/>
          <w:color w:val="auto"/>
        </w:rPr>
        <w:t>Neither the depositary nor we will be liable if either of us is prevented or delayed by law or any circumstances beyond our control in performing our obligations under the deposit agreement. Our obligations and those of the depositary under the deposit agreement will be limited to performance in good faith of our duties thereunder and we and the depositary will not be obligated to prosecute or defend any legal proceeding in respect of any depositary share or preferred stock unless satisfactory indemnity has been furnished. We and the depositary may rely upon written advice of counsel or accountants, or information provided by persons presenting preferred stock for deposit, holders of depositary shares or other persons believed to be competent and on documents believed to be genuine.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 Termination of the Deposit Agreement</w:t>
      </w:r>
    </w:p>
    <w:p>
      <w:pPr>
        <w:spacing w:after="0" w:line="258" w:lineRule="exact"/>
        <w:rPr>
          <w:sz w:val="20"/>
          <w:szCs w:val="20"/>
          <w:color w:val="auto"/>
        </w:rPr>
      </w:pPr>
    </w:p>
    <w:p>
      <w:pPr>
        <w:ind w:right="60" w:firstLine="324"/>
        <w:spacing w:after="0" w:line="309" w:lineRule="auto"/>
        <w:rPr>
          <w:sz w:val="20"/>
          <w:szCs w:val="20"/>
          <w:color w:val="auto"/>
        </w:rPr>
      </w:pPr>
      <w:r>
        <w:rPr>
          <w:rFonts w:ascii="Arial" w:cs="Arial" w:eastAsia="Arial" w:hAnsi="Arial"/>
          <w:sz w:val="15"/>
          <w:szCs w:val="15"/>
          <w:color w:val="auto"/>
        </w:rPr>
        <w:t>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will be appointed by us within 60 days after delivery of the notice of resignation or removal. The deposit agreement may be terminated at our direction or by the depositary if a period of 90 days shall have expired after the depositary has delivered to us written notice of its election to resign and a successor depositary shall not have been appointed. Upon termination of the deposit agreement, the depositary will discontinue the transfer of depositary receipts, will suspend the distribution of dividends to the holders thereof, and will not give any further notices (other than notice of such termination) or perform any further acts under the deposit agreement except that the depositary will continue to deliver preferred stock certificates, together with such dividends and distributions and the net proceeds of any sales of rights, preferences, privileges or other property in exchange for depositary receipts surrendered. Upon our request, the depositary shall deliver all books, records, certificates evidencing preferred stock, depositary receipts and other documents relating to the subject matter of the depositary agreement to us.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258"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213"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and 75 million shares of Class B Common Stock. At the close of business on December 13, 2002 there were outstanding 1.355 billion shares of Class A Common Stock, 930.6 million shares of Class A Special Common Stock and 9.4 million shares of Class B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therefore, in proportion to the number of shares held by them, respectively, without regard to class.</w:t>
      </w:r>
    </w:p>
    <w:p>
      <w:pPr>
        <w:spacing w:after="0" w:line="224" w:lineRule="exact"/>
        <w:rPr>
          <w:sz w:val="20"/>
          <w:szCs w:val="20"/>
          <w:color w:val="auto"/>
        </w:rPr>
      </w:pPr>
    </w:p>
    <w:p>
      <w:pPr>
        <w:jc w:val="both"/>
        <w:ind w:right="400" w:firstLine="324"/>
        <w:spacing w:after="0" w:line="259" w:lineRule="auto"/>
        <w:rPr>
          <w:sz w:val="20"/>
          <w:szCs w:val="20"/>
          <w:color w:val="auto"/>
        </w:rPr>
      </w:pPr>
      <w:r>
        <w:rPr>
          <w:rFonts w:ascii="Arial" w:cs="Arial" w:eastAsia="Arial" w:hAnsi="Arial"/>
          <w:sz w:val="18"/>
          <w:szCs w:val="18"/>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therefore. However, stock dividends on, or stock splits of, any class of common stock will not be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2" w:name="page53"/>
    <w:bookmarkEnd w:id="52"/>
    <w:p>
      <w:pPr>
        <w:ind w:right="140"/>
        <w:spacing w:after="0" w:line="332" w:lineRule="auto"/>
        <w:rPr>
          <w:sz w:val="20"/>
          <w:szCs w:val="20"/>
          <w:color w:val="auto"/>
        </w:rPr>
      </w:pPr>
      <w:r>
        <w:rPr>
          <w:rFonts w:ascii="Arial" w:cs="Arial" w:eastAsia="Arial" w:hAnsi="Arial"/>
          <w:sz w:val="16"/>
          <w:szCs w:val="16"/>
          <w:color w:val="auto"/>
        </w:rPr>
        <w:t>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58" w:lineRule="exact"/>
        <w:rPr>
          <w:sz w:val="20"/>
          <w:szCs w:val="20"/>
          <w:color w:val="auto"/>
        </w:rPr>
      </w:pPr>
    </w:p>
    <w:p>
      <w:pPr>
        <w:ind w:firstLine="324"/>
        <w:spacing w:after="0" w:line="370" w:lineRule="auto"/>
        <w:rPr>
          <w:sz w:val="20"/>
          <w:szCs w:val="20"/>
          <w:color w:val="auto"/>
        </w:rPr>
      </w:pPr>
      <w:r>
        <w:rPr>
          <w:rFonts w:ascii="Arial" w:cs="Arial" w:eastAsia="Arial" w:hAnsi="Arial"/>
          <w:sz w:val="15"/>
          <w:szCs w:val="15"/>
          <w:color w:val="auto"/>
        </w:rPr>
        <w:t>Except as required by law, holders of our Class A Special Common Stock are not be entitled to vote. When holders of our Class A Special Common Stock are entitled to vote by applicable law, each share of our Class A Special Common Stock has the same number of votes as each share of our Class A Common Stock.</w:t>
      </w:r>
    </w:p>
    <w:p>
      <w:pPr>
        <w:spacing w:after="0" w:line="143"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On all matters submitted for a vote of holders of all classes of our voting stock, holders of our Class A Common Stock in the aggregate hold 66 2/3% of the aggregate voting power of our capital stock as of completion of the AT&amp;T Comcast transaction.</w:t>
      </w:r>
    </w:p>
    <w:p>
      <w:pPr>
        <w:spacing w:after="0" w:line="213" w:lineRule="exact"/>
        <w:rPr>
          <w:sz w:val="20"/>
          <w:szCs w:val="20"/>
          <w:color w:val="auto"/>
        </w:rPr>
      </w:pPr>
    </w:p>
    <w:p>
      <w:pPr>
        <w:ind w:right="80" w:firstLine="324"/>
        <w:spacing w:after="0" w:line="302" w:lineRule="auto"/>
        <w:rPr>
          <w:sz w:val="20"/>
          <w:szCs w:val="20"/>
          <w:color w:val="auto"/>
        </w:rPr>
      </w:pPr>
      <w:r>
        <w:rPr>
          <w:rFonts w:ascii="Arial" w:cs="Arial" w:eastAsia="Arial" w:hAnsi="Arial"/>
          <w:sz w:val="15"/>
          <w:szCs w:val="15"/>
          <w:color w:val="auto"/>
        </w:rPr>
        <w:t>Each share of our Class A Common Stock has the number of votes equal to a quotient the numerator of which is the excess of (1) 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our Class A Common Stock. “Total Number of Votes” on any record date is equal to a quotient the numerator of which is the Total Number of B Votes on such record date and the denominator of which is the B Voting Percentage (as defined below in this paragraph) on such record date. “Total Number of B Votes” on any record date is equal to the product of (1) 15 and</w:t>
      </w:r>
    </w:p>
    <w:p>
      <w:pPr>
        <w:spacing w:after="0" w:line="2" w:lineRule="exact"/>
        <w:rPr>
          <w:sz w:val="20"/>
          <w:szCs w:val="20"/>
          <w:color w:val="auto"/>
        </w:rPr>
      </w:pPr>
    </w:p>
    <w:p>
      <w:pPr>
        <w:ind w:right="20" w:firstLine="8"/>
        <w:spacing w:after="0" w:line="253" w:lineRule="auto"/>
        <w:tabs>
          <w:tab w:leader="none" w:pos="2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outstanding shares of our Class B Common Stock on such record date. “Total Number of Other Votes” on any record date means the aggregate number of votes to which holders of all classes of our capital stock other than holders of our Class A Common Stock and our Class B Common Stock are entitled to cast on such record date in an election of directors. “B Voting Percentage” on any record date means the portion (expressed as a percentage) of the total number of votes to which all holders of our Class B Common Stock are entitled to cast on such record date in an election of directors. Initially, the B Voting Percentage will be 33 1/3%.</w:t>
      </w:r>
    </w:p>
    <w:p>
      <w:pPr>
        <w:spacing w:after="0" w:line="22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If the number of shares of our Class A Common Stock or our Class B Common Stock outstanding is reduced for any reason (</w:t>
      </w:r>
      <w:r>
        <w:rPr>
          <w:rFonts w:ascii="Arial" w:cs="Arial" w:eastAsia="Arial" w:hAnsi="Arial"/>
          <w:sz w:val="16"/>
          <w:szCs w:val="16"/>
          <w:i w:val="1"/>
          <w:iCs w:val="1"/>
          <w:color w:val="auto"/>
        </w:rPr>
        <w:t>e.g.</w:t>
      </w:r>
      <w:r>
        <w:rPr>
          <w:rFonts w:ascii="Arial" w:cs="Arial" w:eastAsia="Arial" w:hAnsi="Arial"/>
          <w:sz w:val="16"/>
          <w:szCs w:val="16"/>
          <w:color w:val="auto"/>
        </w:rPr>
        <w:t>, by repurchase or, in the case of our Class B Common Stock only, conversion), the aggregate voting power of the applicable class of our capital stock will be proportionately reduced. If additional shares of our Class A Common Stock or our Class B Common Stock are issued, the relative aggregate voting power of the two classes of our common stock will change (based on the principle that each share of our Class B Common Stock will be entitled to 15 times the vote of each share of our Class A Common Stock) to the extent such issuance is disproportionate as between the relative number of shares of the two classes outstanding prior to the issuance, but the combined aggregate voting power of the two classes of stock will remain constant at approximately 38 47/100% (except to the extent there has been a reduction in the aggregate voting power of either class of stock as described in the preceding sentence).</w:t>
      </w:r>
    </w:p>
    <w:p>
      <w:pPr>
        <w:spacing w:after="0" w:line="199"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Subject to the next sentence, on all matters submitted for a vote of holders of one or more classes of our voting stock, holders of our Class B Common Stock in the aggregate will hold 33 1/3% of the aggregate voting power of our capital stock, regardless of the number of shares of our Class A Common Stock or any other class of our capital stock outstanding at any time. If the number of shares of our Class B Common Stock outstanding is reduced for any reason (e.g., by repurchase or conversion), the aggregate voting power of our Class B Common Stock will be proportionately reduced.</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share of our Class B Common Stock has 15 votes.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Approval Rights</w:t>
      </w:r>
    </w:p>
    <w:p>
      <w:pPr>
        <w:spacing w:after="0" w:line="258"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Except as required by law, holders of Class A Special Common Stock and Class A Common Stock have no specific approval rights over any corporate actions.</w:t>
      </w:r>
    </w:p>
    <w:p>
      <w:pPr>
        <w:spacing w:after="0" w:line="21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25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Brian L. Roberts, our CEO and President, through his control of BRCC Holdings LLC and certain trusts, which own all outstanding shares of our Class B Common Stock, holds a nondilutable 33 1/3% of the combined voting power of our stock and also has separate approval rights over certain material transactions involving us, as described above under “—Approval Rights.” The Class B Common Stock is convertible on a share-for-share basis into Class A Common Stock or Class A Special Common Stock. As of December 13, 2002, if BRCC Holdings LLC, the trusts and Mr. Roberts were to convert the Class B Common Stock which they are deemed to beneficially own into Class A Common Stock, Mr. Roberts would beneficially own 9,445,731 shares of Class A Common Stock, which is approximately 0.7% of the Class A Common Stock that would be outstanding after the conversion.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258"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258"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Our charter provides that if in a transaction such as a merger, consolidation, share exchange or recapitalization holders of each class of our common stock outstanding on completion of the AT&amp;T Comcast transaction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Miscellaneous</w:t>
      </w:r>
    </w:p>
    <w:p>
      <w:pPr>
        <w:spacing w:after="0" w:line="25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holders of Class A Special Common Stock, Class A Common Stock and Class B Common Stock do not have any preemptive rights. All shares of Class A Special Common Stock, Class A Common Stock and Class B Common Stock presently outstanding are, and all shares of the Class A Special Common Stock and Class A Common Stock offered hereby, or issuable upon conversion, exchange or exercise of securities offered hereby, will, when issued, be, fully paid and non-assessable. We have been advised that the Class A Special Common Stock and Class A Common Stock are exempt from existing Pennsylvania personal property tax.</w:t>
      </w:r>
    </w:p>
    <w:p>
      <w:pPr>
        <w:spacing w:after="0" w:line="224"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The transfer agent and registrar for our Class A Special Common Stock and Class A Common Stock is Equiserve, 525 Washington Blvd., Jersey City, New Jersey 07310. Their telephone number is (888) 883-8903.</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SHAREHOLDER RIGHTS PLAN</w:t>
      </w:r>
    </w:p>
    <w:p>
      <w:pPr>
        <w:spacing w:after="0" w:line="25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following description of the material terms of a rights agreement with respect to a shareholder rights plan which we entered into in connection with the completion of the AT&amp;T Comcast transaction is qualified by reference to the terms of the rights agreement, which is included as an exhibit to the registration statement of which this prospectus is a part.</w:t>
      </w:r>
    </w:p>
    <w:p>
      <w:pPr>
        <w:spacing w:after="0" w:line="22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b w:val="1"/>
          <w:bCs w:val="1"/>
          <w:i w:val="1"/>
          <w:iCs w:val="1"/>
          <w:color w:val="auto"/>
        </w:rPr>
        <w:t xml:space="preserve">The Rights. </w:t>
      </w:r>
      <w:r>
        <w:rPr>
          <w:rFonts w:ascii="Arial" w:cs="Arial" w:eastAsia="Arial" w:hAnsi="Arial"/>
          <w:sz w:val="18"/>
          <w:szCs w:val="18"/>
          <w:color w:val="auto"/>
        </w:rPr>
        <w:t>Pursuant to the rights agreement, our board declared on November 18, 2002 a dividend of one preferred stock purchase right (the “Rights”)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outstanding share of our Class A Common Stock, Class A Special Common Stock, and Class B Common Stock payable to holders of record at 3:40 p.m., New York City time, on November 18, 2002.</w:t>
      </w:r>
    </w:p>
    <w:p>
      <w:pPr>
        <w:spacing w:after="0" w:line="22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After giving effect to the closing of AT&amp;T Comcast transaction on November 18, 2002, (i) there were outstanding approximately 1.355 billion shares of Class A Common Stock, 9.4 million shares of Class B Common Stock and 930.6 million shares of Class A Special Common Stock and (ii) there was reserved for issuance under the Company’s stock option plans 95.8 million shares of Class A Common Stock and 66.2 million shares of Class A Special Common Stock. Each outstanding share of Common Stock at 3:40 p.m., New York City time, on the record date will receive one Right. Shares of 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Rights holders have no rights as a shareholder of the Company, including the right to vote or to receive dividends.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rights agreement includes antidilution provisions designed to prevent efforts to diminish the effectiveness of the Rights.</w:t>
      </w:r>
    </w:p>
    <w:p>
      <w:pPr>
        <w:spacing w:after="0" w:line="25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20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Prior to the Distribution Date, (1) the Rights will be evidenced by the certificates of the relevant underlying common stock and the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of the close of business on the Distribution Date. Thereafter, the Rights will be transferable separately from the common stock.</w:t>
      </w:r>
    </w:p>
    <w:p>
      <w:pPr>
        <w:spacing w:after="0" w:line="252"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b w:val="1"/>
          <w:bCs w:val="1"/>
          <w:i w:val="1"/>
          <w:iCs w:val="1"/>
          <w:color w:val="auto"/>
        </w:rPr>
        <w:t xml:space="preserve">Exercisability. </w:t>
      </w:r>
      <w:r>
        <w:rPr>
          <w:rFonts w:ascii="Arial" w:cs="Arial" w:eastAsia="Arial" w:hAnsi="Arial"/>
          <w:sz w:val="18"/>
          <w:szCs w:val="18"/>
          <w:color w:val="auto"/>
        </w:rPr>
        <w:t>The Rights will not be exercisable prior to the Distribution Date. After the Distribution Date, but prior to the occurrence of an event described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under “—‘Flip In’ Feature” or “—‘Flip Over’ Feature,” each Right will be exercisable to purchase for $125 one one-thousandth of a share of our Series A Participating Cumulative Preferred Stock.</w:t>
      </w:r>
    </w:p>
    <w:p>
      <w:pPr>
        <w:spacing w:after="0" w:line="221" w:lineRule="exact"/>
        <w:rPr>
          <w:sz w:val="20"/>
          <w:szCs w:val="20"/>
          <w:color w:val="auto"/>
        </w:rPr>
      </w:pPr>
    </w:p>
    <w:p>
      <w:pPr>
        <w:ind w:right="180" w:firstLine="324"/>
        <w:spacing w:after="0" w:line="318" w:lineRule="auto"/>
        <w:rPr>
          <w:sz w:val="20"/>
          <w:szCs w:val="20"/>
          <w:color w:val="auto"/>
        </w:rPr>
      </w:pPr>
      <w:r>
        <w:rPr>
          <w:rFonts w:ascii="Arial" w:cs="Arial" w:eastAsia="Arial" w:hAnsi="Arial"/>
          <w:sz w:val="15"/>
          <w:szCs w:val="15"/>
          <w:b w:val="1"/>
          <w:bCs w:val="1"/>
          <w:i w:val="1"/>
          <w:iCs w:val="1"/>
          <w:color w:val="auto"/>
        </w:rPr>
        <w:t xml:space="preserve">“Flip In” Feature. </w:t>
      </w:r>
      <w:r>
        <w:rPr>
          <w:rFonts w:ascii="Arial" w:cs="Arial" w:eastAsia="Arial" w:hAnsi="Arial"/>
          <w:sz w:val="15"/>
          <w:szCs w:val="15"/>
          <w:color w:val="auto"/>
        </w:rPr>
        <w:t>If any person becomes an Acquiring Person, each holder of a Right, except for the Acquiring Person or certain affiliated persons, will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have the right to acquire, instead of one one-thousandth of a share of our Series A Participating Cumulative Preferred Stock, a number of shares of our Class A common stock, in each case having a market value equal to twice the exercise price of the Right. For example, if an initial purchase price of $125 were in effect on the date that the flip in feature of the Rights were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181"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b w:val="1"/>
          <w:bCs w:val="1"/>
          <w:i w:val="1"/>
          <w:iCs w:val="1"/>
          <w:color w:val="auto"/>
        </w:rPr>
        <w:t xml:space="preserve">“Exchange” Feature. </w:t>
      </w:r>
      <w:r>
        <w:rPr>
          <w:rFonts w:ascii="Arial" w:cs="Arial" w:eastAsia="Arial" w:hAnsi="Arial"/>
          <w:sz w:val="16"/>
          <w:szCs w:val="16"/>
          <w:color w:val="auto"/>
        </w:rPr>
        <w:t>At any time after a person becomes an Acquiring Person (but before any person becomes the beneficial owner of our voting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19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b w:val="1"/>
          <w:bCs w:val="1"/>
          <w:i w:val="1"/>
          <w:iCs w:val="1"/>
          <w:color w:val="auto"/>
        </w:rPr>
        <w:t xml:space="preserve">“Flip Over” Feature. </w:t>
      </w:r>
      <w:r>
        <w:rPr>
          <w:rFonts w:ascii="Arial" w:cs="Arial" w:eastAsia="Arial" w:hAnsi="Arial"/>
          <w:sz w:val="18"/>
          <w:szCs w:val="18"/>
          <w:color w:val="auto"/>
        </w:rPr>
        <w:t>If, after a person becomes an Acquiring Person, (1) we are involved in a merger or other business combination in which we are not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22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b w:val="1"/>
          <w:bCs w:val="1"/>
          <w:i w:val="1"/>
          <w:iCs w:val="1"/>
          <w:color w:val="auto"/>
        </w:rPr>
        <w:t xml:space="preserve">Redemption of Rights. </w:t>
      </w:r>
      <w:r>
        <w:rPr>
          <w:rFonts w:ascii="Arial" w:cs="Arial" w:eastAsia="Arial" w:hAnsi="Arial"/>
          <w:sz w:val="18"/>
          <w:szCs w:val="18"/>
          <w:color w:val="auto"/>
        </w:rPr>
        <w:t>Our Board may redeem all of the Rights at a price of $0.001 per Right at any time prior to the time that any person becomes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Acquiring Person. The right to exercise will terminate upon redemption, and at that time, holders of the Rights will have the right to receive only the redemption price for each Right they hold.</w:t>
      </w:r>
    </w:p>
    <w:p>
      <w:pPr>
        <w:spacing w:after="0" w:line="221" w:lineRule="exact"/>
        <w:rPr>
          <w:sz w:val="20"/>
          <w:szCs w:val="20"/>
          <w:color w:val="auto"/>
        </w:rPr>
      </w:pPr>
    </w:p>
    <w:p>
      <w:pPr>
        <w:ind w:right="180" w:firstLine="324"/>
        <w:spacing w:after="0" w:line="335" w:lineRule="auto"/>
        <w:rPr>
          <w:sz w:val="20"/>
          <w:szCs w:val="20"/>
          <w:color w:val="auto"/>
        </w:rPr>
      </w:pPr>
      <w:r>
        <w:rPr>
          <w:rFonts w:ascii="Arial" w:cs="Arial" w:eastAsia="Arial" w:hAnsi="Arial"/>
          <w:sz w:val="15"/>
          <w:szCs w:val="15"/>
          <w:b w:val="1"/>
          <w:bCs w:val="1"/>
          <w:i w:val="1"/>
          <w:iCs w:val="1"/>
          <w:color w:val="auto"/>
        </w:rPr>
        <w:t xml:space="preserve">Amendment of Rights. </w:t>
      </w:r>
      <w:r>
        <w:rPr>
          <w:rFonts w:ascii="Arial" w:cs="Arial" w:eastAsia="Arial" w:hAnsi="Arial"/>
          <w:sz w:val="15"/>
          <w:szCs w:val="15"/>
          <w:color w:val="auto"/>
        </w:rPr>
        <w:t>For so long as the Rights are redeemable, the rights agreement may be amended in any respect. At any time when the Rights are no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Expiration of Rights. </w:t>
      </w:r>
      <w:r>
        <w:rPr>
          <w:rFonts w:ascii="Arial" w:cs="Arial" w:eastAsia="Arial" w:hAnsi="Arial"/>
          <w:sz w:val="18"/>
          <w:szCs w:val="18"/>
          <w:color w:val="auto"/>
        </w:rPr>
        <w:t>If not previously exercised or redeemed, the Rights will expire on November 18, 2012, unless earlier exchanged.</w:t>
      </w:r>
    </w:p>
    <w:p>
      <w:pPr>
        <w:spacing w:after="0" w:line="252"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b w:val="1"/>
          <w:bCs w:val="1"/>
          <w:i w:val="1"/>
          <w:iCs w:val="1"/>
          <w:color w:val="auto"/>
        </w:rPr>
        <w:t xml:space="preserve">Anti-Takeover Effects. </w:t>
      </w:r>
      <w:r>
        <w:rPr>
          <w:rFonts w:ascii="Arial" w:cs="Arial" w:eastAsia="Arial" w:hAnsi="Arial"/>
          <w:sz w:val="16"/>
          <w:szCs w:val="16"/>
          <w:color w:val="auto"/>
        </w:rPr>
        <w:t>The Rights have certain anti-takeover effects. The Rights may cause substantial dilution to a person that attempts to acquire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18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Taxation. </w:t>
      </w:r>
      <w:r>
        <w:rPr>
          <w:rFonts w:ascii="Arial" w:cs="Arial" w:eastAsia="Arial" w:hAnsi="Arial"/>
          <w:sz w:val="18"/>
          <w:szCs w:val="18"/>
          <w:color w:val="auto"/>
        </w:rPr>
        <w:t>While the dividend of the Rights will not be taxable to stockholders or to us, stockholders or we may, depending upon the circumstances, recognize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taxable income in the event that the Rights become exercisable as set forth above.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56" w:name="page57"/>
    <w:bookmarkEnd w:id="56"/>
    <w:p>
      <w:pPr>
        <w:ind w:right="20" w:firstLine="324"/>
        <w:spacing w:after="0" w:line="291" w:lineRule="auto"/>
        <w:rPr>
          <w:sz w:val="20"/>
          <w:szCs w:val="20"/>
          <w:color w:val="auto"/>
        </w:rPr>
      </w:pPr>
      <w:r>
        <w:rPr>
          <w:rFonts w:ascii="Arial" w:cs="Arial" w:eastAsia="Arial" w:hAnsi="Arial"/>
          <w:sz w:val="16"/>
          <w:szCs w:val="16"/>
          <w:b w:val="1"/>
          <w:bCs w:val="1"/>
          <w:i w:val="1"/>
          <w:iCs w:val="1"/>
          <w:color w:val="auto"/>
        </w:rPr>
        <w:t xml:space="preserve">Series A Preferred Stock. </w:t>
      </w:r>
      <w:r>
        <w:rPr>
          <w:rFonts w:ascii="Arial" w:cs="Arial" w:eastAsia="Arial" w:hAnsi="Arial"/>
          <w:sz w:val="16"/>
          <w:szCs w:val="16"/>
          <w:color w:val="auto"/>
        </w:rPr>
        <w:t>In connection with the creation of the Rights, our Board authorized the issuance of shares of our preferred stock designated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Series A Participating Cumulative Preferred Stock. We will design the dividend, liquidation, voting and redemption features of our Series A Participating Cumulative Preferred Stock so that the value of one-thousandth of a share of our Series A Participating Cumulative Preferred Stock approximates the value of one share of our Class A common 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AT&amp;T COMCAST TRANSACTION</w:t>
      </w:r>
    </w:p>
    <w:p>
      <w:pPr>
        <w:spacing w:after="0" w:line="258"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The following summary of our continuing obligations under the terms of the merger agreement for the AT&amp;T Comcast transaction is qualified by reference to the merger agreement, as amended, which is included as an exhibit to the registration statement of which this prospectus is a part.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Agreement</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Governance Arrangements.</w:t>
      </w:r>
    </w:p>
    <w:p>
      <w:pPr>
        <w:spacing w:after="0" w:line="252"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i w:val="1"/>
          <w:iCs w:val="1"/>
          <w:color w:val="auto"/>
        </w:rPr>
        <w:t xml:space="preserve">Our Board of Directors. </w:t>
      </w:r>
      <w:r>
        <w:rPr>
          <w:rFonts w:ascii="Arial" w:cs="Arial" w:eastAsia="Arial" w:hAnsi="Arial"/>
          <w:sz w:val="16"/>
          <w:szCs w:val="16"/>
          <w:color w:val="auto"/>
        </w:rPr>
        <w:t>Our Board has twelve members, five of whom were designated at the time of the AT&amp;T Comcast transaction by Comcast Holdings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then-existing Comcast Holdings Board, five of whom were designated by AT&amp;T from the then-existing AT&amp;T Board and two of whom were independent persons jointly designated by Comcast Holdings and AT&amp;T. At all times, our Board will consist of a majority of independent persons. Except for pre-approved designees, the individuals designated by each of Comcast Holdings and AT&amp;T were mutually agreed upon by Comcast Holdings and AT&amp;T. Ralph J. Roberts, Brian L. Roberts, Sheldon M. Bonovitz, Julian A. Brodsky and Decker Anstrom were the pre-approved Comcast Holdings director designees and</w:t>
      </w:r>
    </w:p>
    <w:p>
      <w:pPr>
        <w:spacing w:after="0" w:line="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C. Michael Armstrong was a pre-approved AT&amp;T director designee. All of the initial director designees will hold office until the 2004 annual meeting of our shareholders, which will be held in April 2004. After this initial term, our entire Board will be elected annually. Brian L. Roberts, through his control of BRCC Holdings LLC, holds a 33 1/3% nondilutable voting interest in our stock.</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Management. </w:t>
      </w:r>
      <w:r>
        <w:rPr>
          <w:rFonts w:ascii="Arial" w:cs="Arial" w:eastAsia="Arial" w:hAnsi="Arial"/>
          <w:sz w:val="18"/>
          <w:szCs w:val="18"/>
          <w:color w:val="auto"/>
        </w:rPr>
        <w:t>Under the merger agreement, C. Michael Armstrong, AT&amp;T’s Chairman of the Board, will be our Chairman of the Board until the 2005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our shareholders and will serve as non-executive Chairman of the Board from April 1, 2004 until the 2005 annual meeting of our shareholders. Thereafter, Brian L. Roberts will be the Chairman of the Board. Removal of the Chairman of the Board will require the vote of at least 75% of the entire Board until the earlier to occur of (1) the date on which neither C. Michael Armstrong nor Brian L. Roberts is Chairman of the Board and (2) the sixth anniversary of the 2004 annual meeting of our shareholders.</w:t>
      </w:r>
    </w:p>
    <w:p>
      <w:pPr>
        <w:spacing w:after="0" w:line="224" w:lineRule="exact"/>
        <w:rPr>
          <w:sz w:val="20"/>
          <w:szCs w:val="20"/>
          <w:color w:val="auto"/>
        </w:rPr>
      </w:pPr>
    </w:p>
    <w:p>
      <w:pPr>
        <w:ind w:right="540" w:firstLine="324"/>
        <w:spacing w:after="0" w:line="259" w:lineRule="auto"/>
        <w:rPr>
          <w:sz w:val="20"/>
          <w:szCs w:val="20"/>
          <w:color w:val="auto"/>
        </w:rPr>
      </w:pPr>
      <w:r>
        <w:rPr>
          <w:rFonts w:ascii="Arial" w:cs="Arial" w:eastAsia="Arial" w:hAnsi="Arial"/>
          <w:sz w:val="18"/>
          <w:szCs w:val="18"/>
          <w:color w:val="auto"/>
        </w:rPr>
        <w:t>Upon completion of the AT&amp;T Comcast transaction, Brian L. Roberts, Comcast Holdings’ President, became our CEO. Brian L. Roberts will also be President for as long as he is the CEO. Removal of the CEO requires the vote of at least 75% of our entire Board until the earlier of the date when Brian L. Roberts is not the CEO and the sixth anniversary of the 2004 annual meeting of shareholders.</w:t>
      </w:r>
    </w:p>
    <w:p>
      <w:pPr>
        <w:spacing w:after="0" w:line="221" w:lineRule="exact"/>
        <w:rPr>
          <w:sz w:val="20"/>
          <w:szCs w:val="20"/>
          <w:color w:val="auto"/>
        </w:rPr>
      </w:pPr>
    </w:p>
    <w:p>
      <w:pPr>
        <w:ind w:right="180" w:firstLine="324"/>
        <w:spacing w:after="0" w:line="306" w:lineRule="auto"/>
        <w:rPr>
          <w:sz w:val="20"/>
          <w:szCs w:val="20"/>
          <w:color w:val="auto"/>
        </w:rPr>
      </w:pPr>
      <w:r>
        <w:rPr>
          <w:rFonts w:ascii="Arial" w:cs="Arial" w:eastAsia="Arial" w:hAnsi="Arial"/>
          <w:sz w:val="16"/>
          <w:szCs w:val="16"/>
          <w:color w:val="auto"/>
        </w:rPr>
        <w:t>We will also have an Office of the Chairman comprised of the Chairman of the Board and the CEO until the earlier to occur of (1) the 2005 annual meeting of our shareholders and (2) the date on which C. Michael Armstrong ceases to be the Chairman of the Board. The Office of the Chairman will be our principal executive deliberative body with responsibility for corporate strategy, policy and direction, governmental affairs and other significant matters.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initial senior officers have been designated by Brian L. Roberts in consultation with C. Michael Armstrong.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57" w:name="page58"/>
    <w:bookmarkEnd w:id="57"/>
    <w:p>
      <w:pPr>
        <w:ind w:right="160" w:firstLine="324"/>
        <w:spacing w:after="0" w:line="259" w:lineRule="auto"/>
        <w:rPr>
          <w:sz w:val="20"/>
          <w:szCs w:val="20"/>
          <w:color w:val="auto"/>
        </w:rPr>
      </w:pPr>
      <w:r>
        <w:rPr>
          <w:rFonts w:ascii="Arial" w:cs="Arial" w:eastAsia="Arial" w:hAnsi="Arial"/>
          <w:sz w:val="18"/>
          <w:szCs w:val="18"/>
          <w:color w:val="auto"/>
        </w:rPr>
        <w:t>Our charter provisions that implement the foregoing governance arrangements may not be amended or changed except with the approval of at least 75% of our entire Board until the earlier to occur of (1) the date on which Brian L. Roberts is no longer serving as Chairman of the Board or CEO and (2) the sixth anniversary of the 2004 annual meeting of our shareholders.</w:t>
      </w:r>
    </w:p>
    <w:p>
      <w:pPr>
        <w:spacing w:after="0" w:line="221" w:lineRule="exact"/>
        <w:rPr>
          <w:sz w:val="20"/>
          <w:szCs w:val="20"/>
          <w:color w:val="auto"/>
        </w:rPr>
      </w:pPr>
    </w:p>
    <w:p>
      <w:pPr>
        <w:ind w:right="80" w:firstLine="324"/>
        <w:spacing w:after="0" w:line="332" w:lineRule="auto"/>
        <w:rPr>
          <w:sz w:val="20"/>
          <w:szCs w:val="20"/>
          <w:color w:val="auto"/>
        </w:rPr>
      </w:pPr>
      <w:r>
        <w:rPr>
          <w:rFonts w:ascii="Arial" w:cs="Arial" w:eastAsia="Arial" w:hAnsi="Arial"/>
          <w:sz w:val="16"/>
          <w:szCs w:val="16"/>
          <w:color w:val="auto"/>
        </w:rPr>
        <w:t>BRCC Holdings LLC hold shares of our Class B common stock constituting 33 1/3% of the combined voting power of our common stock. Brian L. Roberts has sole voting power over membership interests representing a majority of the voting power of all BRCC Holdings LLC equity.</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Employee Benefits Matters; Indemnification and Insurance.</w:t>
      </w:r>
    </w:p>
    <w:p>
      <w:pPr>
        <w:spacing w:after="0" w:line="252"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In the merger agreement, we agreed to honor the terms of all Comcast Cable Communications Holdings’ employee benefit plans and arrangements and to pay and provide the benefits required thereunder, recognizing that the AT&amp;T Comcast transaction is a change in control under the plans, and to provide, until December 31, 2003, to employees of Comcast Cable Communications Holdings and its subsidiaries (other than those subject to collective bargaining obligations or agreements) aggregate employee benefits and compensation that are substantially comparable in the aggregate to those provided by Comcast Cable Communications Holdings and its subsidiaries as of the completion of the AT&amp;T Comcast transaction, other than benefits provided under severance or separation plans of Comcast Cable Communications Holdings or its subsidiaries. Until December 31, 2003, we have agreed to continue certain severance plans of Comcast Cable Communications Holdings and its subsidiaries without adverse change, including those that provide certain enhanced benefits to AT&amp;T executive officers who became employees of Comcast Cable Communications Holdings prior to consummation of the AT&amp;T Comcast transaction. Based on currently available information, if all such executive officers were terminated without cause immediately following completion of the AT&amp;T Comcast transaction, they would receive severance payments equal in the aggregate to approximately $44.7 million.</w:t>
      </w:r>
    </w:p>
    <w:p>
      <w:pPr>
        <w:spacing w:after="0" w:line="200" w:lineRule="exact"/>
        <w:rPr>
          <w:sz w:val="20"/>
          <w:szCs w:val="20"/>
          <w:color w:val="auto"/>
        </w:rPr>
      </w:pP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Obligations Relating to Comcast Cable Communications Holdings’ TOPrS Securities.</w:t>
      </w:r>
    </w:p>
    <w:p>
      <w:pPr>
        <w:spacing w:after="0" w:line="252" w:lineRule="exact"/>
        <w:rPr>
          <w:sz w:val="20"/>
          <w:szCs w:val="20"/>
          <w:color w:val="auto"/>
        </w:rPr>
      </w:pPr>
    </w:p>
    <w:p>
      <w:pPr>
        <w:ind w:right="220" w:firstLine="324"/>
        <w:spacing w:after="0" w:line="306" w:lineRule="auto"/>
        <w:rPr>
          <w:sz w:val="20"/>
          <w:szCs w:val="20"/>
          <w:color w:val="auto"/>
        </w:rPr>
      </w:pPr>
      <w:r>
        <w:rPr>
          <w:rFonts w:ascii="Arial" w:cs="Arial" w:eastAsia="Arial" w:hAnsi="Arial"/>
          <w:sz w:val="16"/>
          <w:szCs w:val="16"/>
          <w:color w:val="auto"/>
        </w:rPr>
        <w:t>We have agreed, on the earliest date on which the Comcast Cable Communications Holdings debt known by the acronym TOPrS as to which AT&amp;T has guaranteed certain obligations may be redeemed, to either redeem such series of TOPrS, cause AT&amp;T to be released from any such guarantee or post a letter of credit in respect of such debt. As of the date of this filing, approximately $500 million of outstanding TOPrS remains subject to this obligation.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 and Distribution Agreement</w:t>
      </w:r>
    </w:p>
    <w:p>
      <w:pPr>
        <w:spacing w:after="0" w:line="258" w:lineRule="exact"/>
        <w:rPr>
          <w:sz w:val="20"/>
          <w:szCs w:val="20"/>
          <w:color w:val="auto"/>
        </w:rPr>
      </w:pPr>
    </w:p>
    <w:p>
      <w:pPr>
        <w:ind w:right="660" w:firstLine="324"/>
        <w:spacing w:after="0" w:line="268" w:lineRule="auto"/>
        <w:rPr>
          <w:sz w:val="20"/>
          <w:szCs w:val="20"/>
          <w:color w:val="auto"/>
        </w:rPr>
      </w:pPr>
      <w:r>
        <w:rPr>
          <w:rFonts w:ascii="Arial" w:cs="Arial" w:eastAsia="Arial" w:hAnsi="Arial"/>
          <w:sz w:val="18"/>
          <w:szCs w:val="18"/>
          <w:color w:val="auto"/>
        </w:rPr>
        <w:t>The following summary of the separation and distribution agreement, as amended, is qualified in its entirety by reference to the complete text of the agreement which is incorporated by reference in this prospectus.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The Separation.</w:t>
      </w:r>
    </w:p>
    <w:p>
      <w:pPr>
        <w:spacing w:after="0" w:line="252"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i w:val="1"/>
          <w:iCs w:val="1"/>
          <w:color w:val="auto"/>
        </w:rPr>
        <w:t xml:space="preserve">Assignment. </w:t>
      </w:r>
      <w:r>
        <w:rPr>
          <w:rFonts w:ascii="Arial" w:cs="Arial" w:eastAsia="Arial" w:hAnsi="Arial"/>
          <w:sz w:val="16"/>
          <w:szCs w:val="16"/>
          <w:color w:val="auto"/>
        </w:rPr>
        <w:t>AT&amp;T assigned and transferred to Comcast Cable Communications Holdings all of AT&amp;T’s and its subsidiaries’ right, title and interest in all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assets of AT&amp;T’s broadband business which are not already held by Comcast Cable Communications Holdings or a Comcast Cable Communications Holdings subsidiary. The assets comprising AT&amp;T’s broadband business are generally determined in the following manner:</w:t>
      </w:r>
    </w:p>
    <w:p>
      <w:pPr>
        <w:spacing w:after="0" w:line="161" w:lineRule="exact"/>
        <w:rPr>
          <w:sz w:val="20"/>
          <w:szCs w:val="20"/>
          <w:color w:val="auto"/>
        </w:rPr>
      </w:pPr>
    </w:p>
    <w:p>
      <w:pPr>
        <w:ind w:left="820" w:right="360" w:hanging="461"/>
        <w:spacing w:after="0" w:line="268"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assets reflected in the AT&amp;T Broadband Group balance sheet dated as of December 31, 2000 are assets of AT&amp;T’s broadband business, except as described below;</w:t>
      </w:r>
    </w:p>
    <w:p>
      <w:pPr>
        <w:spacing w:after="0" w:line="212" w:lineRule="exact"/>
        <w:rPr>
          <w:rFonts w:ascii="Arial" w:cs="Arial" w:eastAsia="Arial" w:hAnsi="Arial"/>
          <w:sz w:val="18"/>
          <w:szCs w:val="18"/>
          <w:color w:val="auto"/>
        </w:rPr>
      </w:pPr>
    </w:p>
    <w:p>
      <w:pPr>
        <w:ind w:left="820" w:hanging="461"/>
        <w:spacing w:after="0" w:line="268"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assets reflected in the AT&amp;T Communications balance sheet dated as of December 31, 2000 are assets of AT&amp;T’s communications business, except as described below;</w:t>
      </w:r>
    </w:p>
    <w:p>
      <w:pPr>
        <w:spacing w:after="0" w:line="212" w:lineRule="exact"/>
        <w:rPr>
          <w:rFonts w:ascii="Arial" w:cs="Arial" w:eastAsia="Arial" w:hAnsi="Arial"/>
          <w:sz w:val="18"/>
          <w:szCs w:val="18"/>
          <w:color w:val="auto"/>
        </w:rPr>
      </w:pPr>
    </w:p>
    <w:p>
      <w:pPr>
        <w:ind w:left="820" w:right="400" w:hanging="461"/>
        <w:spacing w:after="0" w:line="268"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assets acquired after December 31, 2000 by AT&amp;T or any of its subsidiaries utilizing assets of AT&amp;T’s broadband business are assets of AT&amp;T’s broadband business, except as described below;</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9" w:right="279" w:bottom="1440" w:gutter="0" w:footer="0" w:header="0"/>
        </w:sectPr>
      </w:pPr>
    </w:p>
    <w:bookmarkStart w:id="58" w:name="page59"/>
    <w:bookmarkEnd w:id="58"/>
    <w:p>
      <w:pPr>
        <w:ind w:left="820" w:hanging="461"/>
        <w:spacing w:after="0" w:line="268" w:lineRule="auto"/>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assets acquired after December 31, 2000 by AT&amp;T or any of its subsidiaries utilizing assets of AT&amp;T’s communications business are assets of AT&amp;T’s communications business, except as described below;</w:t>
      </w:r>
    </w:p>
    <w:p>
      <w:pPr>
        <w:spacing w:after="0" w:line="212" w:lineRule="exact"/>
        <w:rPr>
          <w:rFonts w:ascii="Arial" w:cs="Arial" w:eastAsia="Arial" w:hAnsi="Arial"/>
          <w:sz w:val="18"/>
          <w:szCs w:val="18"/>
          <w:color w:val="auto"/>
        </w:rPr>
      </w:pPr>
    </w:p>
    <w:p>
      <w:pPr>
        <w:ind w:left="820" w:right="140" w:hanging="461"/>
        <w:spacing w:after="0" w:line="268" w:lineRule="auto"/>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assets are specifically assigned to AT&amp;T’s broadband business regardless of whether or not they are reflected in the AT&amp;T Broadband Group balance sheet dated as of December 31, 2000;</w:t>
      </w:r>
    </w:p>
    <w:p>
      <w:pPr>
        <w:spacing w:after="0" w:line="212" w:lineRule="exact"/>
        <w:rPr>
          <w:rFonts w:ascii="Arial" w:cs="Arial" w:eastAsia="Arial" w:hAnsi="Arial"/>
          <w:sz w:val="18"/>
          <w:szCs w:val="18"/>
          <w:color w:val="auto"/>
        </w:rPr>
      </w:pPr>
    </w:p>
    <w:p>
      <w:pPr>
        <w:ind w:left="820" w:right="1040" w:hanging="461"/>
        <w:spacing w:after="0" w:line="268" w:lineRule="auto"/>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assets are specifically assigned to AT&amp;T’s communications business regardless of whether or not they are reflected in the AT&amp;T Communications balance sheet dated as of December 31, 2000; and</w:t>
      </w:r>
    </w:p>
    <w:p>
      <w:pPr>
        <w:spacing w:after="0" w:line="212" w:lineRule="exact"/>
        <w:rPr>
          <w:rFonts w:ascii="Arial" w:cs="Arial" w:eastAsia="Arial" w:hAnsi="Arial"/>
          <w:sz w:val="18"/>
          <w:szCs w:val="18"/>
          <w:color w:val="auto"/>
        </w:rPr>
      </w:pPr>
    </w:p>
    <w:p>
      <w:pPr>
        <w:ind w:left="820" w:right="420" w:hanging="461"/>
        <w:spacing w:after="0" w:line="259" w:lineRule="auto"/>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assets that are not reflected in the AT&amp;T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pacing w:after="0" w:line="2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Assumption. </w:t>
      </w:r>
      <w:r>
        <w:rPr>
          <w:rFonts w:ascii="Arial" w:cs="Arial" w:eastAsia="Arial" w:hAnsi="Arial"/>
          <w:sz w:val="18"/>
          <w:szCs w:val="18"/>
          <w:color w:val="auto"/>
        </w:rPr>
        <w:t>At the same time as the assignment, Comcast Cable Communications Holdings assumed all of the liabilities of AT&amp;T’s broadband business that</w:t>
      </w:r>
      <w:r>
        <w:rPr>
          <w:rFonts w:ascii="Arial" w:cs="Arial" w:eastAsia="Arial" w:hAnsi="Arial"/>
          <w:sz w:val="18"/>
          <w:szCs w:val="18"/>
          <w:i w:val="1"/>
          <w:iCs w:val="1"/>
          <w:color w:val="auto"/>
        </w:rPr>
        <w:t xml:space="preserve"> </w:t>
      </w:r>
      <w:r>
        <w:rPr>
          <w:rFonts w:ascii="Arial" w:cs="Arial" w:eastAsia="Arial" w:hAnsi="Arial"/>
          <w:sz w:val="18"/>
          <w:szCs w:val="18"/>
          <w:color w:val="auto"/>
        </w:rPr>
        <w:t>were not already liabilities of Comcast Cable Communications Holdings or a Comcast Cable Communications Holdings subsidiary. The liabilities of AT&amp;T’s broadband business were generally determined in the following manner:</w:t>
      </w:r>
    </w:p>
    <w:p>
      <w:pPr>
        <w:spacing w:after="0" w:line="194" w:lineRule="exact"/>
        <w:rPr>
          <w:sz w:val="20"/>
          <w:szCs w:val="20"/>
          <w:color w:val="auto"/>
        </w:rPr>
      </w:pPr>
    </w:p>
    <w:p>
      <w:pPr>
        <w:ind w:left="820" w:right="80" w:hanging="461"/>
        <w:spacing w:after="0" w:line="268"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liabilities reflected in the AT&amp;T Broadband Group balance sheet dated as of December 31, 2000 are liabilities of AT&amp;T’s broadband business, except as described below;</w:t>
      </w:r>
    </w:p>
    <w:p>
      <w:pPr>
        <w:spacing w:after="0" w:line="212" w:lineRule="exact"/>
        <w:rPr>
          <w:rFonts w:ascii="Arial" w:cs="Arial" w:eastAsia="Arial" w:hAnsi="Arial"/>
          <w:sz w:val="18"/>
          <w:szCs w:val="18"/>
          <w:color w:val="auto"/>
        </w:rPr>
      </w:pPr>
    </w:p>
    <w:p>
      <w:pPr>
        <w:ind w:left="820" w:right="220" w:hanging="461"/>
        <w:spacing w:after="0" w:line="268"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liabilities reflected in the AT&amp;T Communications balance sheet dated as of December 31, 2000 are liabilities of AT&amp;T’s communications business, except as described below;</w:t>
      </w:r>
    </w:p>
    <w:p>
      <w:pPr>
        <w:spacing w:after="0" w:line="212" w:lineRule="exact"/>
        <w:rPr>
          <w:rFonts w:ascii="Arial" w:cs="Arial" w:eastAsia="Arial" w:hAnsi="Arial"/>
          <w:sz w:val="18"/>
          <w:szCs w:val="18"/>
          <w:color w:val="auto"/>
        </w:rPr>
      </w:pPr>
    </w:p>
    <w:p>
      <w:pPr>
        <w:ind w:left="820" w:right="640" w:hanging="461"/>
        <w:spacing w:after="0" w:line="268"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liabilities incurred after December 31, 2000 by entities transferred as part of AT&amp;T’s broadband business are liabilities of AT&amp;T’s broadband business, except as described below;</w:t>
      </w:r>
    </w:p>
    <w:p>
      <w:pPr>
        <w:spacing w:after="0" w:line="212" w:lineRule="exact"/>
        <w:rPr>
          <w:rFonts w:ascii="Arial" w:cs="Arial" w:eastAsia="Arial" w:hAnsi="Arial"/>
          <w:sz w:val="18"/>
          <w:szCs w:val="18"/>
          <w:color w:val="auto"/>
        </w:rPr>
      </w:pPr>
    </w:p>
    <w:p>
      <w:pPr>
        <w:ind w:left="820" w:right="580" w:hanging="461"/>
        <w:spacing w:after="0" w:line="268"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liabilities incurred after December 31, 2000 by entities not transferred as part of broadband business are liabilities of AT&amp;T’s communications business, except as described below;</w:t>
      </w:r>
    </w:p>
    <w:p>
      <w:pPr>
        <w:spacing w:after="0" w:line="212" w:lineRule="exact"/>
        <w:rPr>
          <w:rFonts w:ascii="Arial" w:cs="Arial" w:eastAsia="Arial" w:hAnsi="Arial"/>
          <w:sz w:val="18"/>
          <w:szCs w:val="18"/>
          <w:color w:val="auto"/>
        </w:rPr>
      </w:pPr>
    </w:p>
    <w:p>
      <w:pPr>
        <w:ind w:left="820" w:right="400" w:hanging="461"/>
        <w:spacing w:after="0" w:line="268"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liabilities are specifically assigned to AT&amp;T’s broadband business regardless of whether or not they are reflected in the AT&amp;T Broadband Group balance sheet dated as of December 31, 2000;</w:t>
      </w:r>
    </w:p>
    <w:p>
      <w:pPr>
        <w:spacing w:after="0" w:line="212" w:lineRule="exact"/>
        <w:rPr>
          <w:rFonts w:ascii="Arial" w:cs="Arial" w:eastAsia="Arial" w:hAnsi="Arial"/>
          <w:sz w:val="18"/>
          <w:szCs w:val="18"/>
          <w:color w:val="auto"/>
        </w:rPr>
      </w:pPr>
    </w:p>
    <w:p>
      <w:pPr>
        <w:ind w:left="820" w:right="780" w:hanging="461"/>
        <w:spacing w:after="0" w:line="268"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liabilities are specifically assigned to AT&amp;T’s communications business regardless of whether or not they are reflected in the AT&amp;T Communications balance sheet dated as of December 31, 2000;</w:t>
      </w:r>
    </w:p>
    <w:p>
      <w:pPr>
        <w:spacing w:after="0" w:line="212" w:lineRule="exact"/>
        <w:rPr>
          <w:rFonts w:ascii="Arial" w:cs="Arial" w:eastAsia="Arial" w:hAnsi="Arial"/>
          <w:sz w:val="18"/>
          <w:szCs w:val="18"/>
          <w:color w:val="auto"/>
        </w:rPr>
      </w:pPr>
    </w:p>
    <w:p>
      <w:pPr>
        <w:ind w:left="820" w:hanging="461"/>
        <w:spacing w:after="0" w:line="256"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liabilities such as liabilities arising out of the AT&amp;T Comcast transaction or involving At Home or AT&amp;T Wireless (to the extent AT&amp;T is not indemnified by AT&amp;T Wireless for such liabilities) are divided evenly between AT&amp;T’s broadband business and AT&amp;T’s communications business regardless of whether or not they are reflected in the AT&amp;T Broadband Group balance sheet or the AT&amp;T Communications balance sheet, in each case dated as of December 31, 2000; and</w:t>
      </w:r>
    </w:p>
    <w:p>
      <w:pPr>
        <w:spacing w:after="0" w:line="224" w:lineRule="exact"/>
        <w:rPr>
          <w:rFonts w:ascii="Arial" w:cs="Arial" w:eastAsia="Arial" w:hAnsi="Arial"/>
          <w:sz w:val="18"/>
          <w:szCs w:val="18"/>
          <w:color w:val="auto"/>
        </w:rPr>
      </w:pPr>
    </w:p>
    <w:p>
      <w:pPr>
        <w:ind w:left="820" w:right="280" w:hanging="461"/>
        <w:spacing w:after="0" w:line="259"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liabilities that are not reflected in the AT&amp;T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separation occurred on November 18, 2002, immediately prior to the mergers.</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Repayment of Intracompany Debt.</w:t>
      </w:r>
    </w:p>
    <w:p>
      <w:pPr>
        <w:spacing w:after="0" w:line="252" w:lineRule="exact"/>
        <w:rPr>
          <w:sz w:val="20"/>
          <w:szCs w:val="20"/>
          <w:color w:val="auto"/>
        </w:rPr>
      </w:pPr>
    </w:p>
    <w:p>
      <w:pPr>
        <w:ind w:right="120" w:firstLine="324"/>
        <w:spacing w:after="0" w:line="332" w:lineRule="auto"/>
        <w:rPr>
          <w:sz w:val="20"/>
          <w:szCs w:val="20"/>
          <w:color w:val="auto"/>
        </w:rPr>
      </w:pPr>
      <w:r>
        <w:rPr>
          <w:rFonts w:ascii="Arial" w:cs="Arial" w:eastAsia="Arial" w:hAnsi="Arial"/>
          <w:sz w:val="16"/>
          <w:szCs w:val="16"/>
          <w:color w:val="auto"/>
        </w:rPr>
        <w:t>In connection with the closing of the AT&amp;T Comcast transaction, Comcast Cable Communications Holdings repaid all intracompany debt owed by AT&amp;T’s broadband business to AT&amp;T’s communications business. Comcast Cable Communications Holdings effected this repayment by making a cash payment to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59" w:name="page60"/>
    <w:bookmarkEnd w:id="59"/>
    <w:p>
      <w:pPr>
        <w:ind w:right="20"/>
        <w:spacing w:after="0" w:line="286" w:lineRule="auto"/>
        <w:rPr>
          <w:sz w:val="20"/>
          <w:szCs w:val="20"/>
          <w:color w:val="auto"/>
        </w:rPr>
      </w:pPr>
      <w:r>
        <w:rPr>
          <w:rFonts w:ascii="Arial" w:cs="Arial" w:eastAsia="Arial" w:hAnsi="Arial"/>
          <w:sz w:val="16"/>
          <w:szCs w:val="16"/>
          <w:color w:val="auto"/>
        </w:rPr>
        <w:t>AT&amp;T in an amount equal to $5.85 billion and by issuing approximately $3.50 billion in debt to retire existing AT&amp;T debt. The cash payment referred to in the preceding sentence reflected certain adjustments and was made with the proceeds of (i) a borrowing by Comcast Cable Communications Holdings of $4 billion under a bridge credit agreement dated April 26, 2002 among Comcast Cable Communications Holdings, us, the lenders party thereto and JPMorgan Chase Bank, as administrative agent, Citibank N.A., as syndication agent, and Bank of America, N.A., Merrill Lynch, Pierce, Fenner &amp; Smith Incorporated and Morgan Stanley Senior Funding, Inc., as co-documentation agents, and (ii) a borrowing by Comcast Cable Communications Holdings of $2.5 billion under a credit agreement dated April 26, 2002 among Comcast Cable Communications Holdings, us, the lenders party thereto and JPMorgan Chase Bank, as administrative agent, swingline lender and issuing lender, Citibank N.A., as syndication agent, and Bank of America, N.A., Merrill Lynch, Pierce, Fenner &amp; Smith Incorporated and Morgan Stanley Senior Funding, Inc., as co-documentation agents, together referred to as the New Credit Facility in this prospectus. The retirement of existing AT&amp;T debt by Comcast Cable Communications Holdings referred to above resulted from a recently completed debt exchange offer pursuant to which Comcast Cable Communications Holdings issued debt guaranteed by us and the cable guarantors in an aggregate principal amount of approximately $3.50 billion consisting of approximately $2.43 billion of 8.375% Notes Due 2013 and approximately $1.07 billion of 9.455% Notes Due 2022.</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Post-Spin-Off Transactions.</w:t>
      </w:r>
    </w:p>
    <w:p>
      <w:pPr>
        <w:spacing w:after="0" w:line="252"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Our ability and the ability of Comcast Cable Communications Holdings to engage in specified acquisitions, redeem stock, issue equity securities or take any other action or actions that in the aggregate would be reasonably likely to have the effect of causing or permitting one or more persons to acquire directly or indirectly stock representing a 50% or greater interest, within the meaning of Section 355(e) of the Code, in Comcast Cable Communications Holdings or otherwise jeopardize the non-recognition of taxable gain or loss for U.S. federal income tax purposes to AT&amp;T, AT&amp;T affiliates and AT&amp;T shareholders in connection with the separation and the Comcast Cable Communications Holdings spin-off may be limited until December 18, 2004.</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Disposition of Time Warner Entertainment Interest.</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i w:val="1"/>
          <w:iCs w:val="1"/>
          <w:color w:val="auto"/>
        </w:rPr>
        <w:t xml:space="preserve">Sharing of Proceeds. </w:t>
      </w:r>
      <w:r>
        <w:rPr>
          <w:rFonts w:ascii="Arial" w:cs="Arial" w:eastAsia="Arial" w:hAnsi="Arial"/>
          <w:sz w:val="16"/>
          <w:szCs w:val="16"/>
          <w:color w:val="auto"/>
        </w:rPr>
        <w:t>The separation and distribution agreement provides that upon any disposition of all or any portion of its interest in TWE after the</w:t>
      </w:r>
      <w:r>
        <w:rPr>
          <w:rFonts w:ascii="Arial" w:cs="Arial" w:eastAsia="Arial" w:hAnsi="Arial"/>
          <w:sz w:val="16"/>
          <w:szCs w:val="16"/>
          <w:i w:val="1"/>
          <w:iCs w:val="1"/>
          <w:color w:val="auto"/>
        </w:rPr>
        <w:t xml:space="preserve"> </w:t>
      </w:r>
      <w:r>
        <w:rPr>
          <w:rFonts w:ascii="Arial" w:cs="Arial" w:eastAsia="Arial" w:hAnsi="Arial"/>
          <w:sz w:val="16"/>
          <w:szCs w:val="16"/>
          <w:color w:val="auto"/>
        </w:rPr>
        <w:t>signing of the merger agreement, Comcast Cable Communications Holdings will pay AT&amp;T 50% of the proceeds received from such disposition in excess of the threshold amount described in the next sentence reduced by taxes on 50% of such excess. The threshold amount is equal to the balance, plus 7% simple interest per annum on the balance, of $10.2 billion reduced by the aggregate proceeds of any previous dispositions of any portion of the TWE interest. If the TWE interest has not been fully disposed of within 54 months of the completion of the AT&amp;T Comcast transaction, the remaining TWE interest will be appraised at fair market value. To the extent that the amount of such appraisal exceeds the threshold amount specified above, Comcast Cable Communications Holdings has agreed to pay AT&amp;T 50% of such excess, on a tax-adjusted basis.</w:t>
      </w:r>
    </w:p>
    <w:p>
      <w:pPr>
        <w:spacing w:after="0" w:line="199"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i w:val="1"/>
          <w:iCs w:val="1"/>
          <w:color w:val="auto"/>
        </w:rPr>
        <w:t xml:space="preserve">Restructuring Agreement. </w:t>
      </w:r>
      <w:r>
        <w:rPr>
          <w:rFonts w:ascii="Arial" w:cs="Arial" w:eastAsia="Arial" w:hAnsi="Arial"/>
          <w:sz w:val="16"/>
          <w:szCs w:val="16"/>
          <w:color w:val="auto"/>
        </w:rPr>
        <w:t>On August 21, 2002, AT&amp;T and Comcast Holdings announced that they had entered into an agreement with AOL Time Warner</w:t>
      </w:r>
      <w:r>
        <w:rPr>
          <w:rFonts w:ascii="Arial" w:cs="Arial" w:eastAsia="Arial" w:hAnsi="Arial"/>
          <w:sz w:val="16"/>
          <w:szCs w:val="16"/>
          <w:i w:val="1"/>
          <w:iCs w:val="1"/>
          <w:color w:val="auto"/>
        </w:rPr>
        <w:t xml:space="preserve"> </w:t>
      </w:r>
      <w:r>
        <w:rPr>
          <w:rFonts w:ascii="Arial" w:cs="Arial" w:eastAsia="Arial" w:hAnsi="Arial"/>
          <w:sz w:val="16"/>
          <w:szCs w:val="16"/>
          <w:color w:val="auto"/>
        </w:rPr>
        <w:t>providing for the restructuring of TWE. The restructuring agreement was intended to provide for a more orderly and timely disposition of AT&amp;T Broadband Group’s entire stake in TWE than would likely be available under the registration rights provisions of the TWE partnership agreement, which AT&amp;T Broadband Group had been pursuing. Upon consummation of the AT&amp;T Comcast transaction, we assumed all of AT&amp;T’s interest in TWE and in the restructuring agreement.</w:t>
      </w:r>
    </w:p>
    <w:p>
      <w:pPr>
        <w:spacing w:after="0" w:line="19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Under the restructuring agreement, which is expected to close in the first quarter of 2003, for its 27.64% interest in TWE, Comcast Cable Communications Holdings will receive $1.5 billion in common stock of AOL Time Warner Inc. (valued at the time of the closing and subject to certain limitations) and an effective 21% equity interest in all of AOL Time Warner’s cable properties, including those already in TWE, and Comcast Cable Communications Holdings will also receive $2.1 billion in cash. As part of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60" w:name="page61"/>
    <w:bookmarkEnd w:id="60"/>
    <w:p>
      <w:pPr>
        <w:ind w:right="20"/>
        <w:spacing w:after="0" w:line="291" w:lineRule="auto"/>
        <w:rPr>
          <w:sz w:val="20"/>
          <w:szCs w:val="20"/>
          <w:color w:val="auto"/>
        </w:rPr>
      </w:pPr>
      <w:r>
        <w:rPr>
          <w:rFonts w:ascii="Arial" w:cs="Arial" w:eastAsia="Arial" w:hAnsi="Arial"/>
          <w:sz w:val="16"/>
          <w:szCs w:val="16"/>
          <w:color w:val="auto"/>
        </w:rPr>
        <w:t>restructuring, TWE will distribute to AOL Time Warner all of TWE’s major content assets, which include Home Box Office (HBO), Warner Bros., and stakes in The WB Network, Comedy Central and Court TV. Time Warner Cable, which will own substantially all of AOL Time Warner’s cable interests, is expected to conduct an initial public offering of common stock following the restructuring. Under the restructuring agreement, Comcast Cable Communications Holdings has registration rights enabling it to dispose of its shares in Time Warner Cable and in AOL Time Warner. In connection with the transactions, Comcast Holdings and Comcast Cable Communications Holdings will also enter into a three-year non-exclusive agreement with AOL Time Warner under which AOL High-Speed Broadband service would be made available on certain of our cable systems which pass approximately 10 million homes.</w:t>
      </w:r>
    </w:p>
    <w:p>
      <w:pPr>
        <w:spacing w:after="0" w:line="201" w:lineRule="exact"/>
        <w:rPr>
          <w:sz w:val="20"/>
          <w:szCs w:val="20"/>
          <w:color w:val="auto"/>
        </w:rPr>
      </w:pPr>
    </w:p>
    <w:p>
      <w:pPr>
        <w:jc w:val="both"/>
        <w:ind w:right="60" w:firstLine="324"/>
        <w:spacing w:after="0" w:line="303" w:lineRule="auto"/>
        <w:rPr>
          <w:sz w:val="20"/>
          <w:szCs w:val="20"/>
          <w:color w:val="auto"/>
        </w:rPr>
      </w:pPr>
      <w:r>
        <w:rPr>
          <w:rFonts w:ascii="Arial" w:cs="Arial" w:eastAsia="Arial" w:hAnsi="Arial"/>
          <w:sz w:val="15"/>
          <w:szCs w:val="15"/>
          <w:color w:val="auto"/>
        </w:rPr>
        <w:t>On November 13, 2002, the FCC gave conditional approval to the transfer of certain FCC licenses required to complete the AT&amp;T Comcast transaction. The Memorandum Opinion and Order issued by the FCC ordered AT&amp;T and Comcast Holdings to place Comcast Cable Communications Holdings’ interest in TWE into irrevocable trust prior to completion of the transaction and to fully divest the TWE interest within five-and-a-half years after completion of the transaction.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divestiture period, the divestiture order prohibits us from any involvement in the video programming activities of TWE. Copies of the trust agreements pursuant to which Comcast Cable Communications Holdings’ TWE interest will be placed into irrevocable trust are attached as exhibits to our Current Report on Form 8-K filed on November 18, 2002 incorporated by reference herein.</w:t>
      </w:r>
    </w:p>
    <w:p>
      <w:pPr>
        <w:spacing w:after="0" w:line="225"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AT&amp;T acquired its stake in TWE as part of its June 2000 acquisition of the MediaOne Group. In February of 2001, AT&amp;T requested that TWE convert from a limited partnership into a corporation and create equity securities for registration with the Securities and Exchange Commission. On July 30, 2002, AT&amp;T and TWE agreed to suspend the registration process to explore alternative approaches that led to the transactions contemplated by the restructuring agreement. In connection with the Comcast Cable Communications Holdings spin-off, all of AT&amp;T Broadband Group’s interests and rights with respect to TWE were transferred to Comcast Cable Communications Holdings subsidiaries, and subsequently placed in trust for orderly disposition. The TWE restructuring is subject to receipt of certain regulatory approvals and other closing conditions, certain of which are outside our control. There can be no assurance that the transactions contemplated by the TWE restructuring agreement will be consummated. If the restructuring agreement is terminated without the restructuring being consummated, the parties will return to the registration rights process under the TWE partnership agreement.</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Mutual Release; Indemnification.</w:t>
      </w:r>
    </w:p>
    <w:p>
      <w:pPr>
        <w:spacing w:after="0" w:line="252"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i w:val="1"/>
          <w:iCs w:val="1"/>
          <w:color w:val="auto"/>
        </w:rPr>
        <w:t xml:space="preserve">Mutual Release of Pre-Closing Claims. </w:t>
      </w:r>
      <w:r>
        <w:rPr>
          <w:rFonts w:ascii="Arial" w:cs="Arial" w:eastAsia="Arial" w:hAnsi="Arial"/>
          <w:sz w:val="18"/>
          <w:szCs w:val="18"/>
          <w:color w:val="auto"/>
        </w:rPr>
        <w:t>AT&amp;T and Comcast Cable Communications Holdings have each released the other from any and all claims that it</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against the other party arising from any acts or events occurring or failing to occur prior to the completion of the Comcast Cable Communications Holdings spin-off, subject to certain exceptions specified in the separation and distribution agreement.</w:t>
      </w:r>
    </w:p>
    <w:p>
      <w:pPr>
        <w:spacing w:after="0" w:line="221" w:lineRule="exact"/>
        <w:rPr>
          <w:sz w:val="20"/>
          <w:szCs w:val="20"/>
          <w:color w:val="auto"/>
        </w:rPr>
      </w:pPr>
    </w:p>
    <w:p>
      <w:pPr>
        <w:ind w:right="600" w:firstLine="324"/>
        <w:spacing w:after="0" w:line="268" w:lineRule="auto"/>
        <w:rPr>
          <w:sz w:val="20"/>
          <w:szCs w:val="20"/>
          <w:color w:val="auto"/>
        </w:rPr>
      </w:pPr>
      <w:r>
        <w:rPr>
          <w:rFonts w:ascii="Arial" w:cs="Arial" w:eastAsia="Arial" w:hAnsi="Arial"/>
          <w:sz w:val="18"/>
          <w:szCs w:val="18"/>
          <w:color w:val="auto"/>
        </w:rPr>
        <w:t>Indemnification by AT&amp;T. AT&amp;T has indemnified Comcast Cable Communications Holdings from any and all liabilities relating to, arising out of or resulting from any of the following:</w:t>
      </w:r>
    </w:p>
    <w:p>
      <w:pPr>
        <w:spacing w:after="0" w:line="186" w:lineRule="exact"/>
        <w:rPr>
          <w:sz w:val="20"/>
          <w:szCs w:val="20"/>
          <w:color w:val="auto"/>
        </w:rPr>
      </w:pPr>
    </w:p>
    <w:p>
      <w:pPr>
        <w:ind w:left="820" w:right="220" w:hanging="461"/>
        <w:spacing w:after="0" w:line="268" w:lineRule="auto"/>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failure of AT&amp;T or any of its subsidiaries or any other person to pay any liabilities, or perform under any contracts, of AT&amp;T’s communications business;</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assets or contracts of AT&amp;T’s communications business; and</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breach of the separation and distribution agreement or any of the ancillary agreements by AT&amp;T.</w:t>
      </w:r>
    </w:p>
    <w:p>
      <w:pPr>
        <w:spacing w:after="0" w:line="279"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i w:val="1"/>
          <w:iCs w:val="1"/>
          <w:color w:val="auto"/>
        </w:rPr>
        <w:t xml:space="preserve">Indemnification by Comcast Cable Communications Holdings. </w:t>
      </w:r>
      <w:r>
        <w:rPr>
          <w:rFonts w:ascii="Arial" w:cs="Arial" w:eastAsia="Arial" w:hAnsi="Arial"/>
          <w:sz w:val="18"/>
          <w:szCs w:val="18"/>
          <w:color w:val="auto"/>
        </w:rPr>
        <w:t>Comcast Cable Communications Holdings has indemnified AT&amp;T from any and all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arising out of or resulting from any of the following:</w:t>
      </w:r>
    </w:p>
    <w:p>
      <w:pPr>
        <w:spacing w:after="0" w:line="186" w:lineRule="exact"/>
        <w:rPr>
          <w:sz w:val="20"/>
          <w:szCs w:val="20"/>
          <w:color w:val="auto"/>
        </w:rPr>
      </w:pPr>
    </w:p>
    <w:p>
      <w:pPr>
        <w:ind w:left="820" w:right="420" w:hanging="461"/>
        <w:spacing w:after="0" w:line="268" w:lineRule="auto"/>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failure of Comcast Cable Communications Holdings or any of its subsidiaries or any other person to pay any liabilities, or perform under any contracts, of AT&amp;T’s broadband business;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61" w:name="page62"/>
    <w:bookmarkEnd w:id="61"/>
    <w:p>
      <w:pPr>
        <w:ind w:left="820" w:hanging="461"/>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assets or contracts of AT&amp;T’s broadband business; and</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breach of the separation and distribution agreement or any of the ancillary agreements by Comcast Cable Communications Holdings;</w:t>
      </w:r>
    </w:p>
    <w:p>
      <w:pPr>
        <w:spacing w:after="0" w:line="302"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i w:val="1"/>
          <w:iCs w:val="1"/>
          <w:color w:val="auto"/>
        </w:rPr>
        <w:t xml:space="preserve">Tax Indemnification. </w:t>
      </w:r>
      <w:r>
        <w:rPr>
          <w:rFonts w:ascii="Arial" w:cs="Arial" w:eastAsia="Arial" w:hAnsi="Arial"/>
          <w:sz w:val="18"/>
          <w:szCs w:val="18"/>
          <w:color w:val="auto"/>
        </w:rPr>
        <w:t>Subject to the exceptions described below, Comcast Cable Communications Holdings has indemnified AT&amp;T against 50% of the taxes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related costs assessed against AT&amp;T resulting from the disqualification of the separation and the Comcast Cable Communications Holdings spin-off as tax-free transactions under Section 355 of the Code.</w:t>
      </w:r>
    </w:p>
    <w:p>
      <w:pPr>
        <w:spacing w:after="0" w:line="221"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color w:val="auto"/>
        </w:rPr>
        <w:t>If such disqualification results from a transaction involving the stock or assets of Comcast Cable Communications Holdings occurring after the Comcast Cable Communications Holdings spin-off, from Comcast Cable Communications Holdings’ failure to remain actively engaged in a trade or business or from the failure of any representation made with respect to Comcast Cable Communications Holdings in connection with certain tax opinions and Internal Revenue Service rulings, then Comcast Cable Communications Holdings will be required to indemnify AT&amp;T against all such taxes and related costs.</w:t>
      </w:r>
    </w:p>
    <w:p>
      <w:pPr>
        <w:spacing w:after="0" w:line="194"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If such disqualification results from a transaction involving the stock or assets of AT&amp;T occurring after the Comcast Cable Communications Holdings spin-off, from AT&amp;T’s failure to remain actively engaged in a trade or business or from the failure of any representation made with respect to AT&amp;T in connection with certain tax opinions and Internal Revenue Service rulings, then Comcast Cable Communications Holdings is not required to indemnify AT&amp;T against any such taxes or related costs.</w:t>
      </w:r>
    </w:p>
    <w:p>
      <w:pPr>
        <w:spacing w:after="0" w:line="224"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Comcast Cable Communications Holdings has also indemnified AT&amp;T against 50% of the taxes and related costs resulting from the Liberty Media or AT&amp;T Wireless spin-offs failing to be tax-free, unless either spin-off becomes taxable as a result of an action taken by AT&amp;T or Comcast Cable Communications Holdings, in which case the acting party bears full responsibility for any resulting AT&amp;T liabilities. Comcast Cable Communications Holdings’ obligation described in the preceding sentence is reduced by Comcast Cable Communications Holdings’ share of any indemnification that AT&amp;T receives from Liberty Media or AT&amp;T Wireless as a result of the relevant spin-off failing to qualify as tax-free.</w:t>
      </w:r>
    </w:p>
    <w:p>
      <w:pPr>
        <w:spacing w:after="0" w:line="19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i w:val="1"/>
          <w:iCs w:val="1"/>
          <w:color w:val="auto"/>
        </w:rPr>
        <w:t xml:space="preserve">Other Indemnification. </w:t>
      </w:r>
      <w:r>
        <w:rPr>
          <w:rFonts w:ascii="Arial" w:cs="Arial" w:eastAsia="Arial" w:hAnsi="Arial"/>
          <w:sz w:val="18"/>
          <w:szCs w:val="18"/>
          <w:color w:val="auto"/>
        </w:rPr>
        <w:t>Subject to the next sentence, AT&amp;T and Comcast Cable Communications Holdings have indemnified each other for 50% of any</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resulting from any untrue statement or omission of a material fact in any registration statement relating to the Comcast Cable Communications Holdings spin-off or in any other filing made by AT&amp;T or Comcast Cable Communications Holdings with the Securities and Exchange Commission in connection with the separation, the Comcast Cable Communications Holdings spin-off, the Comcast Cable Communications Holdings merger or any related agreements. AT&amp;T also indemnified us and Comcast Cable Communications Holdings for any liability resulting from any untrue statement or omission of a material fact in any registration statement relating to the Consumer Services charter amendment proposal, any other proposal related to the creation of AT&amp;T Consumer Services Group tracking stock, the reverse stock split proposal or any AT&amp;T 2002 annual meeting proposal other than the AT&amp;T transaction proposal or the AT&amp;T Comcast charter proposal.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Tax Sharing Agreement</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following summary of the tax sharing agreement is qualified by reference to the tax sharing agreement, which is included as an exhibit to the registration statement of which this prospectus is a part.</w:t>
      </w:r>
    </w:p>
    <w:p>
      <w:pPr>
        <w:spacing w:after="0" w:line="21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b w:val="1"/>
          <w:bCs w:val="1"/>
          <w:i w:val="1"/>
          <w:iCs w:val="1"/>
          <w:color w:val="auto"/>
        </w:rPr>
        <w:t xml:space="preserve">In General. </w:t>
      </w:r>
      <w:r>
        <w:rPr>
          <w:rFonts w:ascii="Arial" w:cs="Arial" w:eastAsia="Arial" w:hAnsi="Arial"/>
          <w:sz w:val="18"/>
          <w:szCs w:val="18"/>
          <w:color w:val="auto"/>
        </w:rPr>
        <w:t>Comcast Cable Communications Holdings’ tax liability, as described below, for the period beginning January 1, 2002 through November 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2002 will be included in the consolidated federal income tax return of AT&amp;T for 2002 and for the period beginning November 19, 2002 through December 31, 2002 will be included in the consolidated federal income tax return of Comcast. The tax sharing agreement provides for tax sharing payments between Comcast Cable Communications Holdings and AT&amp;T for periods prior to the Comcast Cable Communications Holdings spin-off, based on the taxes or tax benefits of hypothetical affiliated groups consisting of the businesses, assets and liabilities that make up Comcast Cable Communications Holdings, on the one hand, and all other businesses, assets and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2" w:right="25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liabilities of AT&amp;T, on the other hand. Each group is generally responsible for the taxes attributable to its lines of business and entities comprising its group.</w:t>
      </w:r>
    </w:p>
    <w:p>
      <w:pPr>
        <w:spacing w:after="0" w:line="27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AT&amp;T and Comcast Cable Communications Holdings have agreed that the consolidated tax liability (before credits) of the hypothetical group will be allocated to each group based on such group’s contribution to consolidated taxable income. This allocation will take into account losses, deductions and other tax attributes that are utilized by the hypothetical group even if these attributes could not be utilized on a stand-alone basis. Tax sharing payments in respect of the consolidated tax liability of the hypothetical group, after allocation of consolidated tax credits, will be made between AT&amp;T and Comcast Cable Communications Holdings consistent with the allocations under the tax sharing agreement. As between AT&amp;T and Comcast Cable Communications Holdings, certain tax items are specially allocated to the AT&amp;T group and Comcast Cable Communications Holdings group under the tax sharing agreement.</w:t>
      </w:r>
    </w:p>
    <w:p>
      <w:pPr>
        <w:spacing w:after="0" w:line="201" w:lineRule="exact"/>
        <w:rPr>
          <w:sz w:val="20"/>
          <w:szCs w:val="20"/>
          <w:color w:val="auto"/>
        </w:rPr>
      </w:pPr>
    </w:p>
    <w:p>
      <w:pPr>
        <w:ind w:right="40" w:firstLine="324"/>
        <w:spacing w:after="0" w:line="370" w:lineRule="auto"/>
        <w:rPr>
          <w:sz w:val="20"/>
          <w:szCs w:val="20"/>
          <w:color w:val="auto"/>
        </w:rPr>
      </w:pPr>
      <w:r>
        <w:rPr>
          <w:rFonts w:ascii="Arial" w:cs="Arial" w:eastAsia="Arial" w:hAnsi="Arial"/>
          <w:sz w:val="15"/>
          <w:szCs w:val="15"/>
          <w:b w:val="1"/>
          <w:bCs w:val="1"/>
          <w:i w:val="1"/>
          <w:iCs w:val="1"/>
          <w:color w:val="auto"/>
        </w:rPr>
        <w:t xml:space="preserve">Comcast Cable Communications Holdings Spin-off. </w:t>
      </w:r>
      <w:r>
        <w:rPr>
          <w:rFonts w:ascii="Arial" w:cs="Arial" w:eastAsia="Arial" w:hAnsi="Arial"/>
          <w:sz w:val="15"/>
          <w:szCs w:val="15"/>
          <w:color w:val="auto"/>
        </w:rPr>
        <w:t>AT&amp;T and Comcast Cable Communications Holdings have agreed that taxes related to intercompany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transactions that are triggered by the Comcast Cable Communications Holdings spin-off will be generally allocated to Comcast Cable Communications Holdings.</w:t>
      </w:r>
    </w:p>
    <w:p>
      <w:pPr>
        <w:spacing w:after="0" w:line="143"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b w:val="1"/>
          <w:bCs w:val="1"/>
          <w:i w:val="1"/>
          <w:iCs w:val="1"/>
          <w:color w:val="auto"/>
        </w:rPr>
        <w:t xml:space="preserve">Non-Income Tax Liabilities. </w:t>
      </w:r>
      <w:r>
        <w:rPr>
          <w:rFonts w:ascii="Arial" w:cs="Arial" w:eastAsia="Arial" w:hAnsi="Arial"/>
          <w:sz w:val="16"/>
          <w:szCs w:val="16"/>
          <w:color w:val="auto"/>
        </w:rPr>
        <w:t>AT&amp;T and Comcast Cable Communications Holdings have agreed that joint non-income tax liabilities will generally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allocated between AT&amp;T and Comcast Cable Communications Holdings based on the amount of such taxes attributable to each group’s line of business. If the line of business with respect to which the liability is appropriately associated cannot be readily determined, the tax liability will be allocated to the AT&amp;T group.</w:t>
      </w:r>
    </w:p>
    <w:p>
      <w:pPr>
        <w:spacing w:after="0" w:line="188" w:lineRule="exact"/>
        <w:rPr>
          <w:sz w:val="20"/>
          <w:szCs w:val="20"/>
          <w:color w:val="auto"/>
        </w:rPr>
      </w:pPr>
    </w:p>
    <w:p>
      <w:pPr>
        <w:ind w:right="40" w:firstLine="324"/>
        <w:spacing w:after="0" w:line="332" w:lineRule="auto"/>
        <w:rPr>
          <w:sz w:val="20"/>
          <w:szCs w:val="20"/>
          <w:color w:val="auto"/>
        </w:rPr>
      </w:pPr>
      <w:r>
        <w:rPr>
          <w:rFonts w:ascii="Arial" w:cs="Arial" w:eastAsia="Arial" w:hAnsi="Arial"/>
          <w:sz w:val="16"/>
          <w:szCs w:val="16"/>
          <w:b w:val="1"/>
          <w:bCs w:val="1"/>
          <w:i w:val="1"/>
          <w:iCs w:val="1"/>
          <w:color w:val="auto"/>
        </w:rPr>
        <w:t xml:space="preserve">Audit Adjustments. </w:t>
      </w:r>
      <w:r>
        <w:rPr>
          <w:rFonts w:ascii="Arial" w:cs="Arial" w:eastAsia="Arial" w:hAnsi="Arial"/>
          <w:sz w:val="16"/>
          <w:szCs w:val="16"/>
          <w:color w:val="auto"/>
        </w:rPr>
        <w:t>AT&amp;T and Comcast Cable Communications Holdings have agreed that taxes resulting from audit adjustments will generally be allocated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between the two groups based on line of business. In general, AT&amp;T controls audits and administrative matters related to pre-spin-off periods.</w:t>
      </w:r>
    </w:p>
    <w:p>
      <w:pPr>
        <w:spacing w:after="0" w:line="166" w:lineRule="exact"/>
        <w:rPr>
          <w:sz w:val="20"/>
          <w:szCs w:val="20"/>
          <w:color w:val="auto"/>
        </w:rPr>
      </w:pPr>
    </w:p>
    <w:p>
      <w:pPr>
        <w:jc w:val="both"/>
        <w:ind w:right="140" w:firstLine="324"/>
        <w:spacing w:after="0" w:line="306" w:lineRule="auto"/>
        <w:rPr>
          <w:sz w:val="20"/>
          <w:szCs w:val="20"/>
          <w:color w:val="auto"/>
        </w:rPr>
      </w:pPr>
      <w:r>
        <w:rPr>
          <w:rFonts w:ascii="Arial" w:cs="Arial" w:eastAsia="Arial" w:hAnsi="Arial"/>
          <w:sz w:val="16"/>
          <w:szCs w:val="16"/>
          <w:b w:val="1"/>
          <w:bCs w:val="1"/>
          <w:i w:val="1"/>
          <w:iCs w:val="1"/>
          <w:color w:val="auto"/>
        </w:rPr>
        <w:t xml:space="preserve">Post-Spin-off Tax Attributes. </w:t>
      </w:r>
      <w:r>
        <w:rPr>
          <w:rFonts w:ascii="Arial" w:cs="Arial" w:eastAsia="Arial" w:hAnsi="Arial"/>
          <w:sz w:val="16"/>
          <w:szCs w:val="16"/>
          <w:color w:val="auto"/>
        </w:rPr>
        <w:t>Generally, Comcast Cable Communications Holdings may not carry back a loss, credit or other tax attribute from a post-spin-off period to a pre-spin-off period, unless Comcast Cable Communications Holdings obtains AT&amp;T’s consent (which, in the case of significant net operating or capital loss carrybacks, may not be unreasonably withheld) and then only to the extent permitted by applicable law.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Ancillary Agreements</w:t>
      </w:r>
    </w:p>
    <w:p>
      <w:pPr>
        <w:spacing w:after="0" w:line="258"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In addition to the other agreements described in this section, AT&amp;T and Comcast Cable Communications Holdings entered into various other commercial agreements in connection with the AT&amp;T Comcast transaction. A brief summary of these agreements follows: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Network Service Agreements. </w:t>
      </w:r>
      <w:r>
        <w:rPr>
          <w:rFonts w:ascii="Arial" w:cs="Arial" w:eastAsia="Arial" w:hAnsi="Arial"/>
          <w:sz w:val="16"/>
          <w:szCs w:val="16"/>
          <w:color w:val="auto"/>
        </w:rPr>
        <w:t>AT&amp;T and Comcast Cable Communications Holdings entered into principal network service agreements as follows.</w:t>
      </w:r>
    </w:p>
    <w:p>
      <w:pPr>
        <w:spacing w:after="0" w:line="248" w:lineRule="exact"/>
        <w:rPr>
          <w:sz w:val="20"/>
          <w:szCs w:val="20"/>
          <w:color w:val="auto"/>
        </w:rPr>
      </w:pPr>
    </w:p>
    <w:p>
      <w:pPr>
        <w:ind w:left="820" w:right="120" w:hanging="461"/>
        <w:spacing w:after="0" w:line="303" w:lineRule="auto"/>
        <w:tabs>
          <w:tab w:leader="none" w:pos="82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 xml:space="preserve">Master Carrier Agreement. </w:t>
      </w:r>
      <w:r>
        <w:rPr>
          <w:rFonts w:ascii="Arial" w:cs="Arial" w:eastAsia="Arial" w:hAnsi="Arial"/>
          <w:sz w:val="15"/>
          <w:szCs w:val="15"/>
          <w:color w:val="auto"/>
        </w:rPr>
        <w:t>This agreement reflects the rates, terms and conditions on which AT&amp;T Business Services Group will provide voice, data</w:t>
      </w:r>
      <w:r>
        <w:rPr>
          <w:rFonts w:ascii="Arial" w:cs="Arial" w:eastAsia="Arial" w:hAnsi="Arial"/>
          <w:sz w:val="15"/>
          <w:szCs w:val="15"/>
          <w:i w:val="1"/>
          <w:iCs w:val="1"/>
          <w:color w:val="auto"/>
        </w:rPr>
        <w:t xml:space="preserve"> </w:t>
      </w:r>
      <w:r>
        <w:rPr>
          <w:rFonts w:ascii="Arial" w:cs="Arial" w:eastAsia="Arial" w:hAnsi="Arial"/>
          <w:sz w:val="15"/>
          <w:szCs w:val="15"/>
          <w:color w:val="auto"/>
        </w:rPr>
        <w:t>and Internet services to Comcast Cable Communications Holdings, including both wholesale services (those used as a component in Comcast Cable Communications Holdings’ services to its customers) and “administrative” services (for internal Comcast Cable Communications Holdings usage).</w:t>
      </w:r>
    </w:p>
    <w:p>
      <w:pPr>
        <w:spacing w:after="0" w:line="1" w:lineRule="exact"/>
        <w:rPr>
          <w:rFonts w:ascii="Arial" w:cs="Arial" w:eastAsia="Arial" w:hAnsi="Arial"/>
          <w:sz w:val="15"/>
          <w:szCs w:val="15"/>
          <w:color w:val="auto"/>
        </w:rPr>
      </w:pPr>
    </w:p>
    <w:p>
      <w:pPr>
        <w:ind w:left="820"/>
        <w:spacing w:after="0"/>
        <w:rPr>
          <w:rFonts w:ascii="Arial" w:cs="Arial" w:eastAsia="Arial" w:hAnsi="Arial"/>
          <w:sz w:val="15"/>
          <w:szCs w:val="15"/>
          <w:color w:val="auto"/>
        </w:rPr>
      </w:pPr>
      <w:r>
        <w:rPr>
          <w:rFonts w:ascii="Arial" w:cs="Arial" w:eastAsia="Arial" w:hAnsi="Arial"/>
          <w:sz w:val="18"/>
          <w:szCs w:val="18"/>
          <w:color w:val="auto"/>
        </w:rPr>
        <w:t>Pricing is market based, with provisions defining an ongoing process to ensure that the prices remain competitive.</w:t>
      </w:r>
    </w:p>
    <w:p>
      <w:pPr>
        <w:spacing w:after="0" w:line="245" w:lineRule="exact"/>
        <w:rPr>
          <w:rFonts w:ascii="Arial" w:cs="Arial" w:eastAsia="Arial" w:hAnsi="Arial"/>
          <w:sz w:val="15"/>
          <w:szCs w:val="15"/>
          <w:color w:val="auto"/>
        </w:rPr>
      </w:pPr>
    </w:p>
    <w:p>
      <w:pPr>
        <w:ind w:left="820" w:right="60" w:hanging="461"/>
        <w:spacing w:after="0" w:line="306" w:lineRule="auto"/>
        <w:tabs>
          <w:tab w:leader="none" w:pos="82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First Amended and Restated Local Network Connectivity Services Agreement. </w:t>
      </w:r>
      <w:r>
        <w:rPr>
          <w:rFonts w:ascii="Arial" w:cs="Arial" w:eastAsia="Arial" w:hAnsi="Arial"/>
          <w:sz w:val="16"/>
          <w:szCs w:val="16"/>
          <w:color w:val="auto"/>
        </w:rPr>
        <w:t>This agreement reflects the rates, terms and conditions on which AT&amp;T</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Services Group will provide certain local network connectivity services to Comcast Cable Communications Holdings for use in providing local telephone services to Comcast Cable Communications Holdings’ subscribers. This agreement consists of two parts:</w:t>
      </w:r>
    </w:p>
    <w:p>
      <w:pPr>
        <w:spacing w:after="0" w:line="161" w:lineRule="exact"/>
        <w:rPr>
          <w:sz w:val="20"/>
          <w:szCs w:val="20"/>
          <w:color w:val="auto"/>
        </w:rPr>
      </w:pPr>
    </w:p>
    <w:p>
      <w:pPr>
        <w:ind w:left="1040" w:hanging="451"/>
        <w:spacing w:after="0" w:line="268"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capital lease from AT&amp;T Business Services Group to Comcast Cable Communications Holdings of certain network switching and transport assets to be used exclusively by Comcast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63" w:name="page64"/>
    <w:bookmarkEnd w:id="63"/>
    <w:p>
      <w:pPr>
        <w:ind w:left="1040"/>
        <w:spacing w:after="0"/>
        <w:rPr>
          <w:sz w:val="20"/>
          <w:szCs w:val="20"/>
          <w:color w:val="auto"/>
        </w:rPr>
      </w:pPr>
      <w:r>
        <w:rPr>
          <w:rFonts w:ascii="Arial" w:cs="Arial" w:eastAsia="Arial" w:hAnsi="Arial"/>
          <w:sz w:val="16"/>
          <w:szCs w:val="16"/>
          <w:color w:val="auto"/>
        </w:rPr>
        <w:t>Cable Communications Holdings for a term of up to ten years, commencing January 1, 2002 for initial assets leased under the agreement; and</w:t>
      </w:r>
    </w:p>
    <w:p>
      <w:pPr>
        <w:spacing w:after="0" w:line="302" w:lineRule="exact"/>
        <w:rPr>
          <w:sz w:val="20"/>
          <w:szCs w:val="20"/>
          <w:color w:val="auto"/>
        </w:rPr>
      </w:pPr>
    </w:p>
    <w:p>
      <w:pPr>
        <w:ind w:left="1040" w:right="600" w:hanging="451"/>
        <w:spacing w:after="0" w:line="332" w:lineRule="auto"/>
        <w:tabs>
          <w:tab w:leader="none" w:pos="10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an operating agreement for the provision of local network connectivity, management and operational services in support of Comcast Cable Communications Holdings’ local cable telephone services, with a minimum term of five years commencing January 1, 2002.</w:t>
      </w:r>
    </w:p>
    <w:p>
      <w:pPr>
        <w:spacing w:after="0" w:line="139" w:lineRule="exact"/>
        <w:rPr>
          <w:rFonts w:ascii="Arial" w:cs="Arial" w:eastAsia="Arial" w:hAnsi="Arial"/>
          <w:sz w:val="16"/>
          <w:szCs w:val="16"/>
          <w:color w:val="auto"/>
        </w:rPr>
      </w:pPr>
    </w:p>
    <w:p>
      <w:pPr>
        <w:ind w:left="820" w:hanging="461"/>
        <w:spacing w:after="0" w:line="254" w:lineRule="auto"/>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Master Facilities Agreement. </w:t>
      </w:r>
      <w:r>
        <w:rPr>
          <w:rFonts w:ascii="Arial" w:cs="Arial" w:eastAsia="Arial" w:hAnsi="Arial"/>
          <w:sz w:val="18"/>
          <w:szCs w:val="18"/>
          <w:color w:val="auto"/>
        </w:rPr>
        <w:t>This agreement permits AT&amp;T or any of its subsidiaries to use existing fiber facilities owned or leased by Comcast</w:t>
      </w:r>
      <w:r>
        <w:rPr>
          <w:rFonts w:ascii="Arial" w:cs="Arial" w:eastAsia="Arial" w:hAnsi="Arial"/>
          <w:sz w:val="18"/>
          <w:szCs w:val="18"/>
          <w:i w:val="1"/>
          <w:iCs w:val="1"/>
          <w:color w:val="auto"/>
        </w:rPr>
        <w:t xml:space="preserve"> </w:t>
      </w:r>
      <w:r>
        <w:rPr>
          <w:rFonts w:ascii="Arial" w:cs="Arial" w:eastAsia="Arial" w:hAnsi="Arial"/>
          <w:sz w:val="18"/>
          <w:szCs w:val="18"/>
          <w:color w:val="auto"/>
        </w:rPr>
        <w:t>Cable Communications Holdings or its controlled affiliates, together with related services. In addition, Comcast Cable Communications Holdings will construct and lease to AT&amp;T new fiber facilities in the areas served by Comcast Cable Communications Holdings’ cable systems for use in providing telecommunications services. The term of the build-out period will expire on January 8, 2012. Subject to certain termination rights specified in this agreement, the term of AT&amp;T’s right to use facilities leased under this agreement will expire on January 8, 2028, renewable at AT&amp;T’s option for successive 20-year terms in perpetuity.</w:t>
      </w:r>
    </w:p>
    <w:p>
      <w:pPr>
        <w:spacing w:after="0" w:line="225" w:lineRule="exact"/>
        <w:rPr>
          <w:rFonts w:ascii="Arial" w:cs="Arial" w:eastAsia="Arial" w:hAnsi="Arial"/>
          <w:sz w:val="18"/>
          <w:szCs w:val="18"/>
          <w:color w:val="auto"/>
        </w:rPr>
      </w:pPr>
    </w:p>
    <w:p>
      <w:pPr>
        <w:ind w:left="820" w:hanging="461"/>
        <w:spacing w:after="0" w:line="268" w:lineRule="auto"/>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Interconnection and Intercarrier Compensation Term Sheet. </w:t>
      </w:r>
      <w:r>
        <w:rPr>
          <w:rFonts w:ascii="Arial" w:cs="Arial" w:eastAsia="Arial" w:hAnsi="Arial"/>
          <w:sz w:val="18"/>
          <w:szCs w:val="18"/>
          <w:color w:val="auto"/>
        </w:rPr>
        <w:t>This agreement, which has a five-year initial term commencing January 1, 2002, specifies</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interconnection of the parties’ networks, and compensation for:</w:t>
      </w:r>
    </w:p>
    <w:p>
      <w:pPr>
        <w:spacing w:after="0" w:line="185" w:lineRule="exact"/>
        <w:rPr>
          <w:rFonts w:ascii="Arial" w:cs="Arial" w:eastAsia="Arial" w:hAnsi="Arial"/>
          <w:sz w:val="18"/>
          <w:szCs w:val="18"/>
          <w:color w:val="auto"/>
        </w:rPr>
      </w:pPr>
    </w:p>
    <w:p>
      <w:pPr>
        <w:ind w:left="1380" w:hanging="670"/>
        <w:spacing w:after="0"/>
        <w:tabs>
          <w:tab w:leader="none" w:pos="138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origination or termination of interexchange traffic for the other party; and</w:t>
      </w:r>
    </w:p>
    <w:p>
      <w:pPr>
        <w:spacing w:after="0" w:line="279" w:lineRule="exact"/>
        <w:rPr>
          <w:rFonts w:ascii="Arial" w:cs="Arial" w:eastAsia="Arial" w:hAnsi="Arial"/>
          <w:sz w:val="18"/>
          <w:szCs w:val="18"/>
          <w:color w:val="auto"/>
        </w:rPr>
      </w:pPr>
    </w:p>
    <w:p>
      <w:pPr>
        <w:ind w:left="1380" w:hanging="670"/>
        <w:spacing w:after="0"/>
        <w:tabs>
          <w:tab w:leader="none" w:pos="138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exchange of local traffic between the parties’ local customers.</w:t>
      </w:r>
    </w:p>
    <w:p>
      <w:pPr>
        <w:spacing w:after="0" w:line="252" w:lineRule="exact"/>
        <w:rPr>
          <w:rFonts w:ascii="Arial" w:cs="Arial" w:eastAsia="Arial" w:hAnsi="Arial"/>
          <w:sz w:val="18"/>
          <w:szCs w:val="18"/>
          <w:color w:val="auto"/>
        </w:rPr>
      </w:pPr>
    </w:p>
    <w:p>
      <w:pPr>
        <w:ind w:left="820" w:right="220" w:hanging="461"/>
        <w:spacing w:after="0" w:line="306" w:lineRule="auto"/>
        <w:tabs>
          <w:tab w:leader="none" w:pos="82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High Speed Internet Services Binding Term Sheet. </w:t>
      </w:r>
      <w:r>
        <w:rPr>
          <w:rFonts w:ascii="Arial" w:cs="Arial" w:eastAsia="Arial" w:hAnsi="Arial"/>
          <w:sz w:val="16"/>
          <w:szCs w:val="16"/>
          <w:color w:val="auto"/>
        </w:rPr>
        <w:t>This agreement reflects the rates, terms and conditions on which AT&amp;T will provide specified</w:t>
      </w:r>
      <w:r>
        <w:rPr>
          <w:rFonts w:ascii="Arial" w:cs="Arial" w:eastAsia="Arial" w:hAnsi="Arial"/>
          <w:sz w:val="16"/>
          <w:szCs w:val="16"/>
          <w:i w:val="1"/>
          <w:iCs w:val="1"/>
          <w:color w:val="auto"/>
        </w:rPr>
        <w:t xml:space="preserve"> </w:t>
      </w:r>
      <w:r>
        <w:rPr>
          <w:rFonts w:ascii="Arial" w:cs="Arial" w:eastAsia="Arial" w:hAnsi="Arial"/>
          <w:sz w:val="16"/>
          <w:szCs w:val="16"/>
          <w:color w:val="auto"/>
        </w:rPr>
        <w:t>processes, procedures and services to support Comcast Cable Communications Holdings in its provision of broadband Internet services to Comcast Cable Communications Holdings subscribers. This agreement has a four-year initial term commencing December 4, 2001.</w:t>
      </w:r>
    </w:p>
    <w:p>
      <w:pPr>
        <w:spacing w:after="0" w:line="187" w:lineRule="exact"/>
        <w:rPr>
          <w:rFonts w:ascii="Arial" w:cs="Arial" w:eastAsia="Arial" w:hAnsi="Arial"/>
          <w:sz w:val="16"/>
          <w:szCs w:val="16"/>
          <w:color w:val="auto"/>
        </w:rPr>
      </w:pPr>
    </w:p>
    <w:p>
      <w:pPr>
        <w:ind w:left="820" w:right="60" w:hanging="461"/>
        <w:spacing w:after="0" w:line="256" w:lineRule="auto"/>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Intellectual Property Agreement. </w:t>
      </w:r>
      <w:r>
        <w:rPr>
          <w:rFonts w:ascii="Arial" w:cs="Arial" w:eastAsia="Arial" w:hAnsi="Arial"/>
          <w:sz w:val="18"/>
          <w:szCs w:val="18"/>
          <w:color w:val="auto"/>
        </w:rPr>
        <w:t>This agreement specifies the ownership and license rights granted by each party to the other in specified patents,</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copyrights and trade secrets. Among other rights granted, the effect of this agreement is to allow Comcast Cable Communications Holdings and AT&amp;T to continue to have the same rights to use the intellectual property that they had at the time of the separation and Comcast Cable Communications Holdings spin-off.</w:t>
      </w:r>
    </w:p>
    <w:p>
      <w:pPr>
        <w:spacing w:after="0" w:line="224" w:lineRule="exact"/>
        <w:rPr>
          <w:rFonts w:ascii="Arial" w:cs="Arial" w:eastAsia="Arial" w:hAnsi="Arial"/>
          <w:sz w:val="18"/>
          <w:szCs w:val="18"/>
          <w:color w:val="auto"/>
        </w:rPr>
      </w:pPr>
    </w:p>
    <w:p>
      <w:pPr>
        <w:ind w:left="820" w:hanging="461"/>
        <w:spacing w:after="0" w:line="294" w:lineRule="auto"/>
        <w:tabs>
          <w:tab w:leader="none" w:pos="82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Corporate Name Agreement. </w:t>
      </w:r>
      <w:r>
        <w:rPr>
          <w:rFonts w:ascii="Arial" w:cs="Arial" w:eastAsia="Arial" w:hAnsi="Arial"/>
          <w:sz w:val="16"/>
          <w:szCs w:val="16"/>
          <w:color w:val="auto"/>
        </w:rPr>
        <w:t>AT&amp;T and we entered into a corporate name agreement immediately prior to the completion of the AT&amp;T Comcast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pursuant to which AT&amp;T will grant to us the right to use the term “AT&amp;T” as part of our full corporate name, but prohibit any use of “AT&amp;T” as a trade name, trademark, or service mark, or in a domain name other than specified domain names permitted for certain purposes. Such grant of rights will be perpetual unless terminated as a result of the Roberts family’s voting power falling below 33% or pursuant to any other terms of the agreement. On November 18, 2002, we changed our name from AT&amp;T Comcast Corporation to Comcast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QUIPS Exchange</w:t>
      </w:r>
    </w:p>
    <w:p>
      <w:pPr>
        <w:spacing w:after="0" w:line="25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Prior to the AT&amp;T Comcast transaction, Microsoft (through a wholly owned subsidiary) held $5 billion in aggregate liquidation preference amount of 5% Convertible Quarterly Income Preferred Securities, referred to in this prospectus by their acronym “QUIPS,” of AT&amp;T Finance Trust I, a Delaware business trust. The QUIPS were convertible into $5 billion aggregate face amount of 5% Junior Convertible Subordinated Debentures due 2029 of AT&amp;T, which were in turn convertible into AT&amp;T common stock. In connection with the AT&amp;T Comcast transaction, Comcast Holdings and Microsoft entered into an exchange agreement dated December 7, 2001 relating to the exchange of the QUIPS for a combination of our voting and non-voting shares to be issued in the merger, and on December 19, 2001 we became a party to the exchange agreement by executing the instrument of admission. On March 11, 2002, the parties amended the exchange agreement and instrument of admission. The following summary of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2" w:right="279" w:bottom="1440" w:gutter="0" w:footer="0" w:header="0"/>
        </w:sectPr>
      </w:pPr>
    </w:p>
    <w:bookmarkStart w:id="64" w:name="page65"/>
    <w:bookmarkEnd w:id="64"/>
    <w:p>
      <w:pPr>
        <w:ind w:right="20"/>
        <w:spacing w:after="0" w:line="259" w:lineRule="auto"/>
        <w:rPr>
          <w:sz w:val="20"/>
          <w:szCs w:val="20"/>
          <w:color w:val="auto"/>
        </w:rPr>
      </w:pPr>
      <w:r>
        <w:rPr>
          <w:rFonts w:ascii="Arial" w:cs="Arial" w:eastAsia="Arial" w:hAnsi="Arial"/>
          <w:sz w:val="18"/>
          <w:szCs w:val="18"/>
          <w:color w:val="auto"/>
        </w:rPr>
        <w:t>exchange agreement and the instrument of admission, in each case as amended, is qualified in its entirety by reference to the complete texts of the exchange agreement and the instrument of admission, in each case as amended, which are incorporated by reference and attached as exhibits to the registration statement in which this prospectus is included.</w:t>
      </w:r>
    </w:p>
    <w:p>
      <w:pPr>
        <w:spacing w:after="0" w:line="22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b w:val="1"/>
          <w:bCs w:val="1"/>
          <w:i w:val="1"/>
          <w:iCs w:val="1"/>
          <w:color w:val="auto"/>
        </w:rPr>
        <w:t xml:space="preserve">The Exchange. </w:t>
      </w:r>
      <w:r>
        <w:rPr>
          <w:rFonts w:ascii="Arial" w:cs="Arial" w:eastAsia="Arial" w:hAnsi="Arial"/>
          <w:sz w:val="16"/>
          <w:szCs w:val="16"/>
          <w:color w:val="auto"/>
        </w:rPr>
        <w:t>In the exchange agreement and instrument of admission, we agreed to exchange the QUIPS for approximately 100.6 million shares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 A Common Stock, and approximately 14.4 million shares of our non-voting Class A Special Common Stock in the AT&amp;T Comcast transaction. If Microsoft transfers shares of our Class A Common Stock or its voting interest in us is diluted below 4.95%, subject to certain conditions, Microsoft will have the right to cause us to exchange the shares of our non-voting Class A Special Common Stock received in the AT&amp;T Comcast transaction for shares of our voting Class A Common Stock provided that its voting interest in us does not exceed 4.95% after the exchange. Prior to six months after completion of the Microsoft transaction, subject to certain exceptions, Microsoft has agreed that neither Microsoft nor any of its wholly-owned subsidiaries will sell, or enter into any agreement, arrangement or negotiations relating to the sale of, any of the shares of our Class A Special Common Stock that it received in connection with the Microsoft transaction. Comcast Holdings agreed to indemnify Microsoft against any claim by Comcast Holdings, AT&amp;T or any shareholder of Comcast Holdings, AT&amp;T or us for any loss arising as a result of the Comcast Cable Communications Holdings spin-off or the mergers failing to be tax-free, except to the extent such a failure results directly from a breach by Microsoft of the lock-up agreement described above or of the failure of a related representation and warranty made by Microsoft in the exchange agreement.</w:t>
      </w:r>
    </w:p>
    <w:p>
      <w:pPr>
        <w:spacing w:after="0" w:line="208"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b w:val="1"/>
          <w:bCs w:val="1"/>
          <w:i w:val="1"/>
          <w:iCs w:val="1"/>
          <w:color w:val="auto"/>
        </w:rPr>
        <w:t xml:space="preserve">Internet Access. </w:t>
      </w:r>
      <w:r>
        <w:rPr>
          <w:rFonts w:ascii="Arial" w:cs="Arial" w:eastAsia="Arial" w:hAnsi="Arial"/>
          <w:sz w:val="16"/>
          <w:szCs w:val="16"/>
          <w:color w:val="auto"/>
        </w:rPr>
        <w:t>Until the fifth anniversary of the Microsoft transaction, we have agreed that if we offer a high-speed Internet access agreement to any third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party, then we will be obligated to offer an agreement on nondiscriminatory terms with respect to the same cable systems to Microsoft for its ISP, The Microsoft Network. In connection with Comcast Holdings’ and AT&amp;T’s agreement with AOL Time Warner providing for the restructuring of TWE, Comcast Holdings and Comcast Cable Communications will enter into a three-year non-exclusive access agreement with AOL Time Warner. Because Comcast Holdings has also entered into an access agreement with United Online and Comcast Cable Communications Holdings has also entered into an access agreement with each of Earthlink, Internet Central, Connected Data Systems, Galaxy Internet Services and Connect Plus International, we will be required after the consummation of the AT&amp;T Comcast transaction, with respect to each such agreement with another ISP, including the agreement to be entered into with AOL Time Warner, to offer an access agreement to Microsoft on terms no less favorable than those provided to the other ISP with respect to the specific cable systems covered under the agreement with the other ISP.</w:t>
      </w:r>
    </w:p>
    <w:p>
      <w:pPr>
        <w:spacing w:after="0" w:line="20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b w:val="1"/>
          <w:bCs w:val="1"/>
          <w:i w:val="1"/>
          <w:iCs w:val="1"/>
          <w:color w:val="auto"/>
        </w:rPr>
        <w:t xml:space="preserve">Interactive Technology Agreement. </w:t>
      </w:r>
      <w:r>
        <w:rPr>
          <w:rFonts w:ascii="Arial" w:cs="Arial" w:eastAsia="Arial" w:hAnsi="Arial"/>
          <w:sz w:val="18"/>
          <w:szCs w:val="18"/>
          <w:color w:val="auto"/>
        </w:rPr>
        <w:t>In connection with the exchange agreement, Microsoft and Comcast Cable entered into a letter of intent and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negotiating a definitive agreement pursuant to which the parties will conduct a trial during 2003 of an interactive television platform, including set-top box middleware. If the trial results meet agreed technical standards, the platform meets defined competitive requirements and a launch would meet Comcast Cable’s reasonable business objectives, Comcast Cable has agreed that it will commercially launch the Microsoft platform to at least 25% of its newly installed middleware customer base.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Cross Guarantees</w:t>
      </w:r>
    </w:p>
    <w:p>
      <w:pPr>
        <w:spacing w:after="0" w:line="258"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To simplify our capital structure and to insure that our traded debt securities and those of Comcast Cable, Comcast Cable Communications Holdings, Comcast Cable Holdings and Comcast MO Group will be treated equally, upon completion of the AT&amp;T Comcast transaction, we, Comcast Cable, Comcast Cable Communications Holdings, Comcast Cable Holdings and Comcast MO Group each fully and unconditionally guaranteed each other’s traded debt securities.</w:t>
      </w:r>
    </w:p>
    <w:p>
      <w:pPr>
        <w:spacing w:after="0" w:line="224" w:lineRule="exact"/>
        <w:rPr>
          <w:sz w:val="20"/>
          <w:szCs w:val="20"/>
          <w:color w:val="auto"/>
        </w:rPr>
      </w:pPr>
    </w:p>
    <w:p>
      <w:pPr>
        <w:ind w:right="400" w:firstLine="324"/>
        <w:spacing w:after="0" w:line="332" w:lineRule="auto"/>
        <w:rPr>
          <w:sz w:val="20"/>
          <w:szCs w:val="20"/>
          <w:color w:val="auto"/>
        </w:rPr>
      </w:pPr>
      <w:r>
        <w:rPr>
          <w:rFonts w:ascii="Arial" w:cs="Arial" w:eastAsia="Arial" w:hAnsi="Arial"/>
          <w:sz w:val="16"/>
          <w:szCs w:val="16"/>
          <w:color w:val="auto"/>
        </w:rPr>
        <w:t>Comcast Holdings did not become a guarantor, and its debt securities were not guaranteed, because we believe that future investors will be interested in “pure play” debt securities of our cable communications operations and not Comcast Holdings’ commerce and content assets, such as QVC,</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65" w:name="page66"/>
    <w:bookmarkEnd w:id="65"/>
    <w:p>
      <w:pPr>
        <w:spacing w:after="0" w:line="255" w:lineRule="auto"/>
        <w:rPr>
          <w:sz w:val="20"/>
          <w:szCs w:val="20"/>
          <w:color w:val="auto"/>
        </w:rPr>
      </w:pPr>
      <w:r>
        <w:rPr>
          <w:rFonts w:ascii="Arial" w:cs="Arial" w:eastAsia="Arial" w:hAnsi="Arial"/>
          <w:sz w:val="18"/>
          <w:szCs w:val="18"/>
          <w:color w:val="auto"/>
        </w:rPr>
        <w:t>E! Entertainment and Comcast Spectacor. Comcast MO of Delaware, Inc., formerly known as MediaOne of Delaware, Inc., and one of AT&amp;T’s cable subsidiaries that was transferred to Comcast Cable Communications Holdings in the AT&amp;T Comcast transaction, which we refer to in this prospectus as Continental, also did not become a guarantor, and its debt securities were not guaranteed, because Continental’s indentures contain covenants that effectively prohibit Continental from guaranteeing its affiliates’ debt obligations. If these indentures were amended to permit guarantees of affiliate debt obligations, Continental might become a guarantor and its debt securities might be cross-guaranteed.</w:t>
      </w:r>
    </w:p>
    <w:p>
      <w:pPr>
        <w:spacing w:after="0" w:line="224" w:lineRule="exact"/>
        <w:rPr>
          <w:sz w:val="20"/>
          <w:szCs w:val="20"/>
          <w:color w:val="auto"/>
        </w:rPr>
      </w:pPr>
    </w:p>
    <w:p>
      <w:pPr>
        <w:ind w:right="60" w:firstLine="324"/>
        <w:spacing w:after="0" w:line="310" w:lineRule="auto"/>
        <w:rPr>
          <w:sz w:val="20"/>
          <w:szCs w:val="20"/>
          <w:color w:val="auto"/>
        </w:rPr>
      </w:pPr>
      <w:r>
        <w:rPr>
          <w:rFonts w:ascii="Arial" w:cs="Arial" w:eastAsia="Arial" w:hAnsi="Arial"/>
          <w:sz w:val="15"/>
          <w:szCs w:val="15"/>
          <w:color w:val="auto"/>
        </w:rPr>
        <w:t>The following table presents as of September 30, 2002 for each of Comcast Cable, Comcast Cable Holdings, Comcast MO Group and Continental, their pro forma payment obligations for principal, excluding obligations of their subsidiaries and excluding interest but including principal accreted under discount obligations, under (a) debt securities that are subject, or in the case of Continental, might be subject, to the cross guarantees, (b) other contractual liabilities, including capital leases, none of which will be subject to the cross-guarantees and (c) operating leases, none of which will be subject to the cross guarantees. For purposes of the table, amounts set forth opposite “guaranteed debt securities” only include amounts with respect to the person who is the primary obligor and not with respect to amounts for which that person may be secondarily liable as guarantor. The table presents for Comcast Cable Communications Holdings the pro forma effect of its issuance in connection with the AT&amp;T Comcast transaction of approximately $3.50 billion in debt securities to retire existing AT&amp;T debt. The table also presents for us the pro forma effect of our borrowings under the New Credit Facility in connection with the closing of the AT&amp;T Comcast transaction.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Payments Due by Period</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2"/>
              </w:rPr>
              <w:t>Payment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Remainder</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40" w:type="dxa"/>
            <w:vAlign w:val="bottom"/>
          </w:tcPr>
          <w:p>
            <w:pPr>
              <w:ind w:left="1440"/>
              <w:spacing w:after="0"/>
              <w:rPr>
                <w:sz w:val="20"/>
                <w:szCs w:val="20"/>
                <w:color w:val="auto"/>
              </w:rPr>
            </w:pPr>
            <w:r>
              <w:rPr>
                <w:rFonts w:ascii="Arial" w:cs="Arial" w:eastAsia="Arial" w:hAnsi="Arial"/>
                <w:sz w:val="14"/>
                <w:szCs w:val="14"/>
                <w:b w:val="1"/>
                <w:bCs w:val="1"/>
                <w:color w:val="auto"/>
              </w:rPr>
              <w:t>Contractual Obligation</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ind w:right="94"/>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3"/>
          </w:tcPr>
          <w:p>
            <w:pPr>
              <w:ind w:left="320"/>
              <w:spacing w:after="0"/>
              <w:rPr>
                <w:sz w:val="20"/>
                <w:szCs w:val="20"/>
                <w:color w:val="auto"/>
              </w:rPr>
            </w:pPr>
            <w:r>
              <w:rPr>
                <w:rFonts w:ascii="Arial" w:cs="Arial" w:eastAsia="Arial" w:hAnsi="Arial"/>
                <w:sz w:val="14"/>
                <w:szCs w:val="14"/>
                <w:b w:val="1"/>
                <w:bCs w:val="1"/>
                <w:color w:val="auto"/>
              </w:rPr>
              <w:t>of 2002</w:t>
            </w:r>
          </w:p>
        </w:tc>
        <w:tc>
          <w:tcPr>
            <w:tcW w:w="260" w:type="dxa"/>
            <w:vAlign w:val="bottom"/>
          </w:tcPr>
          <w:p>
            <w:pPr>
              <w:spacing w:after="0"/>
              <w:rPr>
                <w:sz w:val="15"/>
                <w:szCs w:val="15"/>
                <w:color w:val="auto"/>
              </w:rPr>
            </w:pPr>
          </w:p>
        </w:tc>
        <w:tc>
          <w:tcPr>
            <w:tcW w:w="1440" w:type="dxa"/>
            <w:vAlign w:val="bottom"/>
            <w:gridSpan w:val="4"/>
          </w:tcPr>
          <w:p>
            <w:pPr>
              <w:ind w:left="320"/>
              <w:spacing w:after="0"/>
              <w:rPr>
                <w:sz w:val="20"/>
                <w:szCs w:val="20"/>
                <w:color w:val="auto"/>
              </w:rPr>
            </w:pPr>
            <w:r>
              <w:rPr>
                <w:rFonts w:ascii="Arial" w:cs="Arial" w:eastAsia="Arial" w:hAnsi="Arial"/>
                <w:sz w:val="14"/>
                <w:szCs w:val="14"/>
                <w:b w:val="1"/>
                <w:bCs w:val="1"/>
                <w:color w:val="auto"/>
              </w:rPr>
              <w:t>1-2 Years</w:t>
            </w:r>
          </w:p>
        </w:tc>
        <w:tc>
          <w:tcPr>
            <w:tcW w:w="11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3-5 Years</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gridSpan w:val="5"/>
          </w:tcPr>
          <w:p>
            <w:pPr>
              <w:ind w:left="260"/>
              <w:spacing w:after="0"/>
              <w:rPr>
                <w:sz w:val="20"/>
                <w:szCs w:val="20"/>
                <w:color w:val="auto"/>
              </w:rPr>
            </w:pPr>
            <w:r>
              <w:rPr>
                <w:rFonts w:ascii="Arial" w:cs="Arial" w:eastAsia="Arial" w:hAnsi="Arial"/>
                <w:sz w:val="14"/>
                <w:szCs w:val="14"/>
                <w:b w:val="1"/>
                <w:bCs w:val="1"/>
                <w:color w:val="auto"/>
                <w:w w:val="92"/>
              </w:rPr>
              <w:t>(In millions, unaudited)</w:t>
            </w: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EEEEEE"/>
          </w:tcPr>
          <w:p>
            <w:pPr>
              <w:spacing w:after="0"/>
              <w:rPr>
                <w:sz w:val="20"/>
                <w:szCs w:val="20"/>
                <w:color w:val="auto"/>
              </w:rPr>
            </w:pPr>
            <w:r>
              <w:rPr>
                <w:rFonts w:ascii="Arial" w:cs="Arial" w:eastAsia="Arial" w:hAnsi="Arial"/>
                <w:sz w:val="18"/>
                <w:szCs w:val="18"/>
                <w:color w:val="auto"/>
              </w:rPr>
              <w:t>Comcast: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New Credit Facility</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7,180.0</w:t>
            </w:r>
          </w:p>
        </w:tc>
        <w:tc>
          <w:tcPr>
            <w:tcW w:w="960" w:type="dxa"/>
            <w:vAlign w:val="bottom"/>
            <w:gridSpan w:val="3"/>
          </w:tcPr>
          <w:p>
            <w:pPr>
              <w:ind w:left="86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7,180.0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liabilities, including capital leases</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Total Comcast</w:t>
            </w:r>
          </w:p>
        </w:tc>
        <w:tc>
          <w:tcPr>
            <w:tcW w:w="2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7,180.0</w:t>
            </w: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6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7,180.0</w:t>
            </w: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90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Comcast Cable: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Guaranteed debt securities</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7,821.7</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315.8</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2,887.6</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4,618.3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Other liabilities, including capital leases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Operating leases</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240" w:type="dxa"/>
            <w:vAlign w:val="bottom"/>
          </w:tcPr>
          <w:p>
            <w:pPr>
              <w:ind w:left="520"/>
              <w:spacing w:after="0"/>
              <w:rPr>
                <w:sz w:val="20"/>
                <w:szCs w:val="20"/>
                <w:color w:val="auto"/>
              </w:rPr>
            </w:pPr>
            <w:r>
              <w:rPr>
                <w:rFonts w:ascii="Arial" w:cs="Arial" w:eastAsia="Arial" w:hAnsi="Arial"/>
                <w:sz w:val="18"/>
                <w:szCs w:val="18"/>
                <w:color w:val="auto"/>
              </w:rPr>
              <w:t>Total Comcast Cable</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7,828.5</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318.6</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2,888.1</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9"/>
              </w:rPr>
              <w:t>4,620.7</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EEEEEE"/>
          </w:tcPr>
          <w:p>
            <w:pPr>
              <w:spacing w:after="0"/>
              <w:rPr>
                <w:sz w:val="20"/>
                <w:szCs w:val="20"/>
                <w:color w:val="auto"/>
              </w:rPr>
            </w:pPr>
            <w:r>
              <w:rPr>
                <w:rFonts w:ascii="Arial" w:cs="Arial" w:eastAsia="Arial" w:hAnsi="Arial"/>
                <w:sz w:val="18"/>
                <w:szCs w:val="18"/>
                <w:color w:val="auto"/>
              </w:rPr>
              <w:t>Comcast Cable Communications Holdings:</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Guaranteed debt securities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3,505.1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9"/>
              </w:rPr>
              <w:t>3,505.1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liabilities, including capital leases</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EEEEEE"/>
          </w:tcPr>
          <w:p>
            <w:pPr>
              <w:ind w:left="520"/>
              <w:spacing w:after="0"/>
              <w:rPr>
                <w:sz w:val="20"/>
                <w:szCs w:val="20"/>
                <w:color w:val="auto"/>
              </w:rPr>
            </w:pPr>
            <w:r>
              <w:rPr>
                <w:rFonts w:ascii="Arial" w:cs="Arial" w:eastAsia="Arial" w:hAnsi="Arial"/>
                <w:sz w:val="18"/>
                <w:szCs w:val="18"/>
                <w:color w:val="auto"/>
                <w:w w:val="96"/>
              </w:rPr>
              <w:t>Total Comcast Cable Communications Holdings</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3,505.1</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3,505.1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Comcast Cable Holdings: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Guaranteed debt securities</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5,883.9</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30.0</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1,748.7</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1,165.5</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2,939.7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Other liabilities, including capital leases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Operating leases</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52.2</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25.8</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240" w:type="dxa"/>
            <w:vAlign w:val="bottom"/>
          </w:tcPr>
          <w:p>
            <w:pPr>
              <w:ind w:left="520"/>
              <w:spacing w:after="0"/>
              <w:rPr>
                <w:sz w:val="20"/>
                <w:szCs w:val="20"/>
                <w:color w:val="auto"/>
              </w:rPr>
            </w:pPr>
            <w:r>
              <w:rPr>
                <w:rFonts w:ascii="Arial" w:cs="Arial" w:eastAsia="Arial" w:hAnsi="Arial"/>
                <w:sz w:val="18"/>
                <w:szCs w:val="18"/>
                <w:color w:val="auto"/>
              </w:rPr>
              <w:t>Total Comcast Cable Holdings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5,936.1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33.6</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1,774.5</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1,181.4</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9"/>
              </w:rPr>
              <w:t>2,946.6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EEEEEE"/>
          </w:tcPr>
          <w:p>
            <w:pPr>
              <w:spacing w:after="0"/>
              <w:rPr>
                <w:sz w:val="20"/>
                <w:szCs w:val="20"/>
                <w:color w:val="auto"/>
              </w:rPr>
            </w:pPr>
            <w:r>
              <w:rPr>
                <w:rFonts w:ascii="Arial" w:cs="Arial" w:eastAsia="Arial" w:hAnsi="Arial"/>
                <w:sz w:val="18"/>
                <w:szCs w:val="18"/>
                <w:color w:val="auto"/>
              </w:rPr>
              <w:t>Comcast MO Group:</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Guaranteed debt securities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302.8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10.4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liabilities, including capital leases</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Total Comcast MO Group</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307.1</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10.9</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82.3</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202.9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Total</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24,756.8</w:t>
            </w:r>
          </w:p>
        </w:tc>
        <w:tc>
          <w:tcPr>
            <w:tcW w:w="960" w:type="dxa"/>
            <w:vAlign w:val="bottom"/>
            <w:gridSpan w:val="3"/>
          </w:tcPr>
          <w:p>
            <w:pPr>
              <w:ind w:left="86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45.6</w:t>
            </w:r>
          </w:p>
        </w:tc>
        <w:tc>
          <w:tcPr>
            <w:tcW w:w="3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9,284.1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4,151.8</w:t>
            </w:r>
          </w:p>
        </w:tc>
        <w:tc>
          <w:tcPr>
            <w:tcW w:w="2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5"/>
              </w:rPr>
              <w:t>11,275.3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EEEEEE"/>
          </w:tcPr>
          <w:p>
            <w:pPr>
              <w:spacing w:after="0"/>
              <w:rPr>
                <w:sz w:val="20"/>
                <w:szCs w:val="20"/>
                <w:color w:val="auto"/>
              </w:rPr>
            </w:pPr>
            <w:r>
              <w:rPr>
                <w:rFonts w:ascii="Arial" w:cs="Arial" w:eastAsia="Arial" w:hAnsi="Arial"/>
                <w:sz w:val="18"/>
                <w:szCs w:val="18"/>
                <w:color w:val="auto"/>
              </w:rPr>
              <w:t>Continental:</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Potentially guaranteed debt securities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1,800.0</w:t>
            </w:r>
          </w:p>
        </w:tc>
        <w:tc>
          <w:tcPr>
            <w:tcW w:w="960" w:type="dxa"/>
            <w:vAlign w:val="bottom"/>
            <w:gridSpan w:val="3"/>
          </w:tcPr>
          <w:p>
            <w:pPr>
              <w:ind w:left="86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875.0</w:t>
            </w: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825.0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liabilities, including capital leases</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0.7</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Total Continental</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1,804.9</w:t>
            </w:r>
          </w:p>
        </w:tc>
        <w:tc>
          <w:tcPr>
            <w:tcW w:w="960" w:type="dxa"/>
            <w:vAlign w:val="bottom"/>
            <w:gridSpan w:val="3"/>
            <w:shd w:val="clear" w:color="auto" w:fill="EEEEEE"/>
          </w:tcPr>
          <w:p>
            <w:pPr>
              <w:ind w:left="86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0.9</w:t>
            </w:r>
          </w:p>
        </w:tc>
        <w:tc>
          <w:tcPr>
            <w:tcW w:w="3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104.0</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875.0</w:t>
            </w:r>
          </w:p>
        </w:tc>
        <w:tc>
          <w:tcPr>
            <w:tcW w:w="28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825.0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3" w:right="239" w:bottom="1440" w:gutter="0" w:footer="0" w:header="0"/>
        </w:sectPr>
      </w:pPr>
    </w:p>
    <w:bookmarkStart w:id="67" w:name="page68"/>
    <w:bookmarkEnd w:id="67"/>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sell the securities being offered hereby in four ways:</w:t>
      </w:r>
    </w:p>
    <w:p>
      <w:pPr>
        <w:spacing w:after="0" w:line="225" w:lineRule="exact"/>
        <w:rPr>
          <w:sz w:val="20"/>
          <w:szCs w:val="20"/>
          <w:color w:val="auto"/>
        </w:rPr>
      </w:pPr>
    </w:p>
    <w:p>
      <w:pPr>
        <w:ind w:left="820" w:hanging="461"/>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may directly solicit offers to purchase securities, or we may designate agents to solicit such offers. We will, in the prospectus supplement relating to such offering, name any agent that could be viewed as an underwriter under the Securities Act of 1933 and describe any commissions we or our trust subsidiaries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2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our agreement with them.</w:t>
      </w:r>
    </w:p>
    <w:p>
      <w:pPr>
        <w:spacing w:after="0" w:line="221"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213"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against certain civil liabilities, including liabilities under the Securities Act of 1933, and may be customers of, engage in transactions with or perform services for us in the ordinary course of business.</w:t>
      </w:r>
    </w:p>
    <w:p>
      <w:pPr>
        <w:spacing w:after="0" w:line="221"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99"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5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to matters governed by Pennsylvania law, Arthur R. Block, Esquire, Senior Vice President, General Counsel and Secretary of Comcast, and as to matters governed by New York and Delaware law, Davis Polk &amp; Wardwell, will pass upon the validity of the securities on our behalf and on behalf of the cable guarantors, although we may use other counsel, including our employees, to do so. Unless otherwise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indicated in the accompanying prospectus supplement, Cahill Gordon &amp; Reindel will represent the underwriters.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258"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The balance sheet of Comcast at December 31, 2001 in Comcast’s Current Report on Form 8-K/A dated November 18, 2002 filed on December 16, 2002 has been audited by Deloitte &amp; Touche LLP, independent auditors, as stated in their report, which is incorporated herein by reference, and has been so incorporated herein in reliance upon the report of such firm given upon their authority as experts in accounting and auditing.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Holdings</w:t>
      </w:r>
    </w:p>
    <w:p>
      <w:pPr>
        <w:spacing w:after="0" w:line="25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consolidated financial statements and the related financial statement schedule of Comcast Holdings incorporated in this prospectus by reference from Comcast’s Current Report on Form 8-K/A dated November 18, 2002 filed on December 16, 2002 have been audited by Deloitte &amp; Touche LLP, independent auditors, as stated in their reports (which report on the financial statements expresses an unqualified opinion and includes an explanatory paragraph related to the adoption of Statement of Financial Accounting Standards No. 133, “Accounting for Derivative Instruments and Hedging Activities,” as amended, effective January 1, 2001), which are incorporated herein by reference, and have been so incorporated in reliance upon the report of such firm given upon their authority as experts in accounting and auditing.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Cable</w:t>
      </w:r>
    </w:p>
    <w:p>
      <w:pPr>
        <w:spacing w:after="0" w:line="25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financial statements and the related financial statement schedule of Comcast Cable, an indirect wholly-owned subsidiary of Comcast, and subsidiaries incorporated in this prospectus by reference from Comcast Cable’s Annual Report on Form 10-K for the year ended December 31, 2001 have been audited by Deloitte &amp; Touche LLP, independent auditors, as stated in their reports (which report on the financial statements expresses an unqualified opinion and includes an explanatory paragraph related to the adoption of Statement of Financial Accounting Standards No. 133, “Accounting for Derivative Instruments and Hedging Activities,” as amended, effective January 1, 2001), which are incorporated herein by reference, and have been so incorporated in reliance upon the reports of such firm given upon their authority as experts in accounting and auditing.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AT&amp;T Broadband Group</w:t>
      </w:r>
    </w:p>
    <w:p>
      <w:pPr>
        <w:spacing w:after="0" w:line="258" w:lineRule="exact"/>
        <w:rPr>
          <w:sz w:val="20"/>
          <w:szCs w:val="20"/>
          <w:color w:val="auto"/>
        </w:rPr>
      </w:pPr>
    </w:p>
    <w:p>
      <w:pPr>
        <w:ind w:right="200" w:firstLine="324"/>
        <w:spacing w:after="0" w:line="306" w:lineRule="auto"/>
        <w:rPr>
          <w:sz w:val="20"/>
          <w:szCs w:val="20"/>
          <w:color w:val="auto"/>
        </w:rPr>
      </w:pPr>
      <w:r>
        <w:rPr>
          <w:rFonts w:ascii="Arial" w:cs="Arial" w:eastAsia="Arial" w:hAnsi="Arial"/>
          <w:sz w:val="16"/>
          <w:szCs w:val="16"/>
          <w:color w:val="auto"/>
        </w:rPr>
        <w:t>The audited historical combined financial statements of AT&amp;T Broadband Group incorporated in this prospectus by reference to Comcast’s Current Report on Form 8-K/A dated November 18, 2002 filed on December 16, 2002, have been so incorporated in reliance on the report of PricewaterhouseCoopers LLP, independent accountants, given on the authority of said firm as experts in accounting and auditing.</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5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along with the cable guarantors, have filed this prospectus as part of a combined registration statement on Form S-3 with the SEC. The registration statement contains exhibits and other information that are not contained in this prospectus. In particular, the registration statement includes as exhibits forms of our underwriting agreements, copies of our senior indenture and subordinated indenture, forms of our senior debt security and subordinated debt security, a form of preferred security, a form of unit agreement, a form of purchase contract agreement, a form of pledge agreement, a form of warrant agreement for warrants sold separately, a form of warrant for warrants sold separately, a form of warrant agreement for warrants sold attached to securities, a form of warrant for warrants sold attached to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69" w:name="page70"/>
    <w:bookmarkEnd w:id="69"/>
    <w:p>
      <w:pPr>
        <w:spacing w:after="0" w:line="259" w:lineRule="auto"/>
        <w:rPr>
          <w:sz w:val="20"/>
          <w:szCs w:val="20"/>
          <w:color w:val="auto"/>
        </w:rPr>
      </w:pPr>
      <w:r>
        <w:rPr>
          <w:rFonts w:ascii="Arial" w:cs="Arial" w:eastAsia="Arial" w:hAnsi="Arial"/>
          <w:sz w:val="18"/>
          <w:szCs w:val="18"/>
          <w:color w:val="auto"/>
        </w:rPr>
        <w:t>securities, a form of deposit agreement and a form of depositary share. Our descriptions in this prospectus of the provisions of documents filed as an exhibit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221"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 xml:space="preserve">Comcast Cable Communications Holdings, Comcast MO Group and Comcast Cable Holdings do not currently file information with the SEC. We, and Comcast Holdings as our predecessor, file annual, quarterly and special reports and other information with the SEC. Although Comcast Cable, which currently files annual, quarterly and special reports and other information with the SEC, and the other cable guarantors would normally be required to file information with the SEC on an ongoing basis, we expect that Comcast Cable and the cable guarantors will be exempt from this filing obligation for as long as we continue to file our information with the SEC. You may read and copy any document we, Comcast Holdings or Comcast Cable file at the SEC’s public reference room located at 450 Fifth Street, N.W., Washington, D.C. 20549. Please call the SEC at 1-800-SEC-0330 for further information on the public reference rooms. Our SEC filings, including the complete registration statement and all of the exhibits to it, and the SEC filings of Comcast Holdings and Comcast Cable are available through the SEC’s web 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99"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You should rely only on the information contained in this prospectus, in the accompanying prospectus supplement and in material we, Comcast Holdings and Comcast Cable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the prospectus supplement and our filings and the filings of Comcast Holdings and Comcast Cable with the SEC is accurate only as of its date, regardless of the time of delivery of this prospectus and the prospectus supplement or of any sale of the securities.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58" w:lineRule="exact"/>
        <w:rPr>
          <w:sz w:val="20"/>
          <w:szCs w:val="20"/>
          <w:color w:val="auto"/>
        </w:rPr>
      </w:pPr>
    </w:p>
    <w:p>
      <w:pPr>
        <w:ind w:right="160" w:firstLine="324"/>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This prospectus incorporates by reference the documents set forth below that we, Comcast Holdings and Comcast Cable have previously filed with the SEC.</w:t>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SEC Filings (File No. 333-82460)</w:t>
      </w:r>
    </w:p>
    <w:p>
      <w:pPr>
        <w:spacing w:after="0" w:line="225" w:lineRule="exact"/>
        <w:rPr>
          <w:sz w:val="20"/>
          <w:szCs w:val="20"/>
          <w:color w:val="auto"/>
        </w:rPr>
      </w:pPr>
    </w:p>
    <w:p>
      <w:pPr>
        <w:ind w:left="820" w:hanging="461"/>
        <w:spacing w:after="0"/>
        <w:tabs>
          <w:tab w:leader="none" w:pos="8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Current Report on Form 8-K filed on October 30, 2002 and Current Report on Form 8-K/ A dated November 18, 2002 filed on December 16, 2002.</w:t>
      </w:r>
    </w:p>
    <w:p>
      <w:pPr>
        <w:spacing w:after="0" w:line="3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Holdings SEC Filings (File No. 001-15471)</w:t>
      </w:r>
    </w:p>
    <w:p>
      <w:pPr>
        <w:spacing w:after="0" w:line="225" w:lineRule="exact"/>
        <w:rPr>
          <w:sz w:val="20"/>
          <w:szCs w:val="20"/>
          <w:color w:val="auto"/>
        </w:rPr>
      </w:pPr>
    </w:p>
    <w:p>
      <w:pPr>
        <w:ind w:left="820" w:hanging="461"/>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Annual Report on Form 10-K (except for Item 8) for the year ended December 31, 2001, filed on March 29, 2002.</w:t>
      </w:r>
    </w:p>
    <w:p>
      <w:pPr>
        <w:spacing w:after="0" w:line="279" w:lineRule="exact"/>
        <w:rPr>
          <w:rFonts w:ascii="Arial" w:cs="Arial" w:eastAsia="Arial" w:hAnsi="Arial"/>
          <w:sz w:val="18"/>
          <w:szCs w:val="18"/>
          <w:color w:val="auto"/>
        </w:rPr>
      </w:pPr>
    </w:p>
    <w:p>
      <w:pPr>
        <w:ind w:left="820" w:right="620" w:hanging="461"/>
        <w:spacing w:after="0" w:line="268"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Quarterly Reports on Form 10-Q for the quarters ended March 31, 2002, filed on May 15, 2002, June 30, 2002, filed on August 14, 2002, and September 30, 2002, filed on October 30, 2002.</w:t>
      </w:r>
    </w:p>
    <w:p>
      <w:pPr>
        <w:spacing w:after="0" w:line="212" w:lineRule="exact"/>
        <w:rPr>
          <w:rFonts w:ascii="Arial" w:cs="Arial" w:eastAsia="Arial" w:hAnsi="Arial"/>
          <w:sz w:val="18"/>
          <w:szCs w:val="18"/>
          <w:color w:val="auto"/>
        </w:rPr>
      </w:pPr>
    </w:p>
    <w:p>
      <w:pPr>
        <w:jc w:val="center"/>
        <w:ind w:left="5620" w:right="260" w:hanging="5261"/>
        <w:spacing w:after="0" w:line="550" w:lineRule="auto"/>
        <w:tabs>
          <w:tab w:leader="none" w:pos="812" w:val="left"/>
        </w:tabs>
        <w:numPr>
          <w:ilvl w:val="0"/>
          <w:numId w:val="60"/>
        </w:numPr>
        <w:rPr>
          <w:rFonts w:ascii="Arial" w:cs="Arial" w:eastAsia="Arial" w:hAnsi="Arial"/>
          <w:sz w:val="18"/>
          <w:szCs w:val="18"/>
          <w:color w:val="auto"/>
        </w:rPr>
      </w:pPr>
      <w:r>
        <w:rPr>
          <w:rFonts w:ascii="Arial" w:cs="Arial" w:eastAsia="Arial" w:hAnsi="Arial"/>
          <w:sz w:val="18"/>
          <w:szCs w:val="18"/>
          <w:color w:val="auto"/>
        </w:rPr>
        <w:t>Current Reports on Form 8-K filed on May 3, 2002, July 10, 2002, August 1, 2002, September 26, 2002, October 4, 2002 and November 18, 2002.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70" w:name="page71"/>
    <w:bookmarkEnd w:id="70"/>
    <w:p>
      <w:pPr>
        <w:ind w:left="340"/>
        <w:spacing w:after="0"/>
        <w:rPr>
          <w:sz w:val="20"/>
          <w:szCs w:val="20"/>
          <w:color w:val="auto"/>
        </w:rPr>
      </w:pPr>
      <w:r>
        <w:rPr>
          <w:rFonts w:ascii="Arial" w:cs="Arial" w:eastAsia="Arial" w:hAnsi="Arial"/>
          <w:sz w:val="18"/>
          <w:szCs w:val="18"/>
          <w:color w:val="auto"/>
        </w:rPr>
        <w:t>Comcast Cable SEC Filings (File No. 333-30745)</w:t>
      </w:r>
    </w:p>
    <w:p>
      <w:pPr>
        <w:spacing w:after="0" w:line="225" w:lineRule="exact"/>
        <w:rPr>
          <w:sz w:val="20"/>
          <w:szCs w:val="20"/>
          <w:color w:val="auto"/>
        </w:rPr>
      </w:pPr>
    </w:p>
    <w:p>
      <w:pPr>
        <w:ind w:left="820" w:hanging="461"/>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2001, filed on March 29, 2002.</w:t>
      </w:r>
    </w:p>
    <w:p>
      <w:pPr>
        <w:spacing w:after="0" w:line="279" w:lineRule="exact"/>
        <w:rPr>
          <w:rFonts w:ascii="Arial" w:cs="Arial" w:eastAsia="Arial" w:hAnsi="Arial"/>
          <w:sz w:val="18"/>
          <w:szCs w:val="18"/>
          <w:color w:val="auto"/>
        </w:rPr>
      </w:pPr>
    </w:p>
    <w:p>
      <w:pPr>
        <w:ind w:left="820" w:right="620" w:hanging="461"/>
        <w:spacing w:after="0" w:line="268" w:lineRule="auto"/>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Quarterly Reports on Form 10-Q for the quarters ended March 31, 2002, filed on May 15, 2002, June 30, 2002, filed on August 14, 2002, and September 30, 2002, filed on November 13, 2002.</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Current Report on Form 8-K filed on November 18, 2002.</w:t>
      </w:r>
    </w:p>
    <w:p>
      <w:pPr>
        <w:spacing w:after="0" w:line="279"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Sections 13(a), 13(c), 14 or 15(d) of the Securities Exchange Act of 1934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94" w:lineRule="exact"/>
        <w:rPr>
          <w:sz w:val="20"/>
          <w:szCs w:val="20"/>
          <w:color w:val="auto"/>
        </w:rPr>
      </w:pPr>
    </w:p>
    <w:p>
      <w:pPr>
        <w:ind w:right="660" w:firstLine="324"/>
        <w:spacing w:after="0" w:line="268" w:lineRule="auto"/>
        <w:rPr>
          <w:sz w:val="20"/>
          <w:szCs w:val="20"/>
          <w:color w:val="auto"/>
        </w:rPr>
      </w:pPr>
      <w:r>
        <w:rPr>
          <w:rFonts w:ascii="Arial" w:cs="Arial" w:eastAsia="Arial" w:hAnsi="Arial"/>
          <w:sz w:val="18"/>
          <w:szCs w:val="18"/>
          <w:color w:val="auto"/>
        </w:rPr>
        <w:t>We will provide free copies of any of those documents, if you write or telephone us at: 1500 Market Street, Philadelphia, Pennsylvania 19102-2148, (215) 665-1700.</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8" w:right="259"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637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680720</wp:posOffset>
            </wp:positionV>
            <wp:extent cx="72637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3064510</wp:posOffset>
            </wp:positionH>
            <wp:positionV relativeFrom="page">
              <wp:posOffset>826770</wp:posOffset>
            </wp:positionV>
            <wp:extent cx="1440815" cy="3689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440815" cy="36893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3880"/>
        <w:spacing w:after="0"/>
        <w:rPr>
          <w:sz w:val="20"/>
          <w:szCs w:val="20"/>
          <w:color w:val="auto"/>
        </w:rPr>
      </w:pPr>
      <w:r>
        <w:rPr>
          <w:rFonts w:ascii="Arial" w:cs="Arial" w:eastAsia="Arial" w:hAnsi="Arial"/>
          <w:sz w:val="24"/>
          <w:szCs w:val="24"/>
          <w:b w:val="1"/>
          <w:bCs w:val="1"/>
          <w:color w:val="auto"/>
        </w:rPr>
        <w:t>$750,000,000 5.50% Notes due 2011</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24"/>
          <w:szCs w:val="24"/>
          <w:b w:val="1"/>
          <w:bCs w:val="1"/>
          <w:color w:val="auto"/>
        </w:rPr>
        <w:t>$750,000,000 7.05% Notes due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160020</wp:posOffset>
            </wp:positionV>
            <wp:extent cx="30613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18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5"/>
              </w:rPr>
              <w:t>PROSPECTUS SUPPLEMENT</w:t>
            </w: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4"/>
        </w:trPr>
        <w:tc>
          <w:tcPr>
            <w:tcW w:w="3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80" w:type="dxa"/>
            <w:vAlign w:val="bottom"/>
            <w:gridSpan w:val="2"/>
          </w:tcPr>
          <w:p>
            <w:pPr>
              <w:jc w:val="center"/>
              <w:ind w:right="620"/>
              <w:spacing w:after="0"/>
              <w:rPr>
                <w:sz w:val="20"/>
                <w:szCs w:val="20"/>
                <w:color w:val="auto"/>
              </w:rPr>
            </w:pPr>
            <w:r>
              <w:rPr>
                <w:rFonts w:ascii="Arial" w:cs="Arial" w:eastAsia="Arial" w:hAnsi="Arial"/>
                <w:sz w:val="18"/>
                <w:szCs w:val="18"/>
                <w:i w:val="1"/>
                <w:iCs w:val="1"/>
                <w:color w:val="auto"/>
                <w:w w:val="89"/>
              </w:rPr>
              <w:t>Joint Book-Running Managers</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1"/>
        </w:trPr>
        <w:tc>
          <w:tcPr>
            <w:tcW w:w="3300" w:type="dxa"/>
            <w:vAlign w:val="bottom"/>
          </w:tcPr>
          <w:p>
            <w:pPr>
              <w:spacing w:after="0"/>
              <w:rPr>
                <w:sz w:val="20"/>
                <w:szCs w:val="20"/>
                <w:color w:val="auto"/>
              </w:rPr>
            </w:pPr>
            <w:r>
              <w:rPr>
                <w:rFonts w:ascii="Arial" w:cs="Arial" w:eastAsia="Arial" w:hAnsi="Arial"/>
                <w:sz w:val="32"/>
                <w:szCs w:val="32"/>
                <w:b w:val="1"/>
                <w:bCs w:val="1"/>
                <w:color w:val="auto"/>
              </w:rPr>
              <w:t>JPMorgan</w:t>
            </w:r>
          </w:p>
        </w:tc>
        <w:tc>
          <w:tcPr>
            <w:tcW w:w="640" w:type="dxa"/>
            <w:vAlign w:val="bottom"/>
          </w:tcPr>
          <w:p>
            <w:pPr>
              <w:spacing w:after="0"/>
              <w:rPr>
                <w:sz w:val="24"/>
                <w:szCs w:val="24"/>
                <w:color w:val="auto"/>
              </w:rPr>
            </w:pPr>
          </w:p>
        </w:tc>
        <w:tc>
          <w:tcPr>
            <w:tcW w:w="4180" w:type="dxa"/>
            <w:vAlign w:val="bottom"/>
            <w:gridSpan w:val="2"/>
          </w:tcPr>
          <w:p>
            <w:pPr>
              <w:jc w:val="center"/>
              <w:ind w:right="640"/>
              <w:spacing w:after="0"/>
              <w:rPr>
                <w:sz w:val="20"/>
                <w:szCs w:val="20"/>
                <w:color w:val="auto"/>
              </w:rPr>
            </w:pPr>
            <w:r>
              <w:rPr>
                <w:rFonts w:ascii="Arial" w:cs="Arial" w:eastAsia="Arial" w:hAnsi="Arial"/>
                <w:sz w:val="32"/>
                <w:szCs w:val="32"/>
                <w:b w:val="1"/>
                <w:bCs w:val="1"/>
                <w:color w:val="auto"/>
                <w:w w:val="98"/>
              </w:rPr>
              <w:t>Merrill Lynch &amp; Co.</w:t>
            </w:r>
          </w:p>
        </w:tc>
        <w:tc>
          <w:tcPr>
            <w:tcW w:w="3320" w:type="dxa"/>
            <w:vAlign w:val="bottom"/>
          </w:tcPr>
          <w:p>
            <w:pPr>
              <w:jc w:val="right"/>
              <w:spacing w:after="0"/>
              <w:rPr>
                <w:sz w:val="20"/>
                <w:szCs w:val="20"/>
                <w:color w:val="auto"/>
              </w:rPr>
            </w:pPr>
            <w:r>
              <w:rPr>
                <w:rFonts w:ascii="Arial" w:cs="Arial" w:eastAsia="Arial" w:hAnsi="Arial"/>
                <w:sz w:val="32"/>
                <w:szCs w:val="32"/>
                <w:b w:val="1"/>
                <w:bCs w:val="1"/>
                <w:color w:val="auto"/>
              </w:rPr>
              <w:t>Morgan Stanley</w:t>
            </w:r>
          </w:p>
        </w:tc>
        <w:tc>
          <w:tcPr>
            <w:tcW w:w="0" w:type="dxa"/>
            <w:vAlign w:val="bottom"/>
          </w:tcPr>
          <w:p>
            <w:pPr>
              <w:spacing w:after="0"/>
              <w:rPr>
                <w:sz w:val="1"/>
                <w:szCs w:val="1"/>
                <w:color w:val="auto"/>
              </w:rPr>
            </w:pPr>
          </w:p>
        </w:tc>
      </w:tr>
      <w:tr>
        <w:trPr>
          <w:trHeight w:val="201"/>
        </w:trPr>
        <w:tc>
          <w:tcPr>
            <w:tcW w:w="3300" w:type="dxa"/>
            <w:vAlign w:val="bottom"/>
            <w:vMerge w:val="restart"/>
          </w:tcPr>
          <w:p>
            <w:pPr>
              <w:spacing w:after="0"/>
              <w:rPr>
                <w:sz w:val="20"/>
                <w:szCs w:val="20"/>
                <w:color w:val="auto"/>
              </w:rPr>
            </w:pPr>
            <w:r>
              <w:rPr>
                <w:rFonts w:ascii="Arial" w:cs="Arial" w:eastAsia="Arial" w:hAnsi="Arial"/>
                <w:sz w:val="22"/>
                <w:szCs w:val="22"/>
                <w:b w:val="1"/>
                <w:bCs w:val="1"/>
                <w:color w:val="auto"/>
                <w:w w:val="98"/>
              </w:rPr>
              <w:t>Banc of America Securities LLC</w:t>
            </w:r>
          </w:p>
        </w:tc>
        <w:tc>
          <w:tcPr>
            <w:tcW w:w="640" w:type="dxa"/>
            <w:vAlign w:val="bottom"/>
          </w:tcPr>
          <w:p>
            <w:pPr>
              <w:spacing w:after="0"/>
              <w:rPr>
                <w:sz w:val="17"/>
                <w:szCs w:val="17"/>
                <w:color w:val="auto"/>
              </w:rPr>
            </w:pPr>
          </w:p>
        </w:tc>
        <w:tc>
          <w:tcPr>
            <w:tcW w:w="3540" w:type="dxa"/>
            <w:vAlign w:val="bottom"/>
            <w:tcBorders>
              <w:bottom w:val="single" w:sz="8" w:color="808080"/>
            </w:tcBorders>
          </w:tcPr>
          <w:p>
            <w:pPr>
              <w:spacing w:after="0"/>
              <w:rPr>
                <w:sz w:val="17"/>
                <w:szCs w:val="17"/>
                <w:color w:val="auto"/>
              </w:rPr>
            </w:pPr>
          </w:p>
        </w:tc>
        <w:tc>
          <w:tcPr>
            <w:tcW w:w="640" w:type="dxa"/>
            <w:vAlign w:val="bottom"/>
          </w:tcPr>
          <w:p>
            <w:pPr>
              <w:spacing w:after="0"/>
              <w:rPr>
                <w:sz w:val="17"/>
                <w:szCs w:val="17"/>
                <w:color w:val="auto"/>
              </w:rPr>
            </w:pPr>
          </w:p>
        </w:tc>
        <w:tc>
          <w:tcPr>
            <w:tcW w:w="332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Salomon Smith Barney</w:t>
            </w:r>
          </w:p>
        </w:tc>
        <w:tc>
          <w:tcPr>
            <w:tcW w:w="0" w:type="dxa"/>
            <w:vAlign w:val="bottom"/>
          </w:tcPr>
          <w:p>
            <w:pPr>
              <w:spacing w:after="0"/>
              <w:rPr>
                <w:sz w:val="1"/>
                <w:szCs w:val="1"/>
                <w:color w:val="auto"/>
              </w:rPr>
            </w:pPr>
          </w:p>
        </w:tc>
      </w:tr>
      <w:tr>
        <w:trPr>
          <w:trHeight w:val="598"/>
        </w:trPr>
        <w:tc>
          <w:tcPr>
            <w:tcW w:w="33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3300" w:type="dxa"/>
            <w:vAlign w:val="bottom"/>
          </w:tcPr>
          <w:p>
            <w:pPr>
              <w:jc w:val="center"/>
              <w:ind w:left="496"/>
              <w:spacing w:after="0"/>
              <w:rPr>
                <w:sz w:val="20"/>
                <w:szCs w:val="20"/>
                <w:color w:val="auto"/>
              </w:rPr>
            </w:pPr>
            <w:r>
              <w:rPr>
                <w:rFonts w:ascii="Arial" w:cs="Arial" w:eastAsia="Arial" w:hAnsi="Arial"/>
                <w:sz w:val="18"/>
                <w:szCs w:val="18"/>
                <w:b w:val="1"/>
                <w:bCs w:val="1"/>
                <w:color w:val="auto"/>
                <w:w w:val="94"/>
              </w:rPr>
              <w:t>ABN AMRO Incorporated</w:t>
            </w:r>
          </w:p>
        </w:tc>
        <w:tc>
          <w:tcPr>
            <w:tcW w:w="640" w:type="dxa"/>
            <w:vAlign w:val="bottom"/>
          </w:tcPr>
          <w:p>
            <w:pPr>
              <w:spacing w:after="0"/>
              <w:rPr>
                <w:sz w:val="24"/>
                <w:szCs w:val="24"/>
                <w:color w:val="auto"/>
              </w:rPr>
            </w:pPr>
          </w:p>
        </w:tc>
        <w:tc>
          <w:tcPr>
            <w:tcW w:w="4180" w:type="dxa"/>
            <w:vAlign w:val="bottom"/>
            <w:gridSpan w:val="2"/>
          </w:tcPr>
          <w:p>
            <w:pPr>
              <w:jc w:val="center"/>
              <w:ind w:left="103"/>
              <w:spacing w:after="0"/>
              <w:rPr>
                <w:sz w:val="20"/>
                <w:szCs w:val="20"/>
                <w:color w:val="auto"/>
              </w:rPr>
            </w:pPr>
            <w:r>
              <w:rPr>
                <w:rFonts w:ascii="Arial" w:cs="Arial" w:eastAsia="Arial" w:hAnsi="Arial"/>
                <w:sz w:val="18"/>
                <w:szCs w:val="18"/>
                <w:b w:val="1"/>
                <w:bCs w:val="1"/>
                <w:color w:val="auto"/>
                <w:w w:val="90"/>
              </w:rPr>
              <w:t>Banc One Capital Markets, Inc.</w:t>
            </w:r>
          </w:p>
        </w:tc>
        <w:tc>
          <w:tcPr>
            <w:tcW w:w="3320" w:type="dxa"/>
            <w:vAlign w:val="bottom"/>
          </w:tcPr>
          <w:p>
            <w:pPr>
              <w:jc w:val="center"/>
              <w:ind w:left="96"/>
              <w:spacing w:after="0"/>
              <w:rPr>
                <w:sz w:val="20"/>
                <w:szCs w:val="20"/>
                <w:color w:val="auto"/>
              </w:rPr>
            </w:pPr>
            <w:r>
              <w:rPr>
                <w:rFonts w:ascii="Arial" w:cs="Arial" w:eastAsia="Arial" w:hAnsi="Arial"/>
                <w:sz w:val="18"/>
                <w:szCs w:val="18"/>
                <w:b w:val="1"/>
                <w:bCs w:val="1"/>
                <w:color w:val="auto"/>
                <w:w w:val="88"/>
              </w:rPr>
              <w:t>Barclays Capital</w:t>
            </w:r>
          </w:p>
        </w:tc>
        <w:tc>
          <w:tcPr>
            <w:tcW w:w="0" w:type="dxa"/>
            <w:vAlign w:val="bottom"/>
          </w:tcPr>
          <w:p>
            <w:pPr>
              <w:spacing w:after="0"/>
              <w:rPr>
                <w:sz w:val="1"/>
                <w:szCs w:val="1"/>
                <w:color w:val="auto"/>
              </w:rPr>
            </w:pPr>
          </w:p>
        </w:tc>
      </w:tr>
      <w:tr>
        <w:trPr>
          <w:trHeight w:val="216"/>
        </w:trPr>
        <w:tc>
          <w:tcPr>
            <w:tcW w:w="3300" w:type="dxa"/>
            <w:vAlign w:val="bottom"/>
          </w:tcPr>
          <w:p>
            <w:pPr>
              <w:jc w:val="center"/>
              <w:ind w:left="496"/>
              <w:spacing w:after="0"/>
              <w:rPr>
                <w:sz w:val="20"/>
                <w:szCs w:val="20"/>
                <w:color w:val="auto"/>
              </w:rPr>
            </w:pPr>
            <w:r>
              <w:rPr>
                <w:rFonts w:ascii="Arial" w:cs="Arial" w:eastAsia="Arial" w:hAnsi="Arial"/>
                <w:sz w:val="18"/>
                <w:szCs w:val="18"/>
                <w:b w:val="1"/>
                <w:bCs w:val="1"/>
                <w:color w:val="auto"/>
                <w:w w:val="91"/>
              </w:rPr>
              <w:t>BNP PARIBAS</w:t>
            </w:r>
          </w:p>
        </w:tc>
        <w:tc>
          <w:tcPr>
            <w:tcW w:w="640" w:type="dxa"/>
            <w:vAlign w:val="bottom"/>
          </w:tcPr>
          <w:p>
            <w:pPr>
              <w:spacing w:after="0"/>
              <w:rPr>
                <w:sz w:val="18"/>
                <w:szCs w:val="18"/>
                <w:color w:val="auto"/>
              </w:rPr>
            </w:pPr>
          </w:p>
        </w:tc>
        <w:tc>
          <w:tcPr>
            <w:tcW w:w="4180" w:type="dxa"/>
            <w:vAlign w:val="bottom"/>
            <w:gridSpan w:val="2"/>
          </w:tcPr>
          <w:p>
            <w:pPr>
              <w:jc w:val="center"/>
              <w:ind w:left="103"/>
              <w:spacing w:after="0"/>
              <w:rPr>
                <w:sz w:val="20"/>
                <w:szCs w:val="20"/>
                <w:color w:val="auto"/>
              </w:rPr>
            </w:pPr>
            <w:r>
              <w:rPr>
                <w:rFonts w:ascii="Arial" w:cs="Arial" w:eastAsia="Arial" w:hAnsi="Arial"/>
                <w:sz w:val="18"/>
                <w:szCs w:val="18"/>
                <w:b w:val="1"/>
                <w:bCs w:val="1"/>
                <w:color w:val="auto"/>
                <w:w w:val="93"/>
              </w:rPr>
              <w:t>BNY Capital Markets, Inc.</w:t>
            </w:r>
          </w:p>
        </w:tc>
        <w:tc>
          <w:tcPr>
            <w:tcW w:w="3320" w:type="dxa"/>
            <w:vAlign w:val="bottom"/>
          </w:tcPr>
          <w:p>
            <w:pPr>
              <w:jc w:val="center"/>
              <w:ind w:left="96"/>
              <w:spacing w:after="0"/>
              <w:rPr>
                <w:sz w:val="20"/>
                <w:szCs w:val="20"/>
                <w:color w:val="auto"/>
              </w:rPr>
            </w:pPr>
            <w:r>
              <w:rPr>
                <w:rFonts w:ascii="Arial" w:cs="Arial" w:eastAsia="Arial" w:hAnsi="Arial"/>
                <w:sz w:val="18"/>
                <w:szCs w:val="18"/>
                <w:b w:val="1"/>
                <w:bCs w:val="1"/>
                <w:color w:val="auto"/>
                <w:w w:val="91"/>
              </w:rPr>
              <w:t>Dresdner Kleinwort</w:t>
            </w:r>
          </w:p>
        </w:tc>
        <w:tc>
          <w:tcPr>
            <w:tcW w:w="0" w:type="dxa"/>
            <w:vAlign w:val="bottom"/>
          </w:tcPr>
          <w:p>
            <w:pPr>
              <w:spacing w:after="0"/>
              <w:rPr>
                <w:sz w:val="1"/>
                <w:szCs w:val="1"/>
                <w:color w:val="auto"/>
              </w:rPr>
            </w:pPr>
          </w:p>
        </w:tc>
      </w:tr>
      <w:tr>
        <w:trPr>
          <w:trHeight w:val="216"/>
        </w:trPr>
        <w:tc>
          <w:tcPr>
            <w:tcW w:w="3300" w:type="dxa"/>
            <w:vAlign w:val="bottom"/>
          </w:tcPr>
          <w:p>
            <w:pPr>
              <w:jc w:val="center"/>
              <w:ind w:left="496"/>
              <w:spacing w:after="0"/>
              <w:rPr>
                <w:sz w:val="20"/>
                <w:szCs w:val="20"/>
                <w:color w:val="auto"/>
              </w:rPr>
            </w:pPr>
            <w:r>
              <w:rPr>
                <w:rFonts w:ascii="Arial" w:cs="Arial" w:eastAsia="Arial" w:hAnsi="Arial"/>
                <w:sz w:val="18"/>
                <w:szCs w:val="18"/>
                <w:b w:val="1"/>
                <w:bCs w:val="1"/>
                <w:color w:val="auto"/>
                <w:w w:val="85"/>
              </w:rPr>
              <w:t>Deutsche Bank Securities</w:t>
            </w:r>
          </w:p>
        </w:tc>
        <w:tc>
          <w:tcPr>
            <w:tcW w:w="640" w:type="dxa"/>
            <w:vAlign w:val="bottom"/>
          </w:tcPr>
          <w:p>
            <w:pPr>
              <w:spacing w:after="0"/>
              <w:rPr>
                <w:sz w:val="18"/>
                <w:szCs w:val="18"/>
                <w:color w:val="auto"/>
              </w:rPr>
            </w:pPr>
          </w:p>
        </w:tc>
        <w:tc>
          <w:tcPr>
            <w:tcW w:w="4180" w:type="dxa"/>
            <w:vAlign w:val="bottom"/>
            <w:gridSpan w:val="2"/>
          </w:tcPr>
          <w:p>
            <w:pPr>
              <w:jc w:val="center"/>
              <w:ind w:left="83"/>
              <w:spacing w:after="0"/>
              <w:rPr>
                <w:sz w:val="20"/>
                <w:szCs w:val="20"/>
                <w:color w:val="auto"/>
              </w:rPr>
            </w:pPr>
            <w:r>
              <w:rPr>
                <w:rFonts w:ascii="Arial" w:cs="Arial" w:eastAsia="Arial" w:hAnsi="Arial"/>
                <w:sz w:val="18"/>
                <w:szCs w:val="18"/>
                <w:b w:val="1"/>
                <w:bCs w:val="1"/>
                <w:color w:val="auto"/>
                <w:w w:val="87"/>
              </w:rPr>
              <w:t>Fleet Securities, Inc.</w:t>
            </w:r>
          </w:p>
        </w:tc>
        <w:tc>
          <w:tcPr>
            <w:tcW w:w="3320" w:type="dxa"/>
            <w:vAlign w:val="bottom"/>
          </w:tcPr>
          <w:p>
            <w:pPr>
              <w:jc w:val="center"/>
              <w:ind w:left="96"/>
              <w:spacing w:after="0"/>
              <w:rPr>
                <w:sz w:val="20"/>
                <w:szCs w:val="20"/>
                <w:color w:val="auto"/>
              </w:rPr>
            </w:pPr>
            <w:r>
              <w:rPr>
                <w:rFonts w:ascii="Arial" w:cs="Arial" w:eastAsia="Arial" w:hAnsi="Arial"/>
                <w:sz w:val="18"/>
                <w:szCs w:val="18"/>
                <w:b w:val="1"/>
                <w:bCs w:val="1"/>
                <w:color w:val="auto"/>
                <w:w w:val="82"/>
              </w:rPr>
              <w:t>Wasserstein</w:t>
            </w:r>
          </w:p>
        </w:tc>
        <w:tc>
          <w:tcPr>
            <w:tcW w:w="0" w:type="dxa"/>
            <w:vAlign w:val="bottom"/>
          </w:tcPr>
          <w:p>
            <w:pPr>
              <w:spacing w:after="0"/>
              <w:rPr>
                <w:sz w:val="1"/>
                <w:szCs w:val="1"/>
                <w:color w:val="auto"/>
              </w:rPr>
            </w:pPr>
          </w:p>
        </w:tc>
      </w:tr>
      <w:tr>
        <w:trPr>
          <w:trHeight w:val="228"/>
        </w:trPr>
        <w:tc>
          <w:tcPr>
            <w:tcW w:w="3300" w:type="dxa"/>
            <w:vAlign w:val="bottom"/>
          </w:tcPr>
          <w:p>
            <w:pPr>
              <w:jc w:val="center"/>
              <w:ind w:left="496"/>
              <w:spacing w:after="0"/>
              <w:rPr>
                <w:sz w:val="20"/>
                <w:szCs w:val="20"/>
                <w:color w:val="auto"/>
              </w:rPr>
            </w:pPr>
            <w:r>
              <w:rPr>
                <w:rFonts w:ascii="Arial" w:cs="Arial" w:eastAsia="Arial" w:hAnsi="Arial"/>
                <w:sz w:val="18"/>
                <w:szCs w:val="18"/>
                <w:b w:val="1"/>
                <w:bCs w:val="1"/>
                <w:color w:val="auto"/>
                <w:w w:val="88"/>
              </w:rPr>
              <w:t>The Royal Bank of Scotland</w:t>
            </w:r>
          </w:p>
        </w:tc>
        <w:tc>
          <w:tcPr>
            <w:tcW w:w="640" w:type="dxa"/>
            <w:vAlign w:val="bottom"/>
          </w:tcPr>
          <w:p>
            <w:pPr>
              <w:spacing w:after="0"/>
              <w:rPr>
                <w:sz w:val="19"/>
                <w:szCs w:val="19"/>
                <w:color w:val="auto"/>
              </w:rPr>
            </w:pPr>
          </w:p>
        </w:tc>
        <w:tc>
          <w:tcPr>
            <w:tcW w:w="4180" w:type="dxa"/>
            <w:vAlign w:val="bottom"/>
            <w:gridSpan w:val="2"/>
          </w:tcPr>
          <w:p>
            <w:pPr>
              <w:jc w:val="center"/>
              <w:ind w:left="103"/>
              <w:spacing w:after="0"/>
              <w:rPr>
                <w:sz w:val="20"/>
                <w:szCs w:val="20"/>
                <w:color w:val="auto"/>
              </w:rPr>
            </w:pPr>
            <w:r>
              <w:rPr>
                <w:rFonts w:ascii="Arial" w:cs="Arial" w:eastAsia="Arial" w:hAnsi="Arial"/>
                <w:sz w:val="18"/>
                <w:szCs w:val="18"/>
                <w:b w:val="1"/>
                <w:bCs w:val="1"/>
                <w:color w:val="auto"/>
                <w:w w:val="89"/>
              </w:rPr>
              <w:t>Scotia Capital</w:t>
            </w:r>
          </w:p>
        </w:tc>
        <w:tc>
          <w:tcPr>
            <w:tcW w:w="3320" w:type="dxa"/>
            <w:vAlign w:val="bottom"/>
          </w:tcPr>
          <w:p>
            <w:pPr>
              <w:jc w:val="center"/>
              <w:ind w:left="96"/>
              <w:spacing w:after="0"/>
              <w:rPr>
                <w:sz w:val="20"/>
                <w:szCs w:val="20"/>
                <w:color w:val="auto"/>
              </w:rPr>
            </w:pPr>
            <w:r>
              <w:rPr>
                <w:rFonts w:ascii="Arial" w:cs="Arial" w:eastAsia="Arial" w:hAnsi="Arial"/>
                <w:sz w:val="18"/>
                <w:szCs w:val="18"/>
                <w:b w:val="1"/>
                <w:bCs w:val="1"/>
                <w:color w:val="auto"/>
                <w:w w:val="89"/>
              </w:rPr>
              <w:t>Goldman, Sachs &amp; Co.</w:t>
            </w: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80" w:type="dxa"/>
            <w:vAlign w:val="bottom"/>
            <w:gridSpan w:val="2"/>
          </w:tcPr>
          <w:p>
            <w:pPr>
              <w:jc w:val="center"/>
              <w:ind w:right="620"/>
              <w:spacing w:after="0"/>
              <w:rPr>
                <w:sz w:val="20"/>
                <w:szCs w:val="20"/>
                <w:color w:val="auto"/>
              </w:rPr>
            </w:pPr>
            <w:r>
              <w:rPr>
                <w:rFonts w:ascii="Arial" w:cs="Arial" w:eastAsia="Arial" w:hAnsi="Arial"/>
                <w:sz w:val="18"/>
                <w:szCs w:val="18"/>
                <w:color w:val="auto"/>
                <w:w w:val="89"/>
              </w:rPr>
              <w:t>March 12, 2003</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30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35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33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3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5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40"/>
      </w:cols>
      <w:pgMar w:left="240" w:top="144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lvl w:ilvl="1">
      <w:lvlJc w:val="left"/>
      <w:lvlText w:val="--"/>
      <w:numFmt w:val="bullet"/>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lvl w:ilvl="1">
      <w:lvlJc w:val="left"/>
      <w:lvlText w:val="•"/>
      <w:numFmt w:val="bullet"/>
      <w:start w:val="1"/>
    </w:lvl>
  </w:abstractNum>
  <w:abstractNum w:abstractNumId="10">
    <w:nsid w:val="5072367"/>
    <w:multiLevelType w:val="hybridMultilevel"/>
    <w:lvl w:ilvl="0">
      <w:lvlJc w:val="left"/>
      <w:lvlText w:val="(%1)"/>
      <w:numFmt w:val="lowerLetter"/>
      <w:start w:val="1"/>
    </w:lvl>
  </w:abstractNum>
  <w:abstractNum w:abstractNumId="11">
    <w:nsid w:val="3804823E"/>
    <w:multiLevelType w:val="hybridMultilevel"/>
    <w:lvl w:ilvl="0">
      <w:lvlJc w:val="left"/>
      <w:lvlText w:val="(%1)"/>
      <w:numFmt w:val="lowerLetter"/>
      <w:start w:val="2"/>
    </w:lvl>
  </w:abstractNum>
  <w:abstractNum w:abstractNumId="12">
    <w:nsid w:val="77465F01"/>
    <w:multiLevelType w:val="hybridMultilevel"/>
    <w:lvl w:ilvl="0">
      <w:lvlJc w:val="left"/>
      <w:lvlText w:val="(%1)"/>
      <w:numFmt w:val="lowerLetter"/>
      <w:start w:val="7"/>
    </w:lvl>
  </w:abstractNum>
  <w:abstractNum w:abstractNumId="13">
    <w:nsid w:val="7724C67E"/>
    <w:multiLevelType w:val="hybridMultilevel"/>
    <w:lvl w:ilvl="0">
      <w:lvlJc w:val="left"/>
      <w:lvlText w:val="(%1)"/>
      <w:numFmt w:val="lowerLetter"/>
      <w:start w:val="10"/>
    </w:lvl>
  </w:abstractNum>
  <w:abstractNum w:abstractNumId="14">
    <w:nsid w:val="5C482A97"/>
    <w:multiLevelType w:val="hybridMultilevel"/>
    <w:lvl w:ilvl="0">
      <w:lvlJc w:val="left"/>
      <w:lvlText w:val="(%1)"/>
      <w:numFmt w:val="lowerLetter"/>
      <w:start w:val="1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lvl w:ilvl="1">
      <w:lvlJc w:val="left"/>
      <w:lvlText w:val="\emdash "/>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lvl w:ilvl="1">
      <w:lvlJc w:val="left"/>
      <w:lvlText w:val="\emdash "/>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1)"/>
      <w:numFmt w:val="decimal"/>
      <w:start w:val="1"/>
    </w:lvl>
    <w:lvl w:ilvl="1">
      <w:lvlJc w:val="left"/>
      <w:lvlText w:val="•"/>
      <w:numFmt w:val="bullet"/>
      <w:start w:val="1"/>
    </w:lvl>
  </w:abstractNum>
  <w:abstractNum w:abstractNumId="27">
    <w:nsid w:val="2CD89A32"/>
    <w:multiLevelType w:val="hybridMultilevel"/>
    <w:lvl w:ilvl="0">
      <w:lvlJc w:val="left"/>
      <w:lvlText w:val="(%1)"/>
      <w:numFmt w:val="decimal"/>
      <w:start w:val="6"/>
    </w:lvl>
    <w:lvl w:ilvl="1">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lvl w:ilvl="1">
      <w:lvlJc w:val="left"/>
      <w:lvlText w:val="\emdash "/>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1)"/>
      <w:numFmt w:val="decimal"/>
      <w:start w:val="2"/>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2019-12-16T07:40:11Z</dcterms:created>
  <dcterms:modified xsi:type="dcterms:W3CDTF">2019-12-16T07:40:11Z</dcterms:modified>
</cp:coreProperties>
</file>