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9"/>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7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FORM 8-K</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CURRENT REPORT</w:t>
      </w:r>
    </w:p>
    <w:p>
      <w:pPr>
        <w:spacing w:after="0" w:line="7" w:lineRule="exact"/>
        <w:rPr>
          <w:sz w:val="24"/>
          <w:szCs w:val="24"/>
          <w:color w:val="auto"/>
        </w:rPr>
      </w:pPr>
    </w:p>
    <w:p>
      <w:pPr>
        <w:ind w:left="206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6"/>
          <w:szCs w:val="16"/>
          <w:color w:val="auto"/>
        </w:rPr>
        <w:t>Securities Exchange Act of 1934</w:t>
      </w:r>
    </w:p>
    <w:p>
      <w:pPr>
        <w:spacing w:after="0" w:line="200" w:lineRule="exact"/>
        <w:rPr>
          <w:sz w:val="24"/>
          <w:szCs w:val="24"/>
          <w:color w:val="auto"/>
        </w:rPr>
      </w:pPr>
    </w:p>
    <w:p>
      <w:pPr>
        <w:spacing w:after="0" w:line="371"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Date of Report (Date of earliest event reported): November 13, 1996</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Comcast Corporation</w:t>
      </w:r>
    </w:p>
    <w:p>
      <w:pPr>
        <w:spacing w:after="0" w:line="7"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2" w:right="1440" w:bottom="1440" w:gutter="0" w:footer="0" w:header="0"/>
        </w:sectPr>
      </w:pPr>
    </w:p>
    <w:p>
      <w:pPr>
        <w:spacing w:after="0" w:line="195"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Pennsylvania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7"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0-6983</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23-1709202</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5" w:lineRule="exact"/>
        <w:rPr>
          <w:sz w:val="24"/>
          <w:szCs w:val="24"/>
          <w:color w:val="auto"/>
        </w:rPr>
      </w:pPr>
    </w:p>
    <w:p>
      <w:pPr>
        <w:sectPr>
          <w:pgSz w:w="11900" w:h="16838" w:orient="portrait"/>
          <w:cols w:equalWidth="0" w:num="3">
            <w:col w:w="2940" w:space="580"/>
            <w:col w:w="1620" w:space="720"/>
            <w:col w:w="4359"/>
          </w:cols>
          <w:pgMar w:left="240" w:top="242" w:right="1440" w:bottom="1440" w:gutter="0" w:footer="0" w:header="0"/>
          <w:type w:val="continuous"/>
        </w:sectPr>
      </w:pPr>
    </w:p>
    <w:p>
      <w:pPr>
        <w:jc w:val="both"/>
        <w:ind w:left="1280" w:right="3579" w:firstLine="98"/>
        <w:spacing w:after="0" w:line="250" w:lineRule="auto"/>
        <w:rPr>
          <w:sz w:val="20"/>
          <w:szCs w:val="20"/>
          <w:color w:val="auto"/>
        </w:rPr>
      </w:pPr>
      <w:r>
        <w:rPr>
          <w:rFonts w:ascii="Courier New" w:cs="Courier New" w:eastAsia="Courier New" w:hAnsi="Courier New"/>
          <w:sz w:val="16"/>
          <w:szCs w:val="16"/>
          <w:color w:val="auto"/>
        </w:rPr>
        <w:t>1500 Market Street, Philadelphia, PA 19102-2148 ------------------------------------------------------- (Address of principal executive offices) (Zip Code)</w:t>
      </w:r>
    </w:p>
    <w:p>
      <w:pPr>
        <w:sectPr>
          <w:pgSz w:w="11900" w:h="16838" w:orient="portrait"/>
          <w:cols w:equalWidth="0" w:num="1">
            <w:col w:w="10219"/>
          </w:cols>
          <w:pgMar w:left="240" w:top="242" w:right="1440" w:bottom="1440" w:gutter="0" w:footer="0" w:header="0"/>
          <w:type w:val="continuous"/>
        </w:sectPr>
      </w:pPr>
    </w:p>
    <w:p>
      <w:pPr>
        <w:spacing w:after="0" w:line="185"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Registrant's telephone number, including area code: (215) 665-1700</w:t>
      </w:r>
    </w:p>
    <w:p>
      <w:pPr>
        <w:spacing w:after="0" w:line="7" w:lineRule="exact"/>
        <w:rPr>
          <w:sz w:val="24"/>
          <w:szCs w:val="24"/>
          <w:color w:val="auto"/>
        </w:rPr>
      </w:pPr>
    </w:p>
    <w:p>
      <w:pPr>
        <w:ind w:left="57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195" w:lineRule="exact"/>
        <w:rPr>
          <w:sz w:val="24"/>
          <w:szCs w:val="24"/>
          <w:color w:val="auto"/>
        </w:rPr>
      </w:pPr>
    </w:p>
    <w:p>
      <w:pPr>
        <w:ind w:left="480" w:hanging="480"/>
        <w:spacing w:after="0"/>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w:t>
      </w:r>
    </w:p>
    <w:p>
      <w:pPr>
        <w:spacing w:after="0" w:line="195" w:lineRule="exact"/>
        <w:rPr>
          <w:sz w:val="24"/>
          <w:szCs w:val="24"/>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November 13, 1996, Comcast Corporation (the "Company") acquired the cable television operations ("Scripps Cable") of The E.W. Scripps Company (the "Scripps Acquisition"). Unaudited Pro Forma Condensed Consolidated Financial Statements as of September 30, 1996, for the nine months ended September 30, 1996 and for the year ended December 31, 1995, in respect of the Scripps Acquisition were previously filed by the Company in a Current Report on Form 8-K dated November 27, 1996 (the "November 1996 8-K"). In addition, the unaudited combined financial statements of Scripps Cable for the nine months ended September 30, 1996 and the audited combined financial statements of Scripps Cable as of and for each of the three years in the period ended December 31, 1995 were incorporated by reference in the November 1996 8-K.</w:t>
      </w:r>
    </w:p>
    <w:p>
      <w:pPr>
        <w:spacing w:after="0" w:line="187" w:lineRule="exact"/>
        <w:rPr>
          <w:sz w:val="24"/>
          <w:szCs w:val="24"/>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This Current Report on Form 8-K provides audited consolidated financial statements for Comcast SCH Holdings, Inc., which contains all of Scripps Cable following the Scripps Acquisition, as of December 31, 1996 and for the period from November 1, 1996 to December 31, 1996 as well as the audited combined financial statements for Scripps Cable (the Predecessor Corporation) as of December 31, 1995, for the period from January 1, 1996 to October 31, 1996 and for the years ended December 31, 1995 and 1994. These financial statements are listed in the Index to Consolidated and Combined Financial Statements, which follows the signature page of this report.</w:t>
      </w:r>
    </w:p>
    <w:p>
      <w:pPr>
        <w:sectPr>
          <w:pgSz w:w="11900" w:h="16838" w:orient="portrait"/>
          <w:cols w:equalWidth="0" w:num="1">
            <w:col w:w="10219"/>
          </w:cols>
          <w:pgMar w:left="240" w:top="242" w:right="1440" w:bottom="1440" w:gutter="0" w:footer="0" w:header="0"/>
          <w:type w:val="continuous"/>
        </w:sectPr>
      </w:pPr>
    </w:p>
    <w:bookmarkStart w:id="1" w:name="page2"/>
    <w:bookmarkEnd w:id="1"/>
    <w:p>
      <w:pPr>
        <w:jc w:val="center"/>
        <w:ind w:right="2299"/>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680"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24, 1997</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Joseph J. Euteneuer</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Joseph J. Euteneuer</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Vice President and</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Corporate Controller</w:t>
      </w:r>
    </w:p>
    <w:p>
      <w:pPr>
        <w:sectPr>
          <w:pgSz w:w="11900" w:h="16838" w:orient="portrait"/>
          <w:cols w:equalWidth="0" w:num="2">
            <w:col w:w="3100" w:space="720"/>
            <w:col w:w="6399"/>
          </w:cols>
          <w:pgMar w:left="240" w:top="680" w:right="1440" w:bottom="1440" w:gutter="0" w:footer="0" w:header="0"/>
          <w:type w:val="continuous"/>
        </w:sectPr>
      </w:pPr>
    </w:p>
    <w:bookmarkStart w:id="2" w:name="page3"/>
    <w:bookmarkEnd w:id="2"/>
    <w:p>
      <w:pPr>
        <w:jc w:val="center"/>
        <w:ind w:right="2299"/>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PREDECESSOR CORPORATION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INDEX TO CONSOLIDATED AND COMBINED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20"/>
                <w:szCs w:val="20"/>
                <w:color w:val="auto"/>
              </w:rPr>
            </w:pPr>
            <w:r>
              <w:rPr>
                <w:rFonts w:ascii="Courier New" w:cs="Courier New" w:eastAsia="Courier New" w:hAnsi="Courier New"/>
                <w:sz w:val="16"/>
                <w:szCs w:val="16"/>
                <w:color w:val="auto"/>
              </w:rPr>
              <w:t>Independent Auditor's</w:t>
            </w:r>
          </w:p>
        </w:tc>
        <w:tc>
          <w:tcPr>
            <w:tcW w:w="5260" w:type="dxa"/>
            <w:vAlign w:val="bottom"/>
          </w:tcPr>
          <w:p>
            <w:pPr>
              <w:spacing w:after="0"/>
              <w:rPr>
                <w:sz w:val="20"/>
                <w:szCs w:val="20"/>
                <w:color w:val="auto"/>
              </w:rPr>
            </w:pPr>
            <w:r>
              <w:rPr>
                <w:rFonts w:ascii="Courier New" w:cs="Courier New" w:eastAsia="Courier New" w:hAnsi="Courier New"/>
                <w:sz w:val="16"/>
                <w:szCs w:val="16"/>
                <w:color w:val="auto"/>
              </w:rPr>
              <w:t>Report ..............................................</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F-1</w:t>
            </w:r>
          </w:p>
        </w:tc>
      </w:tr>
      <w:tr>
        <w:trPr>
          <w:trHeight w:val="376"/>
        </w:trPr>
        <w:tc>
          <w:tcPr>
            <w:tcW w:w="742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and Combined Balance Sheet as of</w:t>
            </w:r>
          </w:p>
        </w:tc>
        <w:tc>
          <w:tcPr>
            <w:tcW w:w="400" w:type="dxa"/>
            <w:vAlign w:val="bottom"/>
          </w:tcPr>
          <w:p>
            <w:pPr>
              <w:spacing w:after="0"/>
              <w:rPr>
                <w:sz w:val="24"/>
                <w:szCs w:val="24"/>
                <w:color w:val="auto"/>
              </w:rPr>
            </w:pPr>
          </w:p>
        </w:tc>
      </w:tr>
      <w:tr>
        <w:trPr>
          <w:trHeight w:val="188"/>
        </w:trPr>
        <w:tc>
          <w:tcPr>
            <w:tcW w:w="74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December 31, 1996 and 1995 ...........................................</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F-2</w:t>
            </w:r>
          </w:p>
        </w:tc>
      </w:tr>
      <w:tr>
        <w:trPr>
          <w:trHeight w:val="376"/>
        </w:trPr>
        <w:tc>
          <w:tcPr>
            <w:tcW w:w="742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 of Operations for the Period from</w:t>
            </w:r>
          </w:p>
        </w:tc>
        <w:tc>
          <w:tcPr>
            <w:tcW w:w="400" w:type="dxa"/>
            <w:vAlign w:val="bottom"/>
          </w:tcPr>
          <w:p>
            <w:pPr>
              <w:spacing w:after="0"/>
              <w:rPr>
                <w:sz w:val="24"/>
                <w:szCs w:val="24"/>
                <w:color w:val="auto"/>
              </w:rPr>
            </w:pPr>
          </w:p>
        </w:tc>
      </w:tr>
      <w:tr>
        <w:trPr>
          <w:trHeight w:val="188"/>
        </w:trPr>
        <w:tc>
          <w:tcPr>
            <w:tcW w:w="2160" w:type="dxa"/>
            <w:vAlign w:val="bottom"/>
          </w:tcPr>
          <w:p>
            <w:pPr>
              <w:ind w:left="480"/>
              <w:spacing w:after="0"/>
              <w:rPr>
                <w:sz w:val="20"/>
                <w:szCs w:val="20"/>
                <w:color w:val="auto"/>
              </w:rPr>
            </w:pPr>
            <w:r>
              <w:rPr>
                <w:rFonts w:ascii="Courier New" w:cs="Courier New" w:eastAsia="Courier New" w:hAnsi="Courier New"/>
                <w:sz w:val="16"/>
                <w:szCs w:val="16"/>
                <w:color w:val="auto"/>
              </w:rPr>
              <w:t>November 1, 1996</w:t>
            </w:r>
          </w:p>
        </w:tc>
        <w:tc>
          <w:tcPr>
            <w:tcW w:w="5260" w:type="dxa"/>
            <w:vAlign w:val="bottom"/>
          </w:tcPr>
          <w:p>
            <w:pPr>
              <w:spacing w:after="0"/>
              <w:rPr>
                <w:sz w:val="20"/>
                <w:szCs w:val="20"/>
                <w:color w:val="auto"/>
              </w:rPr>
            </w:pPr>
            <w:r>
              <w:rPr>
                <w:rFonts w:ascii="Courier New" w:cs="Courier New" w:eastAsia="Courier New" w:hAnsi="Courier New"/>
                <w:sz w:val="16"/>
                <w:szCs w:val="16"/>
                <w:color w:val="auto"/>
              </w:rPr>
              <w:t>to December 31, 1996 ................................</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F-3</w:t>
            </w:r>
          </w:p>
        </w:tc>
      </w:tr>
      <w:tr>
        <w:trPr>
          <w:trHeight w:val="376"/>
        </w:trPr>
        <w:tc>
          <w:tcPr>
            <w:tcW w:w="2160" w:type="dxa"/>
            <w:vAlign w:val="bottom"/>
          </w:tcPr>
          <w:p>
            <w:pPr>
              <w:spacing w:after="0"/>
              <w:rPr>
                <w:sz w:val="20"/>
                <w:szCs w:val="20"/>
                <w:color w:val="auto"/>
              </w:rPr>
            </w:pPr>
            <w:r>
              <w:rPr>
                <w:rFonts w:ascii="Courier New" w:cs="Courier New" w:eastAsia="Courier New" w:hAnsi="Courier New"/>
                <w:sz w:val="16"/>
                <w:szCs w:val="16"/>
                <w:color w:val="auto"/>
              </w:rPr>
              <w:t>Combined Statement of</w:t>
            </w:r>
          </w:p>
        </w:tc>
        <w:tc>
          <w:tcPr>
            <w:tcW w:w="5260" w:type="dxa"/>
            <w:vAlign w:val="bottom"/>
          </w:tcPr>
          <w:p>
            <w:pPr>
              <w:spacing w:after="0"/>
              <w:rPr>
                <w:sz w:val="20"/>
                <w:szCs w:val="20"/>
                <w:color w:val="auto"/>
              </w:rPr>
            </w:pPr>
            <w:r>
              <w:rPr>
                <w:rFonts w:ascii="Courier New" w:cs="Courier New" w:eastAsia="Courier New" w:hAnsi="Courier New"/>
                <w:sz w:val="16"/>
                <w:szCs w:val="16"/>
                <w:color w:val="auto"/>
              </w:rPr>
              <w:t>Operations for the Period from</w:t>
            </w:r>
          </w:p>
        </w:tc>
        <w:tc>
          <w:tcPr>
            <w:tcW w:w="400" w:type="dxa"/>
            <w:vAlign w:val="bottom"/>
          </w:tcPr>
          <w:p>
            <w:pPr>
              <w:spacing w:after="0"/>
              <w:rPr>
                <w:sz w:val="24"/>
                <w:szCs w:val="24"/>
                <w:color w:val="auto"/>
              </w:rPr>
            </w:pPr>
          </w:p>
        </w:tc>
      </w:tr>
      <w:tr>
        <w:trPr>
          <w:trHeight w:val="188"/>
        </w:trPr>
        <w:tc>
          <w:tcPr>
            <w:tcW w:w="74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January 1, 1996 to October 31, 1996 and for the Years</w:t>
            </w:r>
          </w:p>
        </w:tc>
        <w:tc>
          <w:tcPr>
            <w:tcW w:w="400" w:type="dxa"/>
            <w:vAlign w:val="bottom"/>
          </w:tcPr>
          <w:p>
            <w:pPr>
              <w:spacing w:after="0"/>
              <w:rPr>
                <w:sz w:val="16"/>
                <w:szCs w:val="16"/>
                <w:color w:val="auto"/>
              </w:rPr>
            </w:pPr>
          </w:p>
        </w:tc>
      </w:tr>
      <w:tr>
        <w:trPr>
          <w:trHeight w:val="188"/>
        </w:trPr>
        <w:tc>
          <w:tcPr>
            <w:tcW w:w="74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Ended December 31, 1995 and 1994 .....................................</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F-4</w:t>
            </w:r>
          </w:p>
        </w:tc>
      </w:tr>
      <w:tr>
        <w:trPr>
          <w:trHeight w:val="376"/>
        </w:trPr>
        <w:tc>
          <w:tcPr>
            <w:tcW w:w="742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 of Cash Flows for the Period from</w:t>
            </w:r>
          </w:p>
        </w:tc>
        <w:tc>
          <w:tcPr>
            <w:tcW w:w="400" w:type="dxa"/>
            <w:vAlign w:val="bottom"/>
          </w:tcPr>
          <w:p>
            <w:pPr>
              <w:spacing w:after="0"/>
              <w:rPr>
                <w:sz w:val="24"/>
                <w:szCs w:val="24"/>
                <w:color w:val="auto"/>
              </w:rPr>
            </w:pPr>
          </w:p>
        </w:tc>
      </w:tr>
      <w:tr>
        <w:trPr>
          <w:trHeight w:val="188"/>
        </w:trPr>
        <w:tc>
          <w:tcPr>
            <w:tcW w:w="2160" w:type="dxa"/>
            <w:vAlign w:val="bottom"/>
          </w:tcPr>
          <w:p>
            <w:pPr>
              <w:ind w:left="480"/>
              <w:spacing w:after="0"/>
              <w:rPr>
                <w:sz w:val="20"/>
                <w:szCs w:val="20"/>
                <w:color w:val="auto"/>
              </w:rPr>
            </w:pPr>
            <w:r>
              <w:rPr>
                <w:rFonts w:ascii="Courier New" w:cs="Courier New" w:eastAsia="Courier New" w:hAnsi="Courier New"/>
                <w:sz w:val="16"/>
                <w:szCs w:val="16"/>
                <w:color w:val="auto"/>
              </w:rPr>
              <w:t>November 1, 1996</w:t>
            </w:r>
          </w:p>
        </w:tc>
        <w:tc>
          <w:tcPr>
            <w:tcW w:w="5260" w:type="dxa"/>
            <w:vAlign w:val="bottom"/>
          </w:tcPr>
          <w:p>
            <w:pPr>
              <w:spacing w:after="0"/>
              <w:rPr>
                <w:sz w:val="20"/>
                <w:szCs w:val="20"/>
                <w:color w:val="auto"/>
              </w:rPr>
            </w:pPr>
            <w:r>
              <w:rPr>
                <w:rFonts w:ascii="Courier New" w:cs="Courier New" w:eastAsia="Courier New" w:hAnsi="Courier New"/>
                <w:sz w:val="16"/>
                <w:szCs w:val="16"/>
                <w:color w:val="auto"/>
              </w:rPr>
              <w:t>to December 31, 1996 ................................</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F-5</w:t>
            </w:r>
          </w:p>
        </w:tc>
      </w:tr>
      <w:tr>
        <w:trPr>
          <w:trHeight w:val="376"/>
        </w:trPr>
        <w:tc>
          <w:tcPr>
            <w:tcW w:w="2160" w:type="dxa"/>
            <w:vAlign w:val="bottom"/>
          </w:tcPr>
          <w:p>
            <w:pPr>
              <w:spacing w:after="0"/>
              <w:rPr>
                <w:sz w:val="20"/>
                <w:szCs w:val="20"/>
                <w:color w:val="auto"/>
              </w:rPr>
            </w:pPr>
            <w:r>
              <w:rPr>
                <w:rFonts w:ascii="Courier New" w:cs="Courier New" w:eastAsia="Courier New" w:hAnsi="Courier New"/>
                <w:sz w:val="16"/>
                <w:szCs w:val="16"/>
                <w:color w:val="auto"/>
              </w:rPr>
              <w:t>Combined Statement of</w:t>
            </w:r>
          </w:p>
        </w:tc>
        <w:tc>
          <w:tcPr>
            <w:tcW w:w="5260" w:type="dxa"/>
            <w:vAlign w:val="bottom"/>
          </w:tcPr>
          <w:p>
            <w:pPr>
              <w:spacing w:after="0"/>
              <w:rPr>
                <w:sz w:val="20"/>
                <w:szCs w:val="20"/>
                <w:color w:val="auto"/>
              </w:rPr>
            </w:pPr>
            <w:r>
              <w:rPr>
                <w:rFonts w:ascii="Courier New" w:cs="Courier New" w:eastAsia="Courier New" w:hAnsi="Courier New"/>
                <w:sz w:val="16"/>
                <w:szCs w:val="16"/>
                <w:color w:val="auto"/>
              </w:rPr>
              <w:t>Cash Flows for the Period from</w:t>
            </w:r>
          </w:p>
        </w:tc>
        <w:tc>
          <w:tcPr>
            <w:tcW w:w="400" w:type="dxa"/>
            <w:vAlign w:val="bottom"/>
          </w:tcPr>
          <w:p>
            <w:pPr>
              <w:spacing w:after="0"/>
              <w:rPr>
                <w:sz w:val="24"/>
                <w:szCs w:val="24"/>
                <w:color w:val="auto"/>
              </w:rPr>
            </w:pPr>
          </w:p>
        </w:tc>
      </w:tr>
      <w:tr>
        <w:trPr>
          <w:trHeight w:val="188"/>
        </w:trPr>
        <w:tc>
          <w:tcPr>
            <w:tcW w:w="74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January 1, 1996 to October 31, 1996 and for the Years</w:t>
            </w:r>
          </w:p>
        </w:tc>
        <w:tc>
          <w:tcPr>
            <w:tcW w:w="400" w:type="dxa"/>
            <w:vAlign w:val="bottom"/>
          </w:tcPr>
          <w:p>
            <w:pPr>
              <w:spacing w:after="0"/>
              <w:rPr>
                <w:sz w:val="16"/>
                <w:szCs w:val="16"/>
                <w:color w:val="auto"/>
              </w:rPr>
            </w:pPr>
          </w:p>
        </w:tc>
      </w:tr>
      <w:tr>
        <w:trPr>
          <w:trHeight w:val="188"/>
        </w:trPr>
        <w:tc>
          <w:tcPr>
            <w:tcW w:w="74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Ended December 31, 1995 and 1994 .....................................</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F-6</w:t>
            </w:r>
          </w:p>
        </w:tc>
      </w:tr>
      <w:tr>
        <w:trPr>
          <w:trHeight w:val="376"/>
        </w:trPr>
        <w:tc>
          <w:tcPr>
            <w:tcW w:w="742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and Combined Statement of Stockholders' Equity</w:t>
            </w:r>
          </w:p>
        </w:tc>
        <w:tc>
          <w:tcPr>
            <w:tcW w:w="400" w:type="dxa"/>
            <w:vAlign w:val="bottom"/>
          </w:tcPr>
          <w:p>
            <w:pPr>
              <w:spacing w:after="0"/>
              <w:rPr>
                <w:sz w:val="24"/>
                <w:szCs w:val="24"/>
                <w:color w:val="auto"/>
              </w:rPr>
            </w:pPr>
          </w:p>
        </w:tc>
      </w:tr>
      <w:tr>
        <w:trPr>
          <w:trHeight w:val="188"/>
        </w:trPr>
        <w:tc>
          <w:tcPr>
            <w:tcW w:w="2160" w:type="dxa"/>
            <w:vAlign w:val="bottom"/>
          </w:tcPr>
          <w:p>
            <w:pPr>
              <w:ind w:left="480"/>
              <w:spacing w:after="0"/>
              <w:rPr>
                <w:sz w:val="20"/>
                <w:szCs w:val="20"/>
                <w:color w:val="auto"/>
              </w:rPr>
            </w:pPr>
            <w:r>
              <w:rPr>
                <w:rFonts w:ascii="Courier New" w:cs="Courier New" w:eastAsia="Courier New" w:hAnsi="Courier New"/>
                <w:sz w:val="16"/>
                <w:szCs w:val="16"/>
                <w:color w:val="auto"/>
              </w:rPr>
              <w:t>(Deficiency) for</w:t>
            </w:r>
          </w:p>
        </w:tc>
        <w:tc>
          <w:tcPr>
            <w:tcW w:w="5260" w:type="dxa"/>
            <w:vAlign w:val="bottom"/>
          </w:tcPr>
          <w:p>
            <w:pPr>
              <w:spacing w:after="0"/>
              <w:rPr>
                <w:sz w:val="20"/>
                <w:szCs w:val="20"/>
                <w:color w:val="auto"/>
              </w:rPr>
            </w:pPr>
            <w:r>
              <w:rPr>
                <w:rFonts w:ascii="Courier New" w:cs="Courier New" w:eastAsia="Courier New" w:hAnsi="Courier New"/>
                <w:sz w:val="16"/>
                <w:szCs w:val="16"/>
                <w:color w:val="auto"/>
              </w:rPr>
              <w:t>the Period from November 1, 1996 to</w:t>
            </w:r>
          </w:p>
        </w:tc>
        <w:tc>
          <w:tcPr>
            <w:tcW w:w="400" w:type="dxa"/>
            <w:vAlign w:val="bottom"/>
          </w:tcPr>
          <w:p>
            <w:pPr>
              <w:spacing w:after="0"/>
              <w:rPr>
                <w:sz w:val="16"/>
                <w:szCs w:val="16"/>
                <w:color w:val="auto"/>
              </w:rPr>
            </w:pPr>
          </w:p>
        </w:tc>
      </w:tr>
      <w:tr>
        <w:trPr>
          <w:trHeight w:val="188"/>
        </w:trPr>
        <w:tc>
          <w:tcPr>
            <w:tcW w:w="74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December 31, 1996, for the Period from January 1, 1996</w:t>
            </w:r>
          </w:p>
        </w:tc>
        <w:tc>
          <w:tcPr>
            <w:tcW w:w="400" w:type="dxa"/>
            <w:vAlign w:val="bottom"/>
          </w:tcPr>
          <w:p>
            <w:pPr>
              <w:spacing w:after="0"/>
              <w:rPr>
                <w:sz w:val="16"/>
                <w:szCs w:val="16"/>
                <w:color w:val="auto"/>
              </w:rPr>
            </w:pPr>
          </w:p>
        </w:tc>
      </w:tr>
      <w:tr>
        <w:trPr>
          <w:trHeight w:val="188"/>
        </w:trPr>
        <w:tc>
          <w:tcPr>
            <w:tcW w:w="74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to October 31, 1996 and for the Years Ended December 31,</w:t>
            </w:r>
          </w:p>
        </w:tc>
        <w:tc>
          <w:tcPr>
            <w:tcW w:w="400" w:type="dxa"/>
            <w:vAlign w:val="bottom"/>
          </w:tcPr>
          <w:p>
            <w:pPr>
              <w:spacing w:after="0"/>
              <w:rPr>
                <w:sz w:val="16"/>
                <w:szCs w:val="16"/>
                <w:color w:val="auto"/>
              </w:rPr>
            </w:pPr>
          </w:p>
        </w:tc>
      </w:tr>
      <w:tr>
        <w:trPr>
          <w:trHeight w:val="188"/>
        </w:trPr>
        <w:tc>
          <w:tcPr>
            <w:tcW w:w="74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1995 and 1994 ........................................................</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F-7</w:t>
            </w:r>
          </w:p>
        </w:tc>
      </w:tr>
      <w:tr>
        <w:trPr>
          <w:trHeight w:val="376"/>
        </w:trPr>
        <w:tc>
          <w:tcPr>
            <w:tcW w:w="2160" w:type="dxa"/>
            <w:vAlign w:val="bottom"/>
          </w:tcPr>
          <w:p>
            <w:pPr>
              <w:spacing w:after="0"/>
              <w:rPr>
                <w:sz w:val="20"/>
                <w:szCs w:val="20"/>
                <w:color w:val="auto"/>
              </w:rPr>
            </w:pPr>
            <w:r>
              <w:rPr>
                <w:rFonts w:ascii="Courier New" w:cs="Courier New" w:eastAsia="Courier New" w:hAnsi="Courier New"/>
                <w:sz w:val="16"/>
                <w:szCs w:val="16"/>
                <w:color w:val="auto"/>
              </w:rPr>
              <w:t>Notes to Consolidated</w:t>
            </w:r>
          </w:p>
        </w:tc>
        <w:tc>
          <w:tcPr>
            <w:tcW w:w="5260" w:type="dxa"/>
            <w:vAlign w:val="bottom"/>
          </w:tcPr>
          <w:p>
            <w:pPr>
              <w:spacing w:after="0"/>
              <w:rPr>
                <w:sz w:val="20"/>
                <w:szCs w:val="20"/>
                <w:color w:val="auto"/>
              </w:rPr>
            </w:pPr>
            <w:r>
              <w:rPr>
                <w:rFonts w:ascii="Courier New" w:cs="Courier New" w:eastAsia="Courier New" w:hAnsi="Courier New"/>
                <w:sz w:val="16"/>
                <w:szCs w:val="16"/>
                <w:color w:val="auto"/>
              </w:rPr>
              <w:t>and Combined Financial Statements ...................</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F-8</w:t>
            </w:r>
          </w:p>
        </w:tc>
      </w:tr>
    </w:tbl>
    <w:p>
      <w:pPr>
        <w:sectPr>
          <w:pgSz w:w="11900" w:h="16838" w:orient="portrait"/>
          <w:cols w:equalWidth="0" w:num="1">
            <w:col w:w="10219"/>
          </w:cols>
          <w:pgMar w:left="240" w:top="49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INDEPENDENT AUDITORS' REPORT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Stockholder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SCH Holdings,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195"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We have audited the accompanying consolidated balance sheet of Comcast SCH Holdings, Inc. (an indirect wholly owned subsidiary of Comcast Corporation) and subsidiaries as of December 31, 1996 and the related consolidated statements of operations, stockholder's equity and of cash flows for the period from November 1, 1996 to December 31, 1996, as well as the combined balance sheet of the Predecessor Corporation (see Note 2) as of December 31, 1995 and the related combined statements of operations, stockholders' deficiency and of cash flows for the period from January 1, 1996 to October 31, 1996 and for the years ended December 31, 1995 and 1994.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7"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In our opinion, such consolidated and combined financial statements present fairly, in all material respects, the financial position of Comcast SCH Holdings, Inc. and subsidiaries as of December 31, 1996, the financial position of the Predecessor Corporation as of December 31, 1995, and the results of their operations and their cash flows for the periods stated above, in conformity with generally accepted accounting principles.</w:t>
      </w:r>
    </w:p>
    <w:p>
      <w:pPr>
        <w:spacing w:after="0" w:line="187"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As discussed in Notes 2 and 4 to the consolidated and combined financial statements, in November 1996, Comcast Corporation acquired the Predecessor Corporation which resulted in the establishment of a new cost basis for the assets and liabilities of the acquired entities.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28, 1997</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86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AND COMBINED BALANCE SHEET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6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(Predecessor</w:t>
            </w:r>
          </w:p>
        </w:tc>
      </w:tr>
      <w:tr>
        <w:trPr>
          <w:trHeight w:val="188"/>
        </w:trPr>
        <w:tc>
          <w:tcPr>
            <w:tcW w:w="8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6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Corporation)</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December 31,</w:t>
            </w:r>
          </w:p>
        </w:tc>
        <w:tc>
          <w:tcPr>
            <w:tcW w:w="156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1996</w:t>
            </w:r>
          </w:p>
        </w:tc>
        <w:tc>
          <w:tcPr>
            <w:tcW w:w="1560" w:type="dxa"/>
            <w:vAlign w:val="bottom"/>
          </w:tcPr>
          <w:p>
            <w:pPr>
              <w:jc w:val="center"/>
              <w:ind w:left="339"/>
              <w:spacing w:after="0"/>
              <w:rPr>
                <w:sz w:val="20"/>
                <w:szCs w:val="20"/>
                <w:color w:val="auto"/>
              </w:rPr>
            </w:pPr>
            <w:r>
              <w:rPr>
                <w:rFonts w:ascii="Courier New" w:cs="Courier New" w:eastAsia="Courier New" w:hAnsi="Courier New"/>
                <w:sz w:val="16"/>
                <w:szCs w:val="16"/>
                <w:color w:val="auto"/>
                <w:w w:val="98"/>
              </w:rPr>
              <w:t>1995</w:t>
            </w:r>
          </w:p>
        </w:tc>
      </w:tr>
      <w:tr>
        <w:trPr>
          <w:trHeight w:val="376"/>
        </w:trPr>
        <w:tc>
          <w:tcPr>
            <w:tcW w:w="81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6"/>
        </w:trPr>
        <w:tc>
          <w:tcPr>
            <w:tcW w:w="81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Cash and cash equivalents...................................................</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$3,047</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$3,085</w:t>
            </w: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Short-term investments......................................................</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106</w:t>
            </w:r>
          </w:p>
        </w:tc>
        <w:tc>
          <w:tcPr>
            <w:tcW w:w="1560" w:type="dxa"/>
            <w:vAlign w:val="bottom"/>
          </w:tcPr>
          <w:p>
            <w:pPr>
              <w:spacing w:after="0"/>
              <w:rPr>
                <w:sz w:val="16"/>
                <w:szCs w:val="16"/>
                <w:color w:val="auto"/>
              </w:rPr>
            </w:pP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Cash held by an affiliate...................................................</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9,475</w:t>
            </w:r>
          </w:p>
        </w:tc>
        <w:tc>
          <w:tcPr>
            <w:tcW w:w="1560" w:type="dxa"/>
            <w:vAlign w:val="bottom"/>
          </w:tcPr>
          <w:p>
            <w:pPr>
              <w:spacing w:after="0"/>
              <w:rPr>
                <w:sz w:val="16"/>
                <w:szCs w:val="16"/>
                <w:color w:val="auto"/>
              </w:rPr>
            </w:pPr>
          </w:p>
        </w:tc>
      </w:tr>
      <w:tr>
        <w:trPr>
          <w:trHeight w:val="188"/>
        </w:trPr>
        <w:tc>
          <w:tcPr>
            <w:tcW w:w="8120" w:type="dxa"/>
            <w:vAlign w:val="bottom"/>
          </w:tcPr>
          <w:p>
            <w:pPr>
              <w:jc w:val="right"/>
              <w:ind w:right="3839"/>
              <w:spacing w:after="0"/>
              <w:rPr>
                <w:sz w:val="20"/>
                <w:szCs w:val="20"/>
                <w:color w:val="auto"/>
              </w:rPr>
            </w:pPr>
            <w:r>
              <w:rPr>
                <w:rFonts w:ascii="Courier New" w:cs="Courier New" w:eastAsia="Courier New" w:hAnsi="Courier New"/>
                <w:sz w:val="16"/>
                <w:szCs w:val="16"/>
                <w:color w:val="auto"/>
              </w:rPr>
              <w:t>Accounts receivable, less allowance for</w:t>
            </w:r>
          </w:p>
        </w:tc>
        <w:tc>
          <w:tcPr>
            <w:tcW w:w="18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doubtful accounts of $1,439 and $1,288....................................</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9,870</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12,107</w:t>
            </w: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Inventories.................................................................</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9,427</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12,822</w:t>
            </w: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Other current assets........................................................</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1,790</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5,956</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Total current assets.................................................</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33,715</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33,970</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PROPERTY AND EQUIPMENT..........................................................</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422,922</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600,822</w:t>
            </w: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Accumulated depreciation....................................................</w:t>
            </w: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(7,417)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(305,715)</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Property and equipment, net.................................................</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415,505</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295,107</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DEFERRED CHARGES................................................................</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1,765,029</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214,125</w:t>
            </w: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Accumulated amortization....................................................</w:t>
            </w: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(21,458)</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(120,629)</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Deferred charges, net.......................................................</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1,743,571</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93,496</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spacing w:after="0"/>
              <w:rPr>
                <w:sz w:val="24"/>
                <w:szCs w:val="24"/>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$2,192,791</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$422,573</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 (DEFICIENCY)</w:t>
            </w: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6"/>
        </w:trPr>
        <w:tc>
          <w:tcPr>
            <w:tcW w:w="81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Accounts payable and accrued expenses.......................................</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$47,483</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$33,675</w:t>
            </w: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Accrued interest............................................................</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250</w:t>
            </w:r>
          </w:p>
        </w:tc>
        <w:tc>
          <w:tcPr>
            <w:tcW w:w="1560" w:type="dxa"/>
            <w:vAlign w:val="bottom"/>
          </w:tcPr>
          <w:p>
            <w:pPr>
              <w:spacing w:after="0"/>
              <w:rPr>
                <w:sz w:val="16"/>
                <w:szCs w:val="16"/>
                <w:color w:val="auto"/>
              </w:rPr>
            </w:pP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Due to affiliates...........................................................</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942</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1,599</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Total current liabilities............................................</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48,675</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35,274</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LONG-TERM DEBT..................................................................</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125,000</w:t>
            </w:r>
          </w:p>
        </w:tc>
        <w:tc>
          <w:tcPr>
            <w:tcW w:w="1560" w:type="dxa"/>
            <w:vAlign w:val="bottom"/>
          </w:tcPr>
          <w:p>
            <w:pPr>
              <w:spacing w:after="0"/>
              <w:rPr>
                <w:sz w:val="24"/>
                <w:szCs w:val="24"/>
                <w:color w:val="auto"/>
              </w:rPr>
            </w:pP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OTHER LIABILITIES...............................................................</w:t>
            </w:r>
          </w:p>
        </w:tc>
        <w:tc>
          <w:tcPr>
            <w:tcW w:w="1840" w:type="dxa"/>
            <w:vAlign w:val="bottom"/>
          </w:tcPr>
          <w:p>
            <w:pPr>
              <w:spacing w:after="0"/>
              <w:rPr>
                <w:sz w:val="24"/>
                <w:szCs w:val="24"/>
                <w:color w:val="auto"/>
              </w:rPr>
            </w:pP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9,325</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DUE TO AFFILIATES...............................................................</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4,413</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312,737</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DEFERRED INCOME TAXES, due to affiliate.........................................</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593,777</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80,193</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6"/>
        </w:trPr>
        <w:tc>
          <w:tcPr>
            <w:tcW w:w="8120" w:type="dxa"/>
            <w:vAlign w:val="bottom"/>
          </w:tcPr>
          <w:p>
            <w:pPr>
              <w:spacing w:after="0"/>
              <w:rPr>
                <w:sz w:val="20"/>
                <w:szCs w:val="20"/>
                <w:color w:val="auto"/>
              </w:rPr>
            </w:pPr>
            <w:r>
              <w:rPr>
                <w:rFonts w:ascii="Courier New" w:cs="Courier New" w:eastAsia="Courier New" w:hAnsi="Courier New"/>
                <w:sz w:val="16"/>
                <w:szCs w:val="16"/>
                <w:color w:val="auto"/>
              </w:rPr>
              <w:t>STOCKHOLDERS' EQUITY (DEFICIENCY)</w:t>
            </w: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Common stock................................................................</w:t>
            </w:r>
          </w:p>
        </w:tc>
        <w:tc>
          <w:tcPr>
            <w:tcW w:w="1840" w:type="dxa"/>
            <w:vAlign w:val="bottom"/>
          </w:tcPr>
          <w:p>
            <w:pPr>
              <w:spacing w:after="0"/>
              <w:rPr>
                <w:sz w:val="16"/>
                <w:szCs w:val="16"/>
                <w:color w:val="auto"/>
              </w:rPr>
            </w:pP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1,801</w:t>
            </w: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Additional capital..........................................................</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1,431,578</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35,144</w:t>
            </w:r>
          </w:p>
        </w:tc>
      </w:tr>
      <w:tr>
        <w:trPr>
          <w:trHeight w:val="188"/>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Accumulated deficit.........................................................</w:t>
            </w: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(10,652)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(51,901)</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Total stockholders' equity (deficiency)..............................</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1,420,926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(14,956)</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8120" w:type="dxa"/>
            <w:vAlign w:val="bottom"/>
          </w:tcPr>
          <w:p>
            <w:pPr>
              <w:spacing w:after="0"/>
              <w:rPr>
                <w:sz w:val="24"/>
                <w:szCs w:val="24"/>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$2,192,791</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$422,573</w:t>
            </w:r>
          </w:p>
        </w:tc>
      </w:tr>
      <w:tr>
        <w:trPr>
          <w:trHeight w:val="188"/>
        </w:trPr>
        <w:tc>
          <w:tcPr>
            <w:tcW w:w="812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and combined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1520"/>
          </w:cols>
          <w:pgMar w:left="240" w:top="492" w:right="139" w:bottom="188"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5"/>
                <w:szCs w:val="15"/>
                <w:color w:val="auto"/>
              </w:rPr>
            </w:pPr>
          </w:p>
        </w:tc>
        <w:tc>
          <w:tcPr>
            <w:tcW w:w="18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November 1</w:t>
            </w:r>
          </w:p>
        </w:tc>
      </w:tr>
      <w:tr>
        <w:trPr>
          <w:trHeight w:val="188"/>
        </w:trPr>
        <w:tc>
          <w:tcPr>
            <w:tcW w:w="6600" w:type="dxa"/>
            <w:vAlign w:val="bottom"/>
          </w:tcPr>
          <w:p>
            <w:pPr>
              <w:spacing w:after="0"/>
              <w:rPr>
                <w:sz w:val="16"/>
                <w:szCs w:val="16"/>
                <w:color w:val="auto"/>
              </w:rPr>
            </w:pPr>
          </w:p>
        </w:tc>
        <w:tc>
          <w:tcPr>
            <w:tcW w:w="18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to</w:t>
            </w:r>
          </w:p>
        </w:tc>
      </w:tr>
      <w:tr>
        <w:trPr>
          <w:trHeight w:val="188"/>
        </w:trPr>
        <w:tc>
          <w:tcPr>
            <w:tcW w:w="66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December 31, 1996</w:t>
            </w:r>
          </w:p>
        </w:tc>
      </w:tr>
      <w:tr>
        <w:trPr>
          <w:trHeight w:val="376"/>
        </w:trPr>
        <w:tc>
          <w:tcPr>
            <w:tcW w:w="6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SERVICE INCOME....................................................</w:t>
            </w: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$52,364</w:t>
            </w:r>
          </w:p>
        </w:tc>
      </w:tr>
      <w:tr>
        <w:trPr>
          <w:trHeight w:val="188"/>
        </w:trPr>
        <w:tc>
          <w:tcPr>
            <w:tcW w:w="6600" w:type="dxa"/>
            <w:vAlign w:val="bottom"/>
          </w:tcPr>
          <w:p>
            <w:pPr>
              <w:spacing w:after="0"/>
              <w:rPr>
                <w:sz w:val="16"/>
                <w:szCs w:val="16"/>
                <w:color w:val="auto"/>
              </w:rPr>
            </w:pP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0" w:type="dxa"/>
            <w:vAlign w:val="bottom"/>
          </w:tcPr>
          <w:p>
            <w:pPr>
              <w:spacing w:after="0"/>
              <w:rPr>
                <w:sz w:val="24"/>
                <w:szCs w:val="24"/>
                <w:color w:val="auto"/>
              </w:rPr>
            </w:pPr>
          </w:p>
        </w:tc>
      </w:tr>
      <w:tr>
        <w:trPr>
          <w:trHeight w:val="188"/>
        </w:trPr>
        <w:tc>
          <w:tcPr>
            <w:tcW w:w="6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39,633</w:t>
            </w:r>
          </w:p>
        </w:tc>
      </w:tr>
      <w:tr>
        <w:trPr>
          <w:trHeight w:val="188"/>
        </w:trPr>
        <w:tc>
          <w:tcPr>
            <w:tcW w:w="6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Depreciation and amortization..............................</w:t>
            </w: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28,989</w:t>
            </w:r>
          </w:p>
        </w:tc>
      </w:tr>
      <w:tr>
        <w:trPr>
          <w:trHeight w:val="188"/>
        </w:trPr>
        <w:tc>
          <w:tcPr>
            <w:tcW w:w="6600" w:type="dxa"/>
            <w:vAlign w:val="bottom"/>
          </w:tcPr>
          <w:p>
            <w:pPr>
              <w:spacing w:after="0"/>
              <w:rPr>
                <w:sz w:val="16"/>
                <w:szCs w:val="16"/>
                <w:color w:val="auto"/>
              </w:rPr>
            </w:pP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00" w:type="dxa"/>
            <w:vAlign w:val="bottom"/>
          </w:tcPr>
          <w:p>
            <w:pPr>
              <w:spacing w:after="0"/>
              <w:rPr>
                <w:sz w:val="24"/>
                <w:szCs w:val="24"/>
                <w:color w:val="auto"/>
              </w:rPr>
            </w:pP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68,622</w:t>
            </w:r>
          </w:p>
        </w:tc>
      </w:tr>
      <w:tr>
        <w:trPr>
          <w:trHeight w:val="188"/>
        </w:trPr>
        <w:tc>
          <w:tcPr>
            <w:tcW w:w="6600" w:type="dxa"/>
            <w:vAlign w:val="bottom"/>
          </w:tcPr>
          <w:p>
            <w:pPr>
              <w:spacing w:after="0"/>
              <w:rPr>
                <w:sz w:val="16"/>
                <w:szCs w:val="16"/>
                <w:color w:val="auto"/>
              </w:rPr>
            </w:pP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OPERATING LOSS ...................................................</w:t>
            </w:r>
          </w:p>
        </w:tc>
        <w:tc>
          <w:tcPr>
            <w:tcW w:w="18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(16,258)</w:t>
            </w:r>
          </w:p>
        </w:tc>
      </w:tr>
      <w:tr>
        <w:trPr>
          <w:trHeight w:val="376"/>
        </w:trPr>
        <w:tc>
          <w:tcPr>
            <w:tcW w:w="66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00" w:type="dxa"/>
            <w:vAlign w:val="bottom"/>
          </w:tcPr>
          <w:p>
            <w:pPr>
              <w:spacing w:after="0"/>
              <w:rPr>
                <w:sz w:val="24"/>
                <w:szCs w:val="24"/>
                <w:color w:val="auto"/>
              </w:rPr>
            </w:pPr>
          </w:p>
        </w:tc>
      </w:tr>
      <w:tr>
        <w:trPr>
          <w:trHeight w:val="188"/>
        </w:trPr>
        <w:tc>
          <w:tcPr>
            <w:tcW w:w="6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Interest expense...........................................</w:t>
            </w: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1,253</w:t>
            </w:r>
          </w:p>
        </w:tc>
      </w:tr>
      <w:tr>
        <w:trPr>
          <w:trHeight w:val="188"/>
        </w:trPr>
        <w:tc>
          <w:tcPr>
            <w:tcW w:w="6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Investment income..........................................</w:t>
            </w:r>
          </w:p>
        </w:tc>
        <w:tc>
          <w:tcPr>
            <w:tcW w:w="18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(139)</w:t>
            </w:r>
          </w:p>
        </w:tc>
      </w:tr>
      <w:tr>
        <w:trPr>
          <w:trHeight w:val="188"/>
        </w:trPr>
        <w:tc>
          <w:tcPr>
            <w:tcW w:w="6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Other......................................................</w:t>
            </w:r>
          </w:p>
        </w:tc>
        <w:tc>
          <w:tcPr>
            <w:tcW w:w="18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(96)</w:t>
            </w:r>
          </w:p>
        </w:tc>
      </w:tr>
      <w:tr>
        <w:trPr>
          <w:trHeight w:val="188"/>
        </w:trPr>
        <w:tc>
          <w:tcPr>
            <w:tcW w:w="6600" w:type="dxa"/>
            <w:vAlign w:val="bottom"/>
          </w:tcPr>
          <w:p>
            <w:pPr>
              <w:spacing w:after="0"/>
              <w:rPr>
                <w:sz w:val="16"/>
                <w:szCs w:val="16"/>
                <w:color w:val="auto"/>
              </w:rPr>
            </w:pP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00" w:type="dxa"/>
            <w:vAlign w:val="bottom"/>
          </w:tcPr>
          <w:p>
            <w:pPr>
              <w:spacing w:after="0"/>
              <w:rPr>
                <w:sz w:val="24"/>
                <w:szCs w:val="24"/>
                <w:color w:val="auto"/>
              </w:rPr>
            </w:pP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1,018</w:t>
            </w:r>
          </w:p>
        </w:tc>
      </w:tr>
      <w:tr>
        <w:trPr>
          <w:trHeight w:val="188"/>
        </w:trPr>
        <w:tc>
          <w:tcPr>
            <w:tcW w:w="6600" w:type="dxa"/>
            <w:vAlign w:val="bottom"/>
          </w:tcPr>
          <w:p>
            <w:pPr>
              <w:spacing w:after="0"/>
              <w:rPr>
                <w:sz w:val="16"/>
                <w:szCs w:val="16"/>
                <w:color w:val="auto"/>
              </w:rPr>
            </w:pP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LOSS BEFORE INCOME TAX BENEFIT....................................</w:t>
            </w:r>
          </w:p>
        </w:tc>
        <w:tc>
          <w:tcPr>
            <w:tcW w:w="18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(17,276)</w:t>
            </w:r>
          </w:p>
        </w:tc>
      </w:tr>
      <w:tr>
        <w:trPr>
          <w:trHeight w:val="376"/>
        </w:trPr>
        <w:tc>
          <w:tcPr>
            <w:tcW w:w="6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INCOME TAX BENEFIT................................................</w:t>
            </w:r>
          </w:p>
        </w:tc>
        <w:tc>
          <w:tcPr>
            <w:tcW w:w="18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(6,624)</w:t>
            </w:r>
          </w:p>
        </w:tc>
      </w:tr>
      <w:tr>
        <w:trPr>
          <w:trHeight w:val="188"/>
        </w:trPr>
        <w:tc>
          <w:tcPr>
            <w:tcW w:w="6600" w:type="dxa"/>
            <w:vAlign w:val="bottom"/>
          </w:tcPr>
          <w:p>
            <w:pPr>
              <w:spacing w:after="0"/>
              <w:rPr>
                <w:sz w:val="16"/>
                <w:szCs w:val="16"/>
                <w:color w:val="auto"/>
              </w:rPr>
            </w:pP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 LOSS..........................................................</w:t>
            </w:r>
          </w:p>
        </w:tc>
        <w:tc>
          <w:tcPr>
            <w:tcW w:w="18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($10,652)</w:t>
            </w:r>
          </w:p>
        </w:tc>
      </w:tr>
      <w:tr>
        <w:trPr>
          <w:trHeight w:val="188"/>
        </w:trPr>
        <w:tc>
          <w:tcPr>
            <w:tcW w:w="6600" w:type="dxa"/>
            <w:vAlign w:val="bottom"/>
          </w:tcPr>
          <w:p>
            <w:pPr>
              <w:spacing w:after="0"/>
              <w:rPr>
                <w:sz w:val="16"/>
                <w:szCs w:val="16"/>
                <w:color w:val="auto"/>
              </w:rPr>
            </w:pPr>
          </w:p>
        </w:tc>
        <w:tc>
          <w:tcPr>
            <w:tcW w:w="1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and combined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49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STATEMENT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41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Predecessor Corporation</w:t>
            </w:r>
          </w:p>
        </w:tc>
        <w:tc>
          <w:tcPr>
            <w:tcW w:w="880" w:type="dxa"/>
            <w:vAlign w:val="bottom"/>
          </w:tcPr>
          <w:p>
            <w:pPr>
              <w:spacing w:after="0"/>
              <w:rPr>
                <w:sz w:val="15"/>
                <w:szCs w:val="15"/>
                <w:color w:val="auto"/>
              </w:rPr>
            </w:pPr>
          </w:p>
        </w:tc>
      </w:tr>
      <w:tr>
        <w:trPr>
          <w:trHeight w:val="188"/>
        </w:trPr>
        <w:tc>
          <w:tcPr>
            <w:tcW w:w="6360" w:type="dxa"/>
            <w:vAlign w:val="bottom"/>
          </w:tcPr>
          <w:p>
            <w:pPr>
              <w:spacing w:after="0"/>
              <w:rPr>
                <w:sz w:val="16"/>
                <w:szCs w:val="16"/>
                <w:color w:val="auto"/>
              </w:rPr>
            </w:pPr>
          </w:p>
        </w:tc>
        <w:tc>
          <w:tcPr>
            <w:tcW w:w="21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January 1</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c>
          <w:tcPr>
            <w:tcW w:w="880" w:type="dxa"/>
            <w:vAlign w:val="bottom"/>
          </w:tcPr>
          <w:p>
            <w:pPr>
              <w:spacing w:after="0"/>
              <w:rPr>
                <w:sz w:val="16"/>
                <w:szCs w:val="16"/>
                <w:color w:val="auto"/>
              </w:rPr>
            </w:pPr>
          </w:p>
        </w:tc>
      </w:tr>
      <w:tr>
        <w:trPr>
          <w:trHeight w:val="188"/>
        </w:trPr>
        <w:tc>
          <w:tcPr>
            <w:tcW w:w="6360" w:type="dxa"/>
            <w:vAlign w:val="bottom"/>
          </w:tcPr>
          <w:p>
            <w:pPr>
              <w:spacing w:after="0"/>
              <w:rPr>
                <w:sz w:val="16"/>
                <w:szCs w:val="16"/>
                <w:color w:val="auto"/>
              </w:rPr>
            </w:pPr>
          </w:p>
        </w:tc>
        <w:tc>
          <w:tcPr>
            <w:tcW w:w="2100" w:type="dxa"/>
            <w:vAlign w:val="bottom"/>
          </w:tcPr>
          <w:p>
            <w:pPr>
              <w:jc w:val="right"/>
              <w:ind w:right="859"/>
              <w:spacing w:after="0"/>
              <w:rPr>
                <w:sz w:val="20"/>
                <w:szCs w:val="20"/>
                <w:color w:val="auto"/>
              </w:rPr>
            </w:pPr>
            <w:r>
              <w:rPr>
                <w:rFonts w:ascii="Courier New" w:cs="Courier New" w:eastAsia="Courier New" w:hAnsi="Courier New"/>
                <w:sz w:val="16"/>
                <w:szCs w:val="16"/>
                <w:color w:val="auto"/>
              </w:rPr>
              <w:t>to</w:t>
            </w:r>
          </w:p>
        </w:tc>
        <w:tc>
          <w:tcPr>
            <w:tcW w:w="28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6360" w:type="dxa"/>
            <w:vAlign w:val="bottom"/>
          </w:tcPr>
          <w:p>
            <w:pPr>
              <w:spacing w:after="0"/>
              <w:rPr>
                <w:sz w:val="16"/>
                <w:szCs w:val="16"/>
                <w:color w:val="auto"/>
              </w:rPr>
            </w:pPr>
          </w:p>
        </w:tc>
        <w:tc>
          <w:tcPr>
            <w:tcW w:w="21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October 31, 1996</w:t>
            </w:r>
          </w:p>
        </w:tc>
        <w:tc>
          <w:tcPr>
            <w:tcW w:w="2000" w:type="dxa"/>
            <w:vAlign w:val="bottom"/>
          </w:tcPr>
          <w:p>
            <w:pPr>
              <w:jc w:val="right"/>
              <w:ind w:right="1099"/>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376"/>
        </w:trPr>
        <w:tc>
          <w:tcPr>
            <w:tcW w:w="636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$257,393</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$279,482</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$255,356</w:t>
            </w:r>
          </w:p>
        </w:tc>
      </w:tr>
      <w:tr>
        <w:trPr>
          <w:trHeight w:val="188"/>
        </w:trPr>
        <w:tc>
          <w:tcPr>
            <w:tcW w:w="6360" w:type="dxa"/>
            <w:vAlign w:val="bottom"/>
          </w:tcPr>
          <w:p>
            <w:pPr>
              <w:spacing w:after="0"/>
              <w:rPr>
                <w:sz w:val="16"/>
                <w:szCs w:val="16"/>
                <w:color w:val="auto"/>
              </w:rPr>
            </w:pP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564"/>
        </w:trPr>
        <w:tc>
          <w:tcPr>
            <w:tcW w:w="63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154,166</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162,810</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164,721</w:t>
            </w:r>
          </w:p>
        </w:tc>
      </w:tr>
      <w:tr>
        <w:trPr>
          <w:trHeight w:val="188"/>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Depreciation and amortization..........................</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45,964</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54,099</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57,331</w:t>
            </w:r>
          </w:p>
        </w:tc>
      </w:tr>
      <w:tr>
        <w:trPr>
          <w:trHeight w:val="188"/>
        </w:trPr>
        <w:tc>
          <w:tcPr>
            <w:tcW w:w="6360" w:type="dxa"/>
            <w:vAlign w:val="bottom"/>
          </w:tcPr>
          <w:p>
            <w:pPr>
              <w:spacing w:after="0"/>
              <w:rPr>
                <w:sz w:val="16"/>
                <w:szCs w:val="16"/>
                <w:color w:val="auto"/>
              </w:rPr>
            </w:pP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6360" w:type="dxa"/>
            <w:vAlign w:val="bottom"/>
          </w:tcPr>
          <w:p>
            <w:pPr>
              <w:spacing w:after="0"/>
              <w:rPr>
                <w:sz w:val="24"/>
                <w:szCs w:val="24"/>
                <w:color w:val="auto"/>
              </w:rPr>
            </w:pP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200,130</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216,909</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222,052</w:t>
            </w:r>
          </w:p>
        </w:tc>
      </w:tr>
      <w:tr>
        <w:trPr>
          <w:trHeight w:val="188"/>
        </w:trPr>
        <w:tc>
          <w:tcPr>
            <w:tcW w:w="6360" w:type="dxa"/>
            <w:vAlign w:val="bottom"/>
          </w:tcPr>
          <w:p>
            <w:pPr>
              <w:spacing w:after="0"/>
              <w:rPr>
                <w:sz w:val="16"/>
                <w:szCs w:val="16"/>
                <w:color w:val="auto"/>
              </w:rPr>
            </w:pP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OPERATING INCOME..............................................</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57,263</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62,573</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33,304</w:t>
            </w:r>
          </w:p>
        </w:tc>
      </w:tr>
      <w:tr>
        <w:trPr>
          <w:trHeight w:val="376"/>
        </w:trPr>
        <w:tc>
          <w:tcPr>
            <w:tcW w:w="63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Interest expense.......................................</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27</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343</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342</w:t>
            </w:r>
          </w:p>
        </w:tc>
      </w:tr>
      <w:tr>
        <w:trPr>
          <w:trHeight w:val="188"/>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Intercompany interest expense..........................</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28,530</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34,915</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33,447</w:t>
            </w:r>
          </w:p>
        </w:tc>
      </w:tr>
      <w:tr>
        <w:trPr>
          <w:trHeight w:val="188"/>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Corporate management fee...............................</w:t>
            </w:r>
          </w:p>
        </w:tc>
        <w:tc>
          <w:tcPr>
            <w:tcW w:w="2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2,957</w:t>
            </w:r>
          </w:p>
        </w:tc>
      </w:tr>
      <w:tr>
        <w:trPr>
          <w:trHeight w:val="188"/>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Merger expenses........................................</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13,566</w:t>
            </w:r>
          </w:p>
        </w:tc>
        <w:tc>
          <w:tcPr>
            <w:tcW w:w="20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Gain on sale of cable television system................</w:t>
            </w:r>
          </w:p>
        </w:tc>
        <w:tc>
          <w:tcPr>
            <w:tcW w:w="2100" w:type="dxa"/>
            <w:vAlign w:val="bottom"/>
          </w:tcPr>
          <w:p>
            <w:pPr>
              <w:spacing w:after="0"/>
              <w:rPr>
                <w:sz w:val="16"/>
                <w:szCs w:val="16"/>
                <w:color w:val="auto"/>
              </w:rPr>
            </w:pP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(1,502)</w:t>
            </w:r>
          </w:p>
        </w:tc>
        <w:tc>
          <w:tcPr>
            <w:tcW w:w="880" w:type="dxa"/>
            <w:vAlign w:val="bottom"/>
          </w:tcPr>
          <w:p>
            <w:pPr>
              <w:spacing w:after="0"/>
              <w:rPr>
                <w:sz w:val="16"/>
                <w:szCs w:val="16"/>
                <w:color w:val="auto"/>
              </w:rPr>
            </w:pPr>
          </w:p>
        </w:tc>
      </w:tr>
      <w:tr>
        <w:trPr>
          <w:trHeight w:val="188"/>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Other, net.............................................</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108</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(786)</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w:t>
            </w:r>
          </w:p>
        </w:tc>
      </w:tr>
      <w:tr>
        <w:trPr>
          <w:trHeight w:val="188"/>
        </w:trPr>
        <w:tc>
          <w:tcPr>
            <w:tcW w:w="6360" w:type="dxa"/>
            <w:vAlign w:val="bottom"/>
          </w:tcPr>
          <w:p>
            <w:pPr>
              <w:spacing w:after="0"/>
              <w:rPr>
                <w:sz w:val="16"/>
                <w:szCs w:val="16"/>
                <w:color w:val="auto"/>
              </w:rPr>
            </w:pP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6360" w:type="dxa"/>
            <w:vAlign w:val="bottom"/>
          </w:tcPr>
          <w:p>
            <w:pPr>
              <w:spacing w:after="0"/>
              <w:rPr>
                <w:sz w:val="24"/>
                <w:szCs w:val="24"/>
                <w:color w:val="auto"/>
              </w:rPr>
            </w:pP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42,231</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32,970</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36,815</w:t>
            </w:r>
          </w:p>
        </w:tc>
      </w:tr>
      <w:tr>
        <w:trPr>
          <w:trHeight w:val="188"/>
        </w:trPr>
        <w:tc>
          <w:tcPr>
            <w:tcW w:w="6360" w:type="dxa"/>
            <w:vAlign w:val="bottom"/>
          </w:tcPr>
          <w:p>
            <w:pPr>
              <w:spacing w:after="0"/>
              <w:rPr>
                <w:sz w:val="16"/>
                <w:szCs w:val="16"/>
                <w:color w:val="auto"/>
              </w:rPr>
            </w:pP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636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w:t>
            </w:r>
          </w:p>
        </w:tc>
        <w:tc>
          <w:tcPr>
            <w:tcW w:w="2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EXPENSE (BENEFIT)............................................</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15,032</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29,603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(3,511)</w:t>
            </w:r>
          </w:p>
        </w:tc>
      </w:tr>
      <w:tr>
        <w:trPr>
          <w:trHeight w:val="376"/>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INCOME TAX EXPENSE (BENEFIT)..................................</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7,644</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11,913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(10,590)</w:t>
            </w:r>
          </w:p>
        </w:tc>
      </w:tr>
      <w:tr>
        <w:trPr>
          <w:trHeight w:val="188"/>
        </w:trPr>
        <w:tc>
          <w:tcPr>
            <w:tcW w:w="6360" w:type="dxa"/>
            <w:vAlign w:val="bottom"/>
          </w:tcPr>
          <w:p>
            <w:pPr>
              <w:spacing w:after="0"/>
              <w:rPr>
                <w:sz w:val="16"/>
                <w:szCs w:val="16"/>
                <w:color w:val="auto"/>
              </w:rPr>
            </w:pP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6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NET INCOME....................................................</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$7,388</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$17,690</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$7,079</w:t>
            </w:r>
          </w:p>
        </w:tc>
      </w:tr>
      <w:tr>
        <w:trPr>
          <w:trHeight w:val="188"/>
        </w:trPr>
        <w:tc>
          <w:tcPr>
            <w:tcW w:w="6360" w:type="dxa"/>
            <w:vAlign w:val="bottom"/>
          </w:tcPr>
          <w:p>
            <w:pPr>
              <w:spacing w:after="0"/>
              <w:rPr>
                <w:sz w:val="16"/>
                <w:szCs w:val="16"/>
                <w:color w:val="auto"/>
              </w:rPr>
            </w:pP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and combined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1340"/>
          </w:cols>
          <w:pgMar w:left="240" w:top="492" w:right="3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 OF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5"/>
                <w:szCs w:val="15"/>
                <w:color w:val="auto"/>
              </w:rPr>
            </w:pP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November 1</w:t>
            </w:r>
          </w:p>
        </w:tc>
      </w:tr>
      <w:tr>
        <w:trPr>
          <w:trHeight w:val="188"/>
        </w:trPr>
        <w:tc>
          <w:tcPr>
            <w:tcW w:w="6640" w:type="dxa"/>
            <w:vAlign w:val="bottom"/>
          </w:tcPr>
          <w:p>
            <w:pPr>
              <w:spacing w:after="0"/>
              <w:rPr>
                <w:sz w:val="16"/>
                <w:szCs w:val="16"/>
                <w:color w:val="auto"/>
              </w:rPr>
            </w:pP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to</w:t>
            </w:r>
          </w:p>
        </w:tc>
      </w:tr>
      <w:tr>
        <w:trPr>
          <w:trHeight w:val="188"/>
        </w:trPr>
        <w:tc>
          <w:tcPr>
            <w:tcW w:w="66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December 31, 1996</w:t>
            </w:r>
          </w:p>
        </w:tc>
      </w:tr>
      <w:tr>
        <w:trPr>
          <w:trHeight w:val="376"/>
        </w:trPr>
        <w:tc>
          <w:tcPr>
            <w:tcW w:w="6640" w:type="dxa"/>
            <w:vAlign w:val="bottom"/>
          </w:tcPr>
          <w:p>
            <w:pPr>
              <w:jc w:val="right"/>
              <w:ind w:right="4599"/>
              <w:spacing w:after="0"/>
              <w:rPr>
                <w:sz w:val="20"/>
                <w:szCs w:val="20"/>
                <w:color w:val="auto"/>
              </w:rPr>
            </w:pPr>
            <w:r>
              <w:rPr>
                <w:rFonts w:ascii="Courier New" w:cs="Courier New" w:eastAsia="Courier New" w:hAnsi="Courier New"/>
                <w:sz w:val="16"/>
                <w:szCs w:val="16"/>
                <w:color w:val="auto"/>
              </w:rPr>
              <w:t>OPERATING ACTIVITIES</w:t>
            </w:r>
          </w:p>
        </w:tc>
        <w:tc>
          <w:tcPr>
            <w:tcW w:w="1860" w:type="dxa"/>
            <w:vAlign w:val="bottom"/>
          </w:tcPr>
          <w:p>
            <w:pPr>
              <w:spacing w:after="0"/>
              <w:rPr>
                <w:sz w:val="24"/>
                <w:szCs w:val="24"/>
                <w:color w:val="auto"/>
              </w:rPr>
            </w:pP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Net loss.......................................................</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($10,652)</w:t>
            </w:r>
          </w:p>
        </w:tc>
      </w:tr>
      <w:tr>
        <w:trPr>
          <w:trHeight w:val="188"/>
        </w:trPr>
        <w:tc>
          <w:tcPr>
            <w:tcW w:w="6640" w:type="dxa"/>
            <w:vAlign w:val="bottom"/>
          </w:tcPr>
          <w:p>
            <w:pPr>
              <w:jc w:val="right"/>
              <w:ind w:right="1859"/>
              <w:spacing w:after="0"/>
              <w:rPr>
                <w:sz w:val="20"/>
                <w:szCs w:val="20"/>
                <w:color w:val="auto"/>
              </w:rPr>
            </w:pPr>
            <w:r>
              <w:rPr>
                <w:rFonts w:ascii="Courier New" w:cs="Courier New" w:eastAsia="Courier New" w:hAnsi="Courier New"/>
                <w:sz w:val="16"/>
                <w:szCs w:val="16"/>
                <w:color w:val="auto"/>
              </w:rPr>
              <w:t>Adjustments to reconcile net loss to net cash</w:t>
            </w:r>
          </w:p>
        </w:tc>
        <w:tc>
          <w:tcPr>
            <w:tcW w:w="1860" w:type="dxa"/>
            <w:vAlign w:val="bottom"/>
          </w:tcPr>
          <w:p>
            <w:pPr>
              <w:spacing w:after="0"/>
              <w:rPr>
                <w:sz w:val="16"/>
                <w:szCs w:val="16"/>
                <w:color w:val="auto"/>
              </w:rPr>
            </w:pPr>
          </w:p>
        </w:tc>
      </w:tr>
      <w:tr>
        <w:trPr>
          <w:trHeight w:val="188"/>
        </w:trPr>
        <w:tc>
          <w:tcPr>
            <w:tcW w:w="6640" w:type="dxa"/>
            <w:vAlign w:val="bottom"/>
          </w:tcPr>
          <w:p>
            <w:pPr>
              <w:jc w:val="right"/>
              <w:ind w:right="2839"/>
              <w:spacing w:after="0"/>
              <w:rPr>
                <w:sz w:val="20"/>
                <w:szCs w:val="20"/>
                <w:color w:val="auto"/>
              </w:rPr>
            </w:pPr>
            <w:r>
              <w:rPr>
                <w:rFonts w:ascii="Courier New" w:cs="Courier New" w:eastAsia="Courier New" w:hAnsi="Courier New"/>
                <w:sz w:val="16"/>
                <w:szCs w:val="16"/>
                <w:color w:val="auto"/>
              </w:rPr>
              <w:t>provided by operating activities:</w:t>
            </w:r>
          </w:p>
        </w:tc>
        <w:tc>
          <w:tcPr>
            <w:tcW w:w="1860" w:type="dxa"/>
            <w:vAlign w:val="bottom"/>
          </w:tcPr>
          <w:p>
            <w:pPr>
              <w:spacing w:after="0"/>
              <w:rPr>
                <w:sz w:val="16"/>
                <w:szCs w:val="16"/>
                <w:color w:val="auto"/>
              </w:rPr>
            </w:pP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Depreciation and amortization..............................</w:t>
            </w: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28,989</w:t>
            </w: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Non-cash operating expenses charged by an affiliate........</w:t>
            </w: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4,413</w:t>
            </w: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Deferred income tax benefit................................</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(7,106)</w:t>
            </w:r>
          </w:p>
        </w:tc>
      </w:tr>
      <w:tr>
        <w:trPr>
          <w:trHeight w:val="188"/>
        </w:trPr>
        <w:tc>
          <w:tcPr>
            <w:tcW w:w="6640" w:type="dxa"/>
            <w:vAlign w:val="bottom"/>
          </w:tcPr>
          <w:p>
            <w:pPr>
              <w:spacing w:after="0"/>
              <w:rPr>
                <w:sz w:val="16"/>
                <w:szCs w:val="16"/>
                <w:color w:val="auto"/>
              </w:rPr>
            </w:pP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6640" w:type="dxa"/>
            <w:vAlign w:val="bottom"/>
          </w:tcPr>
          <w:p>
            <w:pPr>
              <w:spacing w:after="0"/>
              <w:rPr>
                <w:sz w:val="16"/>
                <w:szCs w:val="16"/>
                <w:color w:val="auto"/>
              </w:rPr>
            </w:pP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15,644</w:t>
            </w:r>
          </w:p>
        </w:tc>
      </w:tr>
      <w:tr>
        <w:trPr>
          <w:trHeight w:val="376"/>
        </w:trPr>
        <w:tc>
          <w:tcPr>
            <w:tcW w:w="6640" w:type="dxa"/>
            <w:vAlign w:val="bottom"/>
          </w:tcPr>
          <w:p>
            <w:pPr>
              <w:ind w:left="680"/>
              <w:spacing w:after="0"/>
              <w:rPr>
                <w:sz w:val="20"/>
                <w:szCs w:val="20"/>
                <w:color w:val="auto"/>
              </w:rPr>
            </w:pPr>
            <w:r>
              <w:rPr>
                <w:rFonts w:ascii="Courier New" w:cs="Courier New" w:eastAsia="Courier New" w:hAnsi="Courier New"/>
                <w:sz w:val="16"/>
                <w:szCs w:val="16"/>
                <w:color w:val="auto"/>
              </w:rPr>
              <w:t>Decrease in accounts receivable, inventories and</w:t>
            </w:r>
          </w:p>
        </w:tc>
        <w:tc>
          <w:tcPr>
            <w:tcW w:w="1860" w:type="dxa"/>
            <w:vAlign w:val="bottom"/>
          </w:tcPr>
          <w:p>
            <w:pPr>
              <w:spacing w:after="0"/>
              <w:rPr>
                <w:sz w:val="24"/>
                <w:szCs w:val="24"/>
                <w:color w:val="auto"/>
              </w:rPr>
            </w:pP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other current assets.....................................</w:t>
            </w: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145</w:t>
            </w:r>
          </w:p>
        </w:tc>
      </w:tr>
      <w:tr>
        <w:trPr>
          <w:trHeight w:val="188"/>
        </w:trPr>
        <w:tc>
          <w:tcPr>
            <w:tcW w:w="6640" w:type="dxa"/>
            <w:vAlign w:val="bottom"/>
          </w:tcPr>
          <w:p>
            <w:pPr>
              <w:ind w:left="680"/>
              <w:spacing w:after="0"/>
              <w:rPr>
                <w:sz w:val="20"/>
                <w:szCs w:val="20"/>
                <w:color w:val="auto"/>
              </w:rPr>
            </w:pPr>
            <w:r>
              <w:rPr>
                <w:rFonts w:ascii="Courier New" w:cs="Courier New" w:eastAsia="Courier New" w:hAnsi="Courier New"/>
                <w:sz w:val="16"/>
                <w:szCs w:val="16"/>
                <w:color w:val="auto"/>
              </w:rPr>
              <w:t>Increase in accounts payable and accrued</w:t>
            </w:r>
          </w:p>
        </w:tc>
        <w:tc>
          <w:tcPr>
            <w:tcW w:w="1860" w:type="dxa"/>
            <w:vAlign w:val="bottom"/>
          </w:tcPr>
          <w:p>
            <w:pPr>
              <w:spacing w:after="0"/>
              <w:rPr>
                <w:sz w:val="16"/>
                <w:szCs w:val="16"/>
                <w:color w:val="auto"/>
              </w:rPr>
            </w:pP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expenses and accrued interest............................</w:t>
            </w: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5,174</w:t>
            </w:r>
          </w:p>
        </w:tc>
      </w:tr>
      <w:tr>
        <w:trPr>
          <w:trHeight w:val="188"/>
        </w:trPr>
        <w:tc>
          <w:tcPr>
            <w:tcW w:w="6640" w:type="dxa"/>
            <w:vAlign w:val="bottom"/>
          </w:tcPr>
          <w:p>
            <w:pPr>
              <w:spacing w:after="0"/>
              <w:rPr>
                <w:sz w:val="16"/>
                <w:szCs w:val="16"/>
                <w:color w:val="auto"/>
              </w:rPr>
            </w:pP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20,963</w:t>
            </w:r>
          </w:p>
        </w:tc>
      </w:tr>
      <w:tr>
        <w:trPr>
          <w:trHeight w:val="188"/>
        </w:trPr>
        <w:tc>
          <w:tcPr>
            <w:tcW w:w="6640" w:type="dxa"/>
            <w:vAlign w:val="bottom"/>
          </w:tcPr>
          <w:p>
            <w:pPr>
              <w:spacing w:after="0"/>
              <w:rPr>
                <w:sz w:val="16"/>
                <w:szCs w:val="16"/>
                <w:color w:val="auto"/>
              </w:rPr>
            </w:pP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40" w:type="dxa"/>
            <w:vAlign w:val="bottom"/>
          </w:tcPr>
          <w:p>
            <w:pPr>
              <w:jc w:val="right"/>
              <w:ind w:right="4599"/>
              <w:spacing w:after="0"/>
              <w:rPr>
                <w:sz w:val="20"/>
                <w:szCs w:val="20"/>
                <w:color w:val="auto"/>
              </w:rPr>
            </w:pPr>
            <w:r>
              <w:rPr>
                <w:rFonts w:ascii="Courier New" w:cs="Courier New" w:eastAsia="Courier New" w:hAnsi="Courier New"/>
                <w:sz w:val="16"/>
                <w:szCs w:val="16"/>
                <w:color w:val="auto"/>
              </w:rPr>
              <w:t>FINANCING ACTIVITIES</w:t>
            </w:r>
          </w:p>
        </w:tc>
        <w:tc>
          <w:tcPr>
            <w:tcW w:w="1860" w:type="dxa"/>
            <w:vAlign w:val="bottom"/>
          </w:tcPr>
          <w:p>
            <w:pPr>
              <w:spacing w:after="0"/>
              <w:rPr>
                <w:sz w:val="24"/>
                <w:szCs w:val="24"/>
                <w:color w:val="auto"/>
              </w:rPr>
            </w:pP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Proceeds from borrowing........................................</w:t>
            </w: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150,000</w:t>
            </w: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Repayment of long-term debt....................................</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(25,000)</w:t>
            </w: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Net transactions with affiliates...............................</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(2,174)</w:t>
            </w: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Return of capital to parent....................................</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(120,000)</w:t>
            </w:r>
          </w:p>
        </w:tc>
      </w:tr>
      <w:tr>
        <w:trPr>
          <w:trHeight w:val="188"/>
        </w:trPr>
        <w:tc>
          <w:tcPr>
            <w:tcW w:w="6640" w:type="dxa"/>
            <w:vAlign w:val="bottom"/>
          </w:tcPr>
          <w:p>
            <w:pPr>
              <w:spacing w:after="0"/>
              <w:rPr>
                <w:sz w:val="16"/>
                <w:szCs w:val="16"/>
                <w:color w:val="auto"/>
              </w:rPr>
            </w:pP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2,826</w:t>
            </w:r>
          </w:p>
        </w:tc>
      </w:tr>
      <w:tr>
        <w:trPr>
          <w:trHeight w:val="188"/>
        </w:trPr>
        <w:tc>
          <w:tcPr>
            <w:tcW w:w="6640" w:type="dxa"/>
            <w:vAlign w:val="bottom"/>
          </w:tcPr>
          <w:p>
            <w:pPr>
              <w:spacing w:after="0"/>
              <w:rPr>
                <w:sz w:val="16"/>
                <w:szCs w:val="16"/>
                <w:color w:val="auto"/>
              </w:rPr>
            </w:pP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40" w:type="dxa"/>
            <w:vAlign w:val="bottom"/>
          </w:tcPr>
          <w:p>
            <w:pPr>
              <w:jc w:val="right"/>
              <w:ind w:right="4599"/>
              <w:spacing w:after="0"/>
              <w:rPr>
                <w:sz w:val="20"/>
                <w:szCs w:val="20"/>
                <w:color w:val="auto"/>
              </w:rPr>
            </w:pPr>
            <w:r>
              <w:rPr>
                <w:rFonts w:ascii="Courier New" w:cs="Courier New" w:eastAsia="Courier New" w:hAnsi="Courier New"/>
                <w:sz w:val="16"/>
                <w:szCs w:val="16"/>
                <w:color w:val="auto"/>
              </w:rPr>
              <w:t>INVESTING ACTIVITIES</w:t>
            </w:r>
          </w:p>
        </w:tc>
        <w:tc>
          <w:tcPr>
            <w:tcW w:w="1860" w:type="dxa"/>
            <w:vAlign w:val="bottom"/>
          </w:tcPr>
          <w:p>
            <w:pPr>
              <w:spacing w:after="0"/>
              <w:rPr>
                <w:sz w:val="24"/>
                <w:szCs w:val="24"/>
                <w:color w:val="auto"/>
              </w:rPr>
            </w:pP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Capital expenditures and other.................................</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(11,267)</w:t>
            </w:r>
          </w:p>
        </w:tc>
      </w:tr>
      <w:tr>
        <w:trPr>
          <w:trHeight w:val="188"/>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Cash held by an affiliate......................................</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(9,475)</w:t>
            </w:r>
          </w:p>
        </w:tc>
      </w:tr>
      <w:tr>
        <w:trPr>
          <w:trHeight w:val="188"/>
        </w:trPr>
        <w:tc>
          <w:tcPr>
            <w:tcW w:w="6640" w:type="dxa"/>
            <w:vAlign w:val="bottom"/>
          </w:tcPr>
          <w:p>
            <w:pPr>
              <w:spacing w:after="0"/>
              <w:rPr>
                <w:sz w:val="16"/>
                <w:szCs w:val="16"/>
                <w:color w:val="auto"/>
              </w:rPr>
            </w:pP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Net cash used in investing activities....................</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(20,742)</w:t>
            </w:r>
          </w:p>
        </w:tc>
      </w:tr>
      <w:tr>
        <w:trPr>
          <w:trHeight w:val="188"/>
        </w:trPr>
        <w:tc>
          <w:tcPr>
            <w:tcW w:w="6640" w:type="dxa"/>
            <w:vAlign w:val="bottom"/>
          </w:tcPr>
          <w:p>
            <w:pPr>
              <w:spacing w:after="0"/>
              <w:rPr>
                <w:sz w:val="16"/>
                <w:szCs w:val="16"/>
                <w:color w:val="auto"/>
              </w:rPr>
            </w:pP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INCREASE IN CASH..................................................</w:t>
            </w: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3,047</w:t>
            </w:r>
          </w:p>
        </w:tc>
      </w:tr>
      <w:tr>
        <w:trPr>
          <w:trHeight w:val="376"/>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CASH, beginning of period.........................................</w:t>
            </w:r>
          </w:p>
        </w:tc>
        <w:tc>
          <w:tcPr>
            <w:tcW w:w="1860" w:type="dxa"/>
            <w:vAlign w:val="bottom"/>
          </w:tcPr>
          <w:p>
            <w:pPr>
              <w:spacing w:after="0"/>
              <w:rPr>
                <w:sz w:val="24"/>
                <w:szCs w:val="24"/>
                <w:color w:val="auto"/>
              </w:rPr>
            </w:pPr>
          </w:p>
        </w:tc>
      </w:tr>
      <w:tr>
        <w:trPr>
          <w:trHeight w:val="188"/>
        </w:trPr>
        <w:tc>
          <w:tcPr>
            <w:tcW w:w="6640" w:type="dxa"/>
            <w:vAlign w:val="bottom"/>
          </w:tcPr>
          <w:p>
            <w:pPr>
              <w:spacing w:after="0"/>
              <w:rPr>
                <w:sz w:val="16"/>
                <w:szCs w:val="16"/>
                <w:color w:val="auto"/>
              </w:rPr>
            </w:pP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6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CASH, end of period...............................................</w:t>
            </w: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$3,047</w:t>
            </w:r>
          </w:p>
        </w:tc>
      </w:tr>
      <w:tr>
        <w:trPr>
          <w:trHeight w:val="188"/>
        </w:trPr>
        <w:tc>
          <w:tcPr>
            <w:tcW w:w="6640" w:type="dxa"/>
            <w:vAlign w:val="bottom"/>
          </w:tcPr>
          <w:p>
            <w:pPr>
              <w:spacing w:after="0"/>
              <w:rPr>
                <w:sz w:val="16"/>
                <w:szCs w:val="16"/>
                <w:color w:val="auto"/>
              </w:rPr>
            </w:pPr>
          </w:p>
        </w:tc>
        <w:tc>
          <w:tcPr>
            <w:tcW w:w="1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and combined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49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STATEMENT OF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5"/>
                <w:szCs w:val="15"/>
                <w:color w:val="auto"/>
              </w:rPr>
            </w:pPr>
          </w:p>
        </w:tc>
        <w:tc>
          <w:tcPr>
            <w:tcW w:w="4880" w:type="dxa"/>
            <w:vAlign w:val="bottom"/>
            <w:gridSpan w:val="3"/>
          </w:tcPr>
          <w:p>
            <w:pPr>
              <w:jc w:val="right"/>
              <w:ind w:right="1199"/>
              <w:spacing w:after="0"/>
              <w:rPr>
                <w:sz w:val="20"/>
                <w:szCs w:val="20"/>
                <w:color w:val="auto"/>
              </w:rPr>
            </w:pPr>
            <w:r>
              <w:rPr>
                <w:rFonts w:ascii="Courier New" w:cs="Courier New" w:eastAsia="Courier New" w:hAnsi="Courier New"/>
                <w:sz w:val="16"/>
                <w:szCs w:val="16"/>
                <w:color w:val="auto"/>
              </w:rPr>
              <w:t>Predecessor Corporation</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January 1</w:t>
            </w:r>
          </w:p>
        </w:tc>
        <w:tc>
          <w:tcPr>
            <w:tcW w:w="102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9"/>
              </w:rPr>
              <w:t>Year Ended</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to</w:t>
            </w:r>
          </w:p>
        </w:tc>
        <w:tc>
          <w:tcPr>
            <w:tcW w:w="27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October 31, 1996</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1995</w:t>
            </w:r>
          </w:p>
        </w:tc>
        <w:tc>
          <w:tcPr>
            <w:tcW w:w="1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r>
      <w:tr>
        <w:trPr>
          <w:trHeight w:val="376"/>
        </w:trPr>
        <w:tc>
          <w:tcPr>
            <w:tcW w:w="646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Net income.................................................</w:t>
            </w: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$7,388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$17,690</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$7,079</w:t>
            </w:r>
          </w:p>
        </w:tc>
      </w:tr>
      <w:tr>
        <w:trPr>
          <w:trHeight w:val="188"/>
        </w:trPr>
        <w:tc>
          <w:tcPr>
            <w:tcW w:w="6460" w:type="dxa"/>
            <w:vAlign w:val="bottom"/>
          </w:tcPr>
          <w:p>
            <w:pPr>
              <w:jc w:val="right"/>
              <w:ind w:right="1499"/>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2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8"/>
        </w:trPr>
        <w:tc>
          <w:tcPr>
            <w:tcW w:w="6460" w:type="dxa"/>
            <w:vAlign w:val="bottom"/>
          </w:tcPr>
          <w:p>
            <w:pPr>
              <w:jc w:val="right"/>
              <w:ind w:right="2759"/>
              <w:spacing w:after="0"/>
              <w:rPr>
                <w:sz w:val="20"/>
                <w:szCs w:val="20"/>
                <w:color w:val="auto"/>
              </w:rPr>
            </w:pPr>
            <w:r>
              <w:rPr>
                <w:rFonts w:ascii="Courier New" w:cs="Courier New" w:eastAsia="Courier New" w:hAnsi="Courier New"/>
                <w:sz w:val="16"/>
                <w:szCs w:val="16"/>
                <w:color w:val="auto"/>
              </w:rPr>
              <w:t>provided by operating activities:</w:t>
            </w:r>
          </w:p>
        </w:tc>
        <w:tc>
          <w:tcPr>
            <w:tcW w:w="2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Depreciation and amortization............................</w:t>
            </w: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45,964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54,099</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57,331</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Merger expenses..........................................</w:t>
            </w: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13,566</w:t>
            </w: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Gain on sale of cable television system..................</w:t>
            </w:r>
          </w:p>
        </w:tc>
        <w:tc>
          <w:tcPr>
            <w:tcW w:w="2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(1,502)</w:t>
            </w:r>
          </w:p>
        </w:tc>
        <w:tc>
          <w:tcPr>
            <w:tcW w:w="1760" w:type="dxa"/>
            <w:vAlign w:val="bottom"/>
          </w:tcPr>
          <w:p>
            <w:pPr>
              <w:spacing w:after="0"/>
              <w:rPr>
                <w:sz w:val="16"/>
                <w:szCs w:val="16"/>
                <w:color w:val="auto"/>
              </w:rPr>
            </w:pP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Adjustment of liability for prior year income taxes......</w:t>
            </w:r>
          </w:p>
        </w:tc>
        <w:tc>
          <w:tcPr>
            <w:tcW w:w="2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(11,800)</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Payment of prior year income taxes to parent.............</w:t>
            </w:r>
          </w:p>
        </w:tc>
        <w:tc>
          <w:tcPr>
            <w:tcW w:w="2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(7,400)</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Prepaid franchise fees...................................</w:t>
            </w:r>
          </w:p>
        </w:tc>
        <w:tc>
          <w:tcPr>
            <w:tcW w:w="21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2,576</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2,574</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Refundable property taxes................................</w:t>
            </w:r>
          </w:p>
        </w:tc>
        <w:tc>
          <w:tcPr>
            <w:tcW w:w="21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10,400</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(6,612)</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Commitments and contingencies and other, net.............</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(2,932)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(5,368)</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11,921</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Deferred income tax benefit..............................</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(8,212)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(449)</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(657)</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55,774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77,446</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52,436</w:t>
            </w:r>
          </w:p>
        </w:tc>
      </w:tr>
      <w:tr>
        <w:trPr>
          <w:trHeight w:val="188"/>
        </w:trPr>
        <w:tc>
          <w:tcPr>
            <w:tcW w:w="6460" w:type="dxa"/>
            <w:vAlign w:val="bottom"/>
          </w:tcPr>
          <w:p>
            <w:pPr>
              <w:jc w:val="right"/>
              <w:ind w:right="1779"/>
              <w:spacing w:after="0"/>
              <w:rPr>
                <w:sz w:val="20"/>
                <w:szCs w:val="20"/>
                <w:color w:val="auto"/>
              </w:rPr>
            </w:pPr>
            <w:r>
              <w:rPr>
                <w:rFonts w:ascii="Courier New" w:cs="Courier New" w:eastAsia="Courier New" w:hAnsi="Courier New"/>
                <w:sz w:val="16"/>
                <w:szCs w:val="16"/>
                <w:color w:val="auto"/>
              </w:rPr>
              <w:t>Other changes in working capital accounts:</w:t>
            </w:r>
          </w:p>
        </w:tc>
        <w:tc>
          <w:tcPr>
            <w:tcW w:w="2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Accounts receivable....................................</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(268)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(2,193)</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(2,064)</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Inventories............................................</w:t>
            </w: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2,407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(2,389)</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3,946</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Accounts payable.......................................</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(6,048)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(2,671)</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2,142</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Other, net.............................................</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(4,024)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1,822</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238</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47,841</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72,015</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56,698</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4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Advances from parent.......................................</w:t>
            </w: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69,108</w:t>
            </w:r>
          </w:p>
        </w:tc>
        <w:tc>
          <w:tcPr>
            <w:tcW w:w="1020" w:type="dxa"/>
            <w:vAlign w:val="bottom"/>
          </w:tcPr>
          <w:p>
            <w:pPr>
              <w:spacing w:after="0"/>
              <w:rPr>
                <w:sz w:val="16"/>
                <w:szCs w:val="16"/>
                <w:color w:val="auto"/>
              </w:rPr>
            </w:pP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13,455</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Repayments of advances from parent.........................</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(1,894)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(23,595)</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(2,102)</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Other, net.................................................</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(625)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(1,875)</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460" w:type="dxa"/>
            <w:vAlign w:val="bottom"/>
          </w:tcPr>
          <w:p>
            <w:pPr>
              <w:jc w:val="right"/>
              <w:ind w:right="2559"/>
              <w:spacing w:after="0"/>
              <w:rPr>
                <w:sz w:val="20"/>
                <w:szCs w:val="20"/>
                <w:color w:val="auto"/>
              </w:rPr>
            </w:pPr>
            <w:r>
              <w:rPr>
                <w:rFonts w:ascii="Courier New" w:cs="Courier New" w:eastAsia="Courier New" w:hAnsi="Courier New"/>
                <w:sz w:val="16"/>
                <w:szCs w:val="16"/>
                <w:color w:val="auto"/>
              </w:rPr>
              <w:t>Net cash provided by (used in)</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financing activities..............................</w:t>
            </w: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66,589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(26,095)</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9,478</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4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Acquisitions...............................................</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(62,099)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(384)</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(26,501)</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Capital expenditures.......................................</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(54,283)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(47,484)</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(41,616)</w:t>
            </w: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Proceeds from sale of cable television system..............</w:t>
            </w:r>
          </w:p>
        </w:tc>
        <w:tc>
          <w:tcPr>
            <w:tcW w:w="21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2,800</w:t>
            </w:r>
          </w:p>
        </w:tc>
        <w:tc>
          <w:tcPr>
            <w:tcW w:w="1760" w:type="dxa"/>
            <w:vAlign w:val="bottom"/>
          </w:tcPr>
          <w:p>
            <w:pPr>
              <w:spacing w:after="0"/>
              <w:rPr>
                <w:sz w:val="16"/>
                <w:szCs w:val="16"/>
                <w:color w:val="auto"/>
              </w:rPr>
            </w:pP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Other, net.................................................</w:t>
            </w: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422</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130</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1,948</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Net cash used in investing activities................</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(115,960)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(44,938)</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(66,169)</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460" w:type="dxa"/>
            <w:vAlign w:val="bottom"/>
          </w:tcPr>
          <w:p>
            <w:pPr>
              <w:spacing w:after="0"/>
              <w:rPr>
                <w:sz w:val="20"/>
                <w:szCs w:val="20"/>
                <w:color w:val="auto"/>
              </w:rPr>
            </w:pPr>
            <w:r>
              <w:rPr>
                <w:rFonts w:ascii="Courier New" w:cs="Courier New" w:eastAsia="Courier New" w:hAnsi="Courier New"/>
                <w:sz w:val="16"/>
                <w:szCs w:val="16"/>
                <w:color w:val="auto"/>
              </w:rPr>
              <w:t>(DECREASE) INCREASE IN CASH AND</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CASH EQUIVALENTS............................................</w:t>
            </w:r>
          </w:p>
        </w:tc>
        <w:tc>
          <w:tcPr>
            <w:tcW w:w="21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(1,530)</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982</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w:t>
            </w:r>
          </w:p>
        </w:tc>
      </w:tr>
      <w:tr>
        <w:trPr>
          <w:trHeight w:val="376"/>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3,085</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2,103</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2,096</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CASH AND CASH EQUIVALENTS, end of period......................</w:t>
            </w: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$1,555</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$3,085</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$2,103</w:t>
            </w:r>
          </w:p>
        </w:tc>
      </w:tr>
      <w:tr>
        <w:trPr>
          <w:trHeight w:val="188"/>
        </w:trPr>
        <w:tc>
          <w:tcPr>
            <w:tcW w:w="6460" w:type="dxa"/>
            <w:vAlign w:val="bottom"/>
          </w:tcPr>
          <w:p>
            <w:pPr>
              <w:spacing w:after="0"/>
              <w:rPr>
                <w:sz w:val="16"/>
                <w:szCs w:val="16"/>
                <w:color w:val="auto"/>
              </w:rPr>
            </w:pPr>
          </w:p>
        </w:tc>
        <w:tc>
          <w:tcPr>
            <w:tcW w:w="21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and combined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1340"/>
          </w:cols>
          <w:pgMar w:left="240" w:top="492" w:right="31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AND COMBINED STATEMENT OF STOCKHOLDERS' EQUITY (DEFICIENCY)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13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Common</w:t>
            </w:r>
          </w:p>
        </w:tc>
        <w:tc>
          <w:tcPr>
            <w:tcW w:w="176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Additional</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Accumulated</w:t>
            </w:r>
          </w:p>
        </w:tc>
        <w:tc>
          <w:tcPr>
            <w:tcW w:w="1360" w:type="dxa"/>
            <w:vAlign w:val="bottom"/>
          </w:tcPr>
          <w:p>
            <w:pPr>
              <w:spacing w:after="0"/>
              <w:rPr>
                <w:sz w:val="15"/>
                <w:szCs w:val="15"/>
                <w:color w:val="auto"/>
              </w:rPr>
            </w:pPr>
          </w:p>
        </w:tc>
      </w:tr>
      <w:tr>
        <w:trPr>
          <w:trHeight w:val="188"/>
        </w:trPr>
        <w:tc>
          <w:tcPr>
            <w:tcW w:w="4640" w:type="dxa"/>
            <w:vAlign w:val="bottom"/>
          </w:tcPr>
          <w:p>
            <w:pPr>
              <w:spacing w:after="0"/>
              <w:rPr>
                <w:sz w:val="16"/>
                <w:szCs w:val="16"/>
                <w:color w:val="auto"/>
              </w:rPr>
            </w:pPr>
          </w:p>
        </w:tc>
        <w:tc>
          <w:tcPr>
            <w:tcW w:w="13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Stock</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Capital</w:t>
            </w:r>
          </w:p>
        </w:tc>
        <w:tc>
          <w:tcPr>
            <w:tcW w:w="1700" w:type="dxa"/>
            <w:vAlign w:val="bottom"/>
          </w:tcPr>
          <w:p>
            <w:pPr>
              <w:ind w:left="520"/>
              <w:spacing w:after="0"/>
              <w:rPr>
                <w:sz w:val="20"/>
                <w:szCs w:val="20"/>
                <w:color w:val="auto"/>
              </w:rPr>
            </w:pPr>
            <w:r>
              <w:rPr>
                <w:rFonts w:ascii="Courier New" w:cs="Courier New" w:eastAsia="Courier New" w:hAnsi="Courier New"/>
                <w:sz w:val="16"/>
                <w:szCs w:val="16"/>
                <w:color w:val="auto"/>
              </w:rPr>
              <w:t>Deficit</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Total</w:t>
            </w:r>
          </w:p>
        </w:tc>
      </w:tr>
      <w:tr>
        <w:trPr>
          <w:trHeight w:val="564"/>
        </w:trPr>
        <w:tc>
          <w:tcPr>
            <w:tcW w:w="4640" w:type="dxa"/>
            <w:vAlign w:val="bottom"/>
          </w:tcPr>
          <w:p>
            <w:pPr>
              <w:spacing w:after="0"/>
              <w:rPr>
                <w:sz w:val="20"/>
                <w:szCs w:val="20"/>
                <w:color w:val="auto"/>
              </w:rPr>
            </w:pPr>
            <w:r>
              <w:rPr>
                <w:rFonts w:ascii="Courier New" w:cs="Courier New" w:eastAsia="Courier New" w:hAnsi="Courier New"/>
                <w:sz w:val="16"/>
                <w:szCs w:val="16"/>
                <w:color w:val="auto"/>
              </w:rPr>
              <w:t>PREDECESSOR CORPORATION</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6"/>
        </w:trPr>
        <w:tc>
          <w:tcPr>
            <w:tcW w:w="4640" w:type="dxa"/>
            <w:vAlign w:val="bottom"/>
          </w:tcPr>
          <w:p>
            <w:pPr>
              <w:spacing w:after="0"/>
              <w:rPr>
                <w:sz w:val="20"/>
                <w:szCs w:val="20"/>
                <w:color w:val="auto"/>
              </w:rPr>
            </w:pPr>
            <w:r>
              <w:rPr>
                <w:rFonts w:ascii="Courier New" w:cs="Courier New" w:eastAsia="Courier New" w:hAnsi="Courier New"/>
                <w:sz w:val="16"/>
                <w:szCs w:val="16"/>
                <w:color w:val="auto"/>
              </w:rPr>
              <w:t>BALANCE, JANUARY 1, 1994 .....................</w:t>
            </w:r>
          </w:p>
        </w:tc>
        <w:tc>
          <w:tcPr>
            <w:tcW w:w="13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$1,801</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$35,144</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($76,670)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($39,725)</w:t>
            </w:r>
          </w:p>
        </w:tc>
      </w:tr>
      <w:tr>
        <w:trPr>
          <w:trHeight w:val="376"/>
        </w:trPr>
        <w:tc>
          <w:tcPr>
            <w:tcW w:w="4640" w:type="dxa"/>
            <w:vAlign w:val="bottom"/>
          </w:tcPr>
          <w:p>
            <w:pPr>
              <w:spacing w:after="0"/>
              <w:rPr>
                <w:sz w:val="20"/>
                <w:szCs w:val="20"/>
                <w:color w:val="auto"/>
              </w:rPr>
            </w:pPr>
            <w:r>
              <w:rPr>
                <w:rFonts w:ascii="Courier New" w:cs="Courier New" w:eastAsia="Courier New" w:hAnsi="Courier New"/>
                <w:sz w:val="16"/>
                <w:szCs w:val="16"/>
                <w:color w:val="auto"/>
              </w:rPr>
              <w:t>Net income ...................................</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7,079</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7,079</w:t>
            </w:r>
          </w:p>
        </w:tc>
      </w:tr>
      <w:tr>
        <w:trPr>
          <w:trHeight w:val="188"/>
        </w:trPr>
        <w:tc>
          <w:tcPr>
            <w:tcW w:w="46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640" w:type="dxa"/>
            <w:vAlign w:val="bottom"/>
          </w:tcPr>
          <w:p>
            <w:pPr>
              <w:spacing w:after="0"/>
              <w:rPr>
                <w:sz w:val="20"/>
                <w:szCs w:val="20"/>
                <w:color w:val="auto"/>
              </w:rPr>
            </w:pPr>
            <w:r>
              <w:rPr>
                <w:rFonts w:ascii="Courier New" w:cs="Courier New" w:eastAsia="Courier New" w:hAnsi="Courier New"/>
                <w:sz w:val="16"/>
                <w:szCs w:val="16"/>
                <w:color w:val="auto"/>
              </w:rPr>
              <w:t>BALANCE, DECEMBER 31, 1994 ...................</w:t>
            </w:r>
          </w:p>
        </w:tc>
        <w:tc>
          <w:tcPr>
            <w:tcW w:w="13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1,801</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35,144</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(69,591)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(32,646)</w:t>
            </w:r>
          </w:p>
        </w:tc>
      </w:tr>
      <w:tr>
        <w:trPr>
          <w:trHeight w:val="376"/>
        </w:trPr>
        <w:tc>
          <w:tcPr>
            <w:tcW w:w="4640" w:type="dxa"/>
            <w:vAlign w:val="bottom"/>
          </w:tcPr>
          <w:p>
            <w:pPr>
              <w:spacing w:after="0"/>
              <w:rPr>
                <w:sz w:val="20"/>
                <w:szCs w:val="20"/>
                <w:color w:val="auto"/>
              </w:rPr>
            </w:pPr>
            <w:r>
              <w:rPr>
                <w:rFonts w:ascii="Courier New" w:cs="Courier New" w:eastAsia="Courier New" w:hAnsi="Courier New"/>
                <w:sz w:val="16"/>
                <w:szCs w:val="16"/>
                <w:color w:val="auto"/>
              </w:rPr>
              <w:t>Net income ...................................</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17,690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17,690</w:t>
            </w:r>
          </w:p>
        </w:tc>
      </w:tr>
      <w:tr>
        <w:trPr>
          <w:trHeight w:val="188"/>
        </w:trPr>
        <w:tc>
          <w:tcPr>
            <w:tcW w:w="46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640" w:type="dxa"/>
            <w:vAlign w:val="bottom"/>
          </w:tcPr>
          <w:p>
            <w:pPr>
              <w:spacing w:after="0"/>
              <w:rPr>
                <w:sz w:val="20"/>
                <w:szCs w:val="20"/>
                <w:color w:val="auto"/>
              </w:rPr>
            </w:pPr>
            <w:r>
              <w:rPr>
                <w:rFonts w:ascii="Courier New" w:cs="Courier New" w:eastAsia="Courier New" w:hAnsi="Courier New"/>
                <w:sz w:val="16"/>
                <w:szCs w:val="16"/>
                <w:color w:val="auto"/>
              </w:rPr>
              <w:t>BALANCE, DECEMBER 31, 1995 ...................</w:t>
            </w:r>
          </w:p>
        </w:tc>
        <w:tc>
          <w:tcPr>
            <w:tcW w:w="13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1,801</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35,144</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(51,901)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(14,956)</w:t>
            </w:r>
          </w:p>
        </w:tc>
      </w:tr>
      <w:tr>
        <w:trPr>
          <w:trHeight w:val="376"/>
        </w:trPr>
        <w:tc>
          <w:tcPr>
            <w:tcW w:w="4640" w:type="dxa"/>
            <w:vAlign w:val="bottom"/>
          </w:tcPr>
          <w:p>
            <w:pPr>
              <w:spacing w:after="0"/>
              <w:rPr>
                <w:sz w:val="20"/>
                <w:szCs w:val="20"/>
                <w:color w:val="auto"/>
              </w:rPr>
            </w:pPr>
            <w:r>
              <w:rPr>
                <w:rFonts w:ascii="Courier New" w:cs="Courier New" w:eastAsia="Courier New" w:hAnsi="Courier New"/>
                <w:sz w:val="16"/>
                <w:szCs w:val="16"/>
                <w:color w:val="auto"/>
              </w:rPr>
              <w:t>Net income ...................................</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7,388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7,388</w:t>
            </w:r>
          </w:p>
        </w:tc>
      </w:tr>
      <w:tr>
        <w:trPr>
          <w:trHeight w:val="188"/>
        </w:trPr>
        <w:tc>
          <w:tcPr>
            <w:tcW w:w="46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640" w:type="dxa"/>
            <w:vAlign w:val="bottom"/>
          </w:tcPr>
          <w:p>
            <w:pPr>
              <w:spacing w:after="0"/>
              <w:rPr>
                <w:sz w:val="20"/>
                <w:szCs w:val="20"/>
                <w:color w:val="auto"/>
              </w:rPr>
            </w:pPr>
            <w:r>
              <w:rPr>
                <w:rFonts w:ascii="Courier New" w:cs="Courier New" w:eastAsia="Courier New" w:hAnsi="Courier New"/>
                <w:sz w:val="16"/>
                <w:szCs w:val="16"/>
                <w:color w:val="auto"/>
              </w:rPr>
              <w:t>BALANCE, OCTOBER 31, 1996 ....................</w:t>
            </w:r>
          </w:p>
        </w:tc>
        <w:tc>
          <w:tcPr>
            <w:tcW w:w="13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$1,801</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$35,144</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($44,513)</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($7,568)</w:t>
            </w:r>
          </w:p>
        </w:tc>
      </w:tr>
      <w:tr>
        <w:trPr>
          <w:trHeight w:val="188"/>
        </w:trPr>
        <w:tc>
          <w:tcPr>
            <w:tcW w:w="46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640" w:type="dxa"/>
            <w:vAlign w:val="bottom"/>
          </w:tcPr>
          <w:p>
            <w:pPr>
              <w:spacing w:after="0"/>
              <w:rPr>
                <w:sz w:val="20"/>
                <w:szCs w:val="20"/>
                <w:color w:val="auto"/>
              </w:rPr>
            </w:pPr>
            <w:r>
              <w:rPr>
                <w:rFonts w:ascii="Courier New" w:cs="Courier New" w:eastAsia="Courier New" w:hAnsi="Courier New"/>
                <w:sz w:val="16"/>
                <w:szCs w:val="16"/>
                <w:color w:val="auto"/>
              </w:rPr>
              <w:t>SUCCESSOR CORPORATION</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6"/>
        </w:trPr>
        <w:tc>
          <w:tcPr>
            <w:tcW w:w="4640" w:type="dxa"/>
            <w:vAlign w:val="bottom"/>
          </w:tcPr>
          <w:p>
            <w:pPr>
              <w:spacing w:after="0"/>
              <w:rPr>
                <w:sz w:val="20"/>
                <w:szCs w:val="20"/>
                <w:color w:val="auto"/>
              </w:rPr>
            </w:pPr>
            <w:r>
              <w:rPr>
                <w:rFonts w:ascii="Courier New" w:cs="Courier New" w:eastAsia="Courier New" w:hAnsi="Courier New"/>
                <w:sz w:val="16"/>
                <w:szCs w:val="16"/>
                <w:color w:val="auto"/>
              </w:rPr>
              <w:t>Capital contribution .........................</w:t>
            </w:r>
          </w:p>
        </w:tc>
        <w:tc>
          <w:tcPr>
            <w:tcW w:w="1380" w:type="dxa"/>
            <w:vAlign w:val="bottom"/>
          </w:tcPr>
          <w:p>
            <w:pPr>
              <w:jc w:val="right"/>
              <w:ind w:right="105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$1,551,578</w:t>
            </w:r>
          </w:p>
        </w:tc>
        <w:tc>
          <w:tcPr>
            <w:tcW w:w="17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$1,551,578</w:t>
            </w:r>
          </w:p>
        </w:tc>
      </w:tr>
      <w:tr>
        <w:trPr>
          <w:trHeight w:val="188"/>
        </w:trPr>
        <w:tc>
          <w:tcPr>
            <w:tcW w:w="4640" w:type="dxa"/>
            <w:vAlign w:val="bottom"/>
          </w:tcPr>
          <w:p>
            <w:pPr>
              <w:spacing w:after="0"/>
              <w:rPr>
                <w:sz w:val="20"/>
                <w:szCs w:val="20"/>
                <w:color w:val="auto"/>
              </w:rPr>
            </w:pPr>
            <w:r>
              <w:rPr>
                <w:rFonts w:ascii="Courier New" w:cs="Courier New" w:eastAsia="Courier New" w:hAnsi="Courier New"/>
                <w:sz w:val="16"/>
                <w:szCs w:val="16"/>
                <w:color w:val="auto"/>
              </w:rPr>
              <w:t>Net loss .....................................</w:t>
            </w:r>
          </w:p>
        </w:tc>
        <w:tc>
          <w:tcPr>
            <w:tcW w:w="1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(10,652)</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(10,652)</w:t>
            </w:r>
          </w:p>
        </w:tc>
      </w:tr>
      <w:tr>
        <w:trPr>
          <w:trHeight w:val="188"/>
        </w:trPr>
        <w:tc>
          <w:tcPr>
            <w:tcW w:w="4640" w:type="dxa"/>
            <w:vAlign w:val="bottom"/>
          </w:tcPr>
          <w:p>
            <w:pPr>
              <w:spacing w:after="0"/>
              <w:rPr>
                <w:sz w:val="20"/>
                <w:szCs w:val="20"/>
                <w:color w:val="auto"/>
              </w:rPr>
            </w:pPr>
            <w:r>
              <w:rPr>
                <w:rFonts w:ascii="Courier New" w:cs="Courier New" w:eastAsia="Courier New" w:hAnsi="Courier New"/>
                <w:sz w:val="16"/>
                <w:szCs w:val="16"/>
                <w:color w:val="auto"/>
              </w:rPr>
              <w:t>Return of capital to parent ..................</w:t>
            </w:r>
          </w:p>
        </w:tc>
        <w:tc>
          <w:tcPr>
            <w:tcW w:w="1380" w:type="dxa"/>
            <w:vAlign w:val="bottom"/>
          </w:tcPr>
          <w:p>
            <w:pPr>
              <w:spacing w:after="0"/>
              <w:rPr>
                <w:sz w:val="16"/>
                <w:szCs w:val="16"/>
                <w:color w:val="auto"/>
              </w:rPr>
            </w:pPr>
          </w:p>
        </w:tc>
        <w:tc>
          <w:tcPr>
            <w:tcW w:w="176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(120,000)</w:t>
            </w:r>
          </w:p>
        </w:tc>
        <w:tc>
          <w:tcPr>
            <w:tcW w:w="17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(120,000)</w:t>
            </w:r>
          </w:p>
        </w:tc>
      </w:tr>
      <w:tr>
        <w:trPr>
          <w:trHeight w:val="188"/>
        </w:trPr>
        <w:tc>
          <w:tcPr>
            <w:tcW w:w="46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640" w:type="dxa"/>
            <w:vAlign w:val="bottom"/>
          </w:tcPr>
          <w:p>
            <w:pPr>
              <w:spacing w:after="0"/>
              <w:rPr>
                <w:sz w:val="20"/>
                <w:szCs w:val="20"/>
                <w:color w:val="auto"/>
              </w:rPr>
            </w:pPr>
            <w:r>
              <w:rPr>
                <w:rFonts w:ascii="Courier New" w:cs="Courier New" w:eastAsia="Courier New" w:hAnsi="Courier New"/>
                <w:sz w:val="16"/>
                <w:szCs w:val="16"/>
                <w:color w:val="auto"/>
              </w:rPr>
              <w:t>BALANCE, DECEMBER 31, 1996 ...................</w:t>
            </w:r>
          </w:p>
        </w:tc>
        <w:tc>
          <w:tcPr>
            <w:tcW w:w="1380" w:type="dxa"/>
            <w:vAlign w:val="bottom"/>
          </w:tcPr>
          <w:p>
            <w:pPr>
              <w:jc w:val="right"/>
              <w:ind w:right="105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$1,431,578</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($10,652)</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$1,420,926</w:t>
            </w:r>
          </w:p>
        </w:tc>
      </w:tr>
      <w:tr>
        <w:trPr>
          <w:trHeight w:val="188"/>
        </w:trPr>
        <w:tc>
          <w:tcPr>
            <w:tcW w:w="46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and combined financial statements.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840"/>
          </w:cols>
          <w:pgMar w:left="240" w:top="492" w:right="81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AND COMBINED FINANCIAL STATEMENTS</w:t>
      </w:r>
    </w:p>
    <w:p>
      <w:pPr>
        <w:spacing w:after="0" w:line="7"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PERIODS FROM JANUARY 1, 1996 TO OCTOBER 31, 1996 AND NOVEMBER 1, 1996 TO DECEMBER 31, 1996 AND YEARS ENDED DECEMBER 31, 1995 AND 1994</w:t>
      </w:r>
    </w:p>
    <w:p>
      <w:pPr>
        <w:spacing w:after="0" w:line="371" w:lineRule="exact"/>
        <w:rPr>
          <w:sz w:val="20"/>
          <w:szCs w:val="20"/>
          <w:color w:val="auto"/>
        </w:rPr>
      </w:pPr>
    </w:p>
    <w:p>
      <w:pPr>
        <w:ind w:left="480" w:hanging="480"/>
        <w:spacing w:after="0"/>
        <w:tabs>
          <w:tab w:leader="none" w:pos="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94"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SCH Holdings, Inc. and subsidiaries (the "Company"), a Colorado corporation formerly known as Scripps Howard Cable Company ("SHCC") (see Note 2), is a wholly owned subsidiary of Comcast Cable Communications, Inc. ("CCCI"), which is a wholly owned subsidiary of Comcast Corporation ("Comcast"). The Company is engaged in the development, management and operation of cable communications systems located in California, Tennessee, Georgia, West Virginia, Florida, Kentucky and Colorado. As of December 31, 1996, the Company's systems served more than 800,000 subscribers and passed more than 1.3 million homes, with 60% of its subscribers located in Sacramento, California and Chattanooga and Knoxville, Tennessee.</w:t>
      </w:r>
    </w:p>
    <w:p>
      <w:pPr>
        <w:spacing w:after="0" w:line="187"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OF E.W. SCRIPPS COMPANY</w:t>
      </w:r>
    </w:p>
    <w:p>
      <w:pPr>
        <w:spacing w:after="0" w:line="194"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November 1996, Comcast acquired the Company in a merger (the "Merger") with The E.W. Scripps Company ("EWS") in exchange for 93.048 million shares of Comcast's Class A Special Common Stock valued at $1.552 billion (the "Scripps Acquisition"). Comcast accounted for the Scripps Acquisition under the purchase method. Following the Scripps Acquisition, Comcast contributed the Company to CCCI at Comcast's historical cost (the "Scripps Contribution"). As the Scripps Contribution was a non-cash transaction, it had no significant impact on the Company's consolidated statement of cash flows.</w:t>
      </w:r>
    </w:p>
    <w:p>
      <w:pPr>
        <w:spacing w:after="0" w:line="187"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certain liabilities (primarily income taxes payable, accruals for commitments and contingencies and amounts due to affiliates) included in the combined financial statements of the Predecessor Corporation were not assumed by Comcast in the Scripps Acquisition. Accordingly, such cash and liabilities are not reflected in the Company's consolidated balance sheet as of December 31, 1996.</w:t>
      </w:r>
    </w:p>
    <w:p>
      <w:pPr>
        <w:spacing w:after="0" w:line="187"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EWS had historically been the holding company for its cable television operations along with other operations. EWS' subsidiaries which provided cable television operations included SHCC, EWS Cable Inc. ("EWS Cable"), a Colorado corporation, L-R Cable, Inc. ("L-R Cable"), a Colorado corporation, and Scripps Howard Cable Company of Sacramento ("Sacramento Cable"), a Delaware corporation (collectively, SHCC, EWS Cable, L-R Cable and Sacramento Cable represent the "Predecessor Corporation"). In connection with the Scripps Acquisition, EWS restructured its operations with each of EWS Cable, L-R Cable and Sacramento Cable becoming wholly owned subsidiaries of SHCC. In addition, SHCC was transferred by Scripps Howard, Inc. ("SHI"), an Ohio corporation and a wholly owned subsidiary of EWS, to EWS. Immediately prior to the closing of the Merger, EWS distributed all of the outstanding shares of SHI, which held all of EWS' non-cable television operations, to its shareholders (the "Distribution"). Accordingly, when Comcast merged with EWS, it only acquired the Predecessor Corporation. Subsequent to the Scripps Acquisition, SHI changed its name to E.W. Scripps Co. ("New Scripps").</w:t>
      </w:r>
    </w:p>
    <w:p>
      <w:pPr>
        <w:spacing w:after="0" w:line="18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would have reported unaudited pro forma revenues of $309.8 million and $279.5 million and unaudited pro forma net loss of $73.8 million and $75.7 million for the years ended December 31, 1996 and 1995, respectively, had the Scripps Acquisition occurred on January 1, 1995. This unaudited pro forma information is based on historical results of operations adjusted for acquisition costs and, in the opinion of management, is not necessarily indicative of what the results would have been had the Company operated the acquired entities since January 1, 1995.</w:t>
      </w:r>
    </w:p>
    <w:p>
      <w:pPr>
        <w:spacing w:after="0" w:line="187"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Consolidation</w:t>
      </w:r>
    </w:p>
    <w:p>
      <w:pPr>
        <w:spacing w:after="0" w:line="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balance sheet as of December 31, 1996 and the consolidated statements of operations, cash flows and stockholder's equity for the period from November 1, 1996 to December 31, 1996 represent the consolidated financial position, results of operations, changes in stockholder's equity and cash flows of the Company and its wholly and majority owned subsidiaries subsequent to the Scripps Acquisition. All significant intercompany accounts and transactions among consolidated entities have been eliminated.</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492" w:right="1440" w:bottom="939"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AND COMBINED FINANCIAL STATEMENTS</w:t>
      </w:r>
    </w:p>
    <w:p>
      <w:pPr>
        <w:spacing w:after="0" w:line="7"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6"/>
          <w:szCs w:val="16"/>
          <w:color w:val="auto"/>
        </w:rPr>
        <w:t>PERIODS FROM JANUARY 1, 1996 TO OCTOBER 31, 1996 AND NOVEMBER 1, 1996 TO DECEMBER 31, 1996 AND YEARS ENDED DECEMBER 31, 1995 AND 1994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Basis of Combination</w:t>
      </w:r>
    </w:p>
    <w:p>
      <w:pPr>
        <w:spacing w:after="0" w:line="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The combined balance sheet as of December 31, 1995 and the combined statements of operations, cash flows and stockholder's deficiency for the period from January 1, 1996 to October 31, 1996 and for the years ended December 31, 1995 and 1994 represent the combined financial position, results of operations, changes in stockholders' deficiency and cash flows of the Predecessor Corporation. All significant intercompany accounts and transactions among combined entities have been eliminated. The Predecessor Corporation financial statements exclude the results of operations of the non-cable television operations of SHI.</w:t>
      </w:r>
    </w:p>
    <w:p>
      <w:pPr>
        <w:spacing w:after="0" w:line="18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Prior to the Scripps Acquisition, EWS Cable and L-R Cable were wholly owned subsidiaries of SHI and SHCC and Sacramento Cable were wholly owned subsidiaries of Scripps Howard Broadcasting Company ("SHB"). Prior to 1994, SHI owned approximately 92% of SHB. EWS acquired the remaining minority interest in SHB in 1994 (see Note 5).</w:t>
      </w:r>
    </w:p>
    <w:p>
      <w:pPr>
        <w:spacing w:after="0" w:line="18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The historical basis in assets and liabilities of the cable television systems of EWS were not altered by the combination. The historical combined financial statements do not necessarily reflect the results of operations or financial position that would have existed if the Predecessor Corporation were an independent company. SHI provided certain legal, treasury, accounting, tax, risk management and other corporate services to the Predecessor Corporation (see Note 10).</w:t>
      </w:r>
    </w:p>
    <w:p>
      <w:pPr>
        <w:spacing w:after="0" w:line="187" w:lineRule="exact"/>
        <w:rPr>
          <w:sz w:val="20"/>
          <w:szCs w:val="20"/>
          <w:color w:val="auto"/>
        </w:rPr>
      </w:pPr>
    </w:p>
    <w:p>
      <w:pPr>
        <w:ind w:left="480" w:hanging="480"/>
        <w:spacing w:after="0"/>
        <w:tabs>
          <w:tab w:leader="none" w:pos="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Allocation</w:t>
      </w:r>
    </w:p>
    <w:p>
      <w:pPr>
        <w:spacing w:after="0" w:line="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purchase method, the purchase price was allocated to the fair value of the assets acquired and the liabilities assumed. This allocation is preliminary pending a final appraisal and the final purchase price adjustment between CCCI and New Scripps. The terms of the Scripps Acquisition provide for, among other things, the indemnification by New Scripps for certain liabilities, including tax liabilities, relating to the Predecessor Corporation prior to the acquisition date.</w:t>
      </w:r>
    </w:p>
    <w:p>
      <w:pPr>
        <w:spacing w:after="0" w:line="187"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Management's Use of Estimates</w:t>
      </w:r>
    </w:p>
    <w:p>
      <w:pPr>
        <w:spacing w:after="0" w:line="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7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Fair Values</w:t>
      </w:r>
    </w:p>
    <w:p>
      <w:pPr>
        <w:spacing w:after="0" w:line="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estimated fair value amounts discussed in these notes to consolidated and combined financial statements have been determined by the Company and the Predecessor Corporation using available market information and appropriate methodologies. However, considerable judgment is required in interpreting market data to develop the estimates of fair value. The estimates discussed herein are not necessarily indicative of the amounts that the Company could realize in a current market exchange. The use of different market assumptions and/or estimation methodologies may have a material effect on the estimated fair value amounts. Such fair value estimates are based on pertinent information available to management as of December 31, 1996 and 1995, and have not been comprehensively revalued for purposes of these consolidated and combined financial statements since such dates.</w:t>
      </w:r>
    </w:p>
    <w:p>
      <w:pPr>
        <w:spacing w:after="0" w:line="18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reasonable estimate of fair value of the amounts due to affiliates in the consolidated and combined balance sheet is not practicable to obtain because of the related party nature of these items and the lack of quoted market prices.</w:t>
      </w:r>
    </w:p>
    <w:p>
      <w:pPr>
        <w:spacing w:after="0" w:line="37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49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AND COMBINED FINANCIAL STATEMENTS</w:t>
      </w:r>
    </w:p>
    <w:p>
      <w:pPr>
        <w:spacing w:after="0" w:line="7"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6"/>
          <w:szCs w:val="16"/>
          <w:color w:val="auto"/>
        </w:rPr>
        <w:t>PERIODS FROM JANUARY 1, 1996 TO OCTOBER 31, 1996 AND NOVEMBER 1, 1996 TO DECEMBER 31, 1996 AND YEARS ENDED DECEMBER 31, 1995 AND 1994 (Continued)</w:t>
      </w: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Cash Equivalents, Short-term Investments and Cash Held by an Affiliate</w:t>
      </w:r>
    </w:p>
    <w:p>
      <w:pPr>
        <w:spacing w:after="0" w:line="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Cash equivalents consist of investments with maturities of three months or less when purchased. Short-term investments consist of certificates of deposit with maturities of greater than three months when purchased. The carrying amounts of the Company's and the Predecessor Corporation's cash equivalents and short-term investments, classified as available for sale securities, approximate their fair values, which are based on quoted market prices. Cash held by an affiliate consists of cash held by a subsidiary of Comcast under a cash management program (see Note 10).</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Inventories</w:t>
      </w:r>
    </w:p>
    <w:p>
      <w:pPr>
        <w:spacing w:after="0" w:line="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As of December 31, 1996, inventories, which include materials and supplies, are stated at average cost which is less than market. As of December 31, 1995, inventories are stated at the lower of cost, which was determined using the first in, first out method, or market.</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1080" w:type="dxa"/>
            <w:vAlign w:val="bottom"/>
          </w:tcPr>
          <w:p>
            <w:pPr>
              <w:spacing w:after="0"/>
              <w:rPr>
                <w:sz w:val="20"/>
                <w:szCs w:val="20"/>
                <w:color w:val="auto"/>
              </w:rPr>
            </w:pPr>
            <w:r>
              <w:rPr>
                <w:rFonts w:ascii="Courier New" w:cs="Courier New" w:eastAsia="Courier New" w:hAnsi="Courier New"/>
                <w:sz w:val="16"/>
                <w:szCs w:val="16"/>
                <w:color w:val="auto"/>
              </w:rPr>
              <w:t>Refundable</w:t>
            </w:r>
          </w:p>
        </w:tc>
        <w:tc>
          <w:tcPr>
            <w:tcW w:w="1620" w:type="dxa"/>
            <w:vAlign w:val="bottom"/>
            <w:gridSpan w:val="2"/>
          </w:tcPr>
          <w:p>
            <w:pPr>
              <w:spacing w:after="0"/>
              <w:rPr>
                <w:sz w:val="20"/>
                <w:szCs w:val="20"/>
                <w:color w:val="auto"/>
              </w:rPr>
            </w:pPr>
            <w:r>
              <w:rPr>
                <w:rFonts w:ascii="Courier New" w:cs="Courier New" w:eastAsia="Courier New" w:hAnsi="Courier New"/>
                <w:sz w:val="16"/>
                <w:szCs w:val="16"/>
                <w:color w:val="auto"/>
              </w:rPr>
              <w:t>Property Taxes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In 1991,  the property</w:t>
            </w:r>
          </w:p>
        </w:tc>
        <w:tc>
          <w:tcPr>
            <w:tcW w:w="440" w:type="dxa"/>
            <w:vAlign w:val="bottom"/>
          </w:tcPr>
          <w:p>
            <w:pPr>
              <w:spacing w:after="0"/>
              <w:rPr>
                <w:sz w:val="20"/>
                <w:szCs w:val="20"/>
                <w:color w:val="auto"/>
              </w:rPr>
            </w:pPr>
            <w:r>
              <w:rPr>
                <w:rFonts w:ascii="Courier New" w:cs="Courier New" w:eastAsia="Courier New" w:hAnsi="Courier New"/>
                <w:sz w:val="16"/>
                <w:szCs w:val="16"/>
                <w:color w:val="auto"/>
              </w:rPr>
              <w:t>tax</w:t>
            </w:r>
          </w:p>
        </w:tc>
        <w:tc>
          <w:tcPr>
            <w:tcW w:w="16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valuation of the</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Sacramento</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cable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television</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system was</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increased.</w:t>
            </w:r>
          </w:p>
        </w:tc>
        <w:tc>
          <w:tcPr>
            <w:tcW w:w="1560" w:type="dxa"/>
            <w:vAlign w:val="bottom"/>
            <w:gridSpan w:val="3"/>
          </w:tcPr>
          <w:p>
            <w:pPr>
              <w:spacing w:after="0"/>
              <w:rPr>
                <w:sz w:val="20"/>
                <w:szCs w:val="20"/>
                <w:color w:val="auto"/>
              </w:rPr>
            </w:pPr>
            <w:r>
              <w:rPr>
                <w:rFonts w:ascii="Courier New" w:cs="Courier New" w:eastAsia="Courier New" w:hAnsi="Courier New"/>
                <w:sz w:val="16"/>
                <w:szCs w:val="16"/>
                <w:color w:val="auto"/>
              </w:rPr>
              <w:t>The Predecessor</w:t>
            </w:r>
          </w:p>
        </w:tc>
        <w:tc>
          <w:tcPr>
            <w:tcW w:w="35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Corporation disputed the amount and</w:t>
            </w:r>
          </w:p>
        </w:tc>
      </w:tr>
      <w:tr>
        <w:trPr>
          <w:trHeight w:val="188"/>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basis for the increased</w:t>
            </w:r>
          </w:p>
        </w:tc>
        <w:tc>
          <w:tcPr>
            <w:tcW w:w="13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valuation.</w:t>
            </w:r>
          </w:p>
        </w:tc>
        <w:tc>
          <w:tcPr>
            <w:tcW w:w="11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Refundable</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property</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taxes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represent</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additional</w:t>
            </w:r>
          </w:p>
        </w:tc>
        <w:tc>
          <w:tcPr>
            <w:tcW w:w="274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property taxes paid by the</w:t>
            </w:r>
          </w:p>
        </w:tc>
        <w:tc>
          <w:tcPr>
            <w:tcW w:w="24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Predecessor  Corporation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while the</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valuation</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was  under</w:t>
            </w:r>
          </w:p>
        </w:tc>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appeal.  The</w:t>
            </w:r>
          </w:p>
        </w:tc>
        <w:tc>
          <w:tcPr>
            <w:tcW w:w="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appeal</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was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settled</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favor of the</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Predecessor</w:t>
            </w:r>
          </w:p>
        </w:tc>
        <w:tc>
          <w:tcPr>
            <w:tcW w:w="1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Corporation in</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1995. As</w:t>
            </w:r>
          </w:p>
        </w:tc>
        <w:tc>
          <w:tcPr>
            <w:tcW w:w="268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a result, the Predecessor</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Corporation</w:t>
            </w:r>
          </w:p>
        </w:tc>
      </w:tr>
    </w:tbl>
    <w:p>
      <w:pPr>
        <w:spacing w:after="0" w:line="4"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Courier New" w:cs="Courier New" w:eastAsia="Courier New" w:hAnsi="Courier New"/>
                <w:sz w:val="16"/>
                <w:szCs w:val="16"/>
                <w:color w:val="auto"/>
              </w:rPr>
              <w:t>received</w:t>
            </w:r>
          </w:p>
        </w:tc>
        <w:tc>
          <w:tcPr>
            <w:tcW w:w="3520" w:type="dxa"/>
            <w:vAlign w:val="bottom"/>
          </w:tcPr>
          <w:p>
            <w:pPr>
              <w:ind w:left="40"/>
              <w:spacing w:after="0"/>
              <w:rPr>
                <w:sz w:val="20"/>
                <w:szCs w:val="20"/>
                <w:color w:val="auto"/>
              </w:rPr>
            </w:pPr>
            <w:r>
              <w:rPr>
                <w:rFonts w:ascii="Courier New" w:cs="Courier New" w:eastAsia="Courier New" w:hAnsi="Courier New"/>
                <w:sz w:val="16"/>
                <w:szCs w:val="16"/>
                <w:color w:val="auto"/>
              </w:rPr>
              <w:t>property tax refunds totaling $10.4</w:t>
            </w:r>
          </w:p>
        </w:tc>
        <w:tc>
          <w:tcPr>
            <w:tcW w:w="2980" w:type="dxa"/>
            <w:vAlign w:val="bottom"/>
          </w:tcPr>
          <w:p>
            <w:pPr>
              <w:ind w:left="40"/>
              <w:spacing w:after="0"/>
              <w:rPr>
                <w:sz w:val="20"/>
                <w:szCs w:val="20"/>
                <w:color w:val="auto"/>
              </w:rPr>
            </w:pPr>
            <w:r>
              <w:rPr>
                <w:rFonts w:ascii="Courier New" w:cs="Courier New" w:eastAsia="Courier New" w:hAnsi="Courier New"/>
                <w:sz w:val="16"/>
                <w:szCs w:val="16"/>
                <w:color w:val="auto"/>
              </w:rPr>
              <w:t>million, excluding interest.</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Property</w:t>
            </w:r>
          </w:p>
        </w:tc>
        <w:tc>
          <w:tcPr>
            <w:tcW w:w="3520" w:type="dxa"/>
            <w:vAlign w:val="bottom"/>
          </w:tcPr>
          <w:p>
            <w:pPr>
              <w:ind w:left="40"/>
              <w:spacing w:after="0"/>
              <w:rPr>
                <w:sz w:val="20"/>
                <w:szCs w:val="20"/>
                <w:color w:val="auto"/>
              </w:rPr>
            </w:pPr>
            <w:r>
              <w:rPr>
                <w:rFonts w:ascii="Courier New" w:cs="Courier New" w:eastAsia="Courier New" w:hAnsi="Courier New"/>
                <w:sz w:val="16"/>
                <w:szCs w:val="16"/>
                <w:color w:val="auto"/>
              </w:rPr>
              <w:t>and Equipment</w:t>
            </w:r>
          </w:p>
        </w:tc>
        <w:tc>
          <w:tcPr>
            <w:tcW w:w="2980" w:type="dxa"/>
            <w:vAlign w:val="bottom"/>
          </w:tcPr>
          <w:p>
            <w:pPr>
              <w:spacing w:after="0"/>
              <w:rPr>
                <w:sz w:val="24"/>
                <w:szCs w:val="24"/>
                <w:color w:val="auto"/>
              </w:rPr>
            </w:pPr>
          </w:p>
        </w:tc>
      </w:tr>
      <w:tr>
        <w:trPr>
          <w:trHeight w:val="188"/>
        </w:trPr>
        <w:tc>
          <w:tcPr>
            <w:tcW w:w="840" w:type="dxa"/>
            <w:vAlign w:val="bottom"/>
          </w:tcPr>
          <w:p>
            <w:pPr>
              <w:spacing w:after="0"/>
              <w:rPr>
                <w:sz w:val="20"/>
                <w:szCs w:val="20"/>
                <w:color w:val="auto"/>
              </w:rPr>
            </w:pPr>
            <w:r>
              <w:rPr>
                <w:rFonts w:ascii="Courier New" w:cs="Courier New" w:eastAsia="Courier New" w:hAnsi="Courier New"/>
                <w:sz w:val="16"/>
                <w:szCs w:val="16"/>
                <w:color w:val="auto"/>
              </w:rPr>
              <w:t>Prior to</w:t>
            </w:r>
          </w:p>
        </w:tc>
        <w:tc>
          <w:tcPr>
            <w:tcW w:w="3520" w:type="dxa"/>
            <w:vAlign w:val="bottom"/>
          </w:tcPr>
          <w:p>
            <w:pPr>
              <w:ind w:left="40"/>
              <w:spacing w:after="0"/>
              <w:rPr>
                <w:sz w:val="20"/>
                <w:szCs w:val="20"/>
                <w:color w:val="auto"/>
              </w:rPr>
            </w:pPr>
            <w:r>
              <w:rPr>
                <w:rFonts w:ascii="Courier New" w:cs="Courier New" w:eastAsia="Courier New" w:hAnsi="Courier New"/>
                <w:sz w:val="16"/>
                <w:szCs w:val="16"/>
                <w:color w:val="auto"/>
              </w:rPr>
              <w:t>the Scripps  Acquisition,  property</w:t>
            </w:r>
          </w:p>
        </w:tc>
        <w:tc>
          <w:tcPr>
            <w:tcW w:w="2980" w:type="dxa"/>
            <w:vAlign w:val="bottom"/>
          </w:tcPr>
          <w:p>
            <w:pPr>
              <w:ind w:left="40"/>
              <w:spacing w:after="0"/>
              <w:rPr>
                <w:sz w:val="20"/>
                <w:szCs w:val="20"/>
                <w:color w:val="auto"/>
              </w:rPr>
            </w:pPr>
            <w:r>
              <w:rPr>
                <w:rFonts w:ascii="Courier New" w:cs="Courier New" w:eastAsia="Courier New" w:hAnsi="Courier New"/>
                <w:sz w:val="16"/>
                <w:szCs w:val="16"/>
                <w:color w:val="auto"/>
              </w:rPr>
              <w:t>and  equipment  were stated at</w:t>
            </w:r>
          </w:p>
        </w:tc>
      </w:tr>
    </w:tbl>
    <w:p>
      <w:pPr>
        <w:spacing w:after="0" w:line="4"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820" w:type="dxa"/>
            <w:vAlign w:val="bottom"/>
          </w:tcPr>
          <w:p>
            <w:pPr>
              <w:spacing w:after="0"/>
              <w:rPr>
                <w:sz w:val="20"/>
                <w:szCs w:val="20"/>
                <w:color w:val="auto"/>
              </w:rPr>
            </w:pPr>
            <w:r>
              <w:rPr>
                <w:rFonts w:ascii="Courier New" w:cs="Courier New" w:eastAsia="Courier New" w:hAnsi="Courier New"/>
                <w:sz w:val="16"/>
                <w:szCs w:val="16"/>
                <w:color w:val="auto"/>
              </w:rPr>
              <w:t>cost.  Depreciation  was provided on a</w:t>
            </w:r>
          </w:p>
        </w:tc>
        <w:tc>
          <w:tcPr>
            <w:tcW w:w="3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straight-line  basis over estimated</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useful lives as follows:</w:t>
            </w:r>
          </w:p>
        </w:tc>
        <w:tc>
          <w:tcPr>
            <w:tcW w:w="2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6"/>
        </w:trPr>
        <w:tc>
          <w:tcPr>
            <w:tcW w:w="3820" w:type="dxa"/>
            <w:vAlign w:val="bottom"/>
          </w:tcPr>
          <w:p>
            <w:pPr>
              <w:ind w:left="800"/>
              <w:spacing w:after="0"/>
              <w:rPr>
                <w:sz w:val="20"/>
                <w:szCs w:val="20"/>
                <w:color w:val="auto"/>
              </w:rPr>
            </w:pPr>
            <w:r>
              <w:rPr>
                <w:rFonts w:ascii="Courier New" w:cs="Courier New" w:eastAsia="Courier New" w:hAnsi="Courier New"/>
                <w:sz w:val="16"/>
                <w:szCs w:val="16"/>
                <w:color w:val="auto"/>
              </w:rPr>
              <w:t>Buildings</w:t>
            </w:r>
          </w:p>
        </w:tc>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r>
      <w:tr>
        <w:trPr>
          <w:trHeight w:val="188"/>
        </w:trPr>
        <w:tc>
          <w:tcPr>
            <w:tcW w:w="3820" w:type="dxa"/>
            <w:vAlign w:val="bottom"/>
          </w:tcPr>
          <w:p>
            <w:pPr>
              <w:ind w:left="800"/>
              <w:spacing w:after="0"/>
              <w:rPr>
                <w:sz w:val="20"/>
                <w:szCs w:val="20"/>
                <w:color w:val="auto"/>
              </w:rPr>
            </w:pPr>
            <w:r>
              <w:rPr>
                <w:rFonts w:ascii="Courier New" w:cs="Courier New" w:eastAsia="Courier New" w:hAnsi="Courier New"/>
                <w:sz w:val="16"/>
                <w:szCs w:val="16"/>
                <w:color w:val="auto"/>
              </w:rPr>
              <w:t>Operating facilities</w:t>
            </w:r>
          </w:p>
        </w:tc>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10-15</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r>
      <w:tr>
        <w:trPr>
          <w:trHeight w:val="188"/>
        </w:trPr>
        <w:tc>
          <w:tcPr>
            <w:tcW w:w="3820" w:type="dxa"/>
            <w:vAlign w:val="bottom"/>
          </w:tcPr>
          <w:p>
            <w:pPr>
              <w:ind w:left="800"/>
              <w:spacing w:after="0"/>
              <w:rPr>
                <w:sz w:val="20"/>
                <w:szCs w:val="20"/>
                <w:color w:val="auto"/>
              </w:rPr>
            </w:pPr>
            <w:r>
              <w:rPr>
                <w:rFonts w:ascii="Courier New" w:cs="Courier New" w:eastAsia="Courier New" w:hAnsi="Courier New"/>
                <w:sz w:val="16"/>
                <w:szCs w:val="16"/>
                <w:color w:val="auto"/>
              </w:rPr>
              <w:t>Other equipment</w:t>
            </w:r>
          </w:p>
        </w:tc>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3-10</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r>
    </w:tbl>
    <w:p>
      <w:pPr>
        <w:spacing w:after="0" w:line="192"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Upon consummation of the Scripps Acquisition, property and equipment were adjusted based on an estimate of their fair values as of the date of acquisition. Subsequent to the Scripps Acquisition, the Company's property and equipment are estimated to have weighted average estimated useful lives of ten years, which is estimated based on the useful lives of similar assets of other subsidiaries of CCCI. Upon receipt of a final appraisal, the Company will adjust the basis and estimated useful lives of its property and equipment accordingly.</w:t>
      </w:r>
    </w:p>
    <w:p>
      <w:pPr>
        <w:spacing w:after="0" w:line="18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Improvements that extend asset lives are capitalized; other repairs and maintenance charges are expensed as incurred. The cost and related accumulated depreciation applicable to assets sold or retired are removed from the accounts and the gain or loss on disposition is recognized as a component of depreciation expense.</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1680" w:type="dxa"/>
            <w:vAlign w:val="bottom"/>
            <w:gridSpan w:val="3"/>
          </w:tcPr>
          <w:p>
            <w:pPr>
              <w:spacing w:after="0"/>
              <w:rPr>
                <w:sz w:val="20"/>
                <w:szCs w:val="20"/>
                <w:color w:val="auto"/>
              </w:rPr>
            </w:pPr>
            <w:r>
              <w:rPr>
                <w:rFonts w:ascii="Courier New" w:cs="Courier New" w:eastAsia="Courier New" w:hAnsi="Courier New"/>
                <w:sz w:val="16"/>
                <w:szCs w:val="16"/>
                <w:color w:val="auto"/>
              </w:rPr>
              <w:t>Deferred Charges</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8"/>
        </w:trPr>
        <w:tc>
          <w:tcPr>
            <w:tcW w:w="1680" w:type="dxa"/>
            <w:vAlign w:val="bottom"/>
            <w:gridSpan w:val="3"/>
          </w:tcPr>
          <w:p>
            <w:pPr>
              <w:spacing w:after="0"/>
              <w:rPr>
                <w:sz w:val="20"/>
                <w:szCs w:val="20"/>
                <w:color w:val="auto"/>
              </w:rPr>
            </w:pPr>
            <w:r>
              <w:rPr>
                <w:rFonts w:ascii="Courier New" w:cs="Courier New" w:eastAsia="Courier New" w:hAnsi="Courier New"/>
                <w:sz w:val="16"/>
                <w:szCs w:val="16"/>
                <w:color w:val="auto"/>
              </w:rPr>
              <w:t>Deferred  charges</w:t>
            </w:r>
          </w:p>
        </w:tc>
        <w:tc>
          <w:tcPr>
            <w:tcW w:w="340" w:type="dxa"/>
            <w:vAlign w:val="bottom"/>
          </w:tcPr>
          <w:p>
            <w:pPr>
              <w:ind w:left="80"/>
              <w:spacing w:after="0"/>
              <w:rPr>
                <w:sz w:val="20"/>
                <w:szCs w:val="20"/>
                <w:color w:val="auto"/>
              </w:rPr>
            </w:pPr>
            <w:r>
              <w:rPr>
                <w:rFonts w:ascii="Courier New" w:cs="Courier New" w:eastAsia="Courier New" w:hAnsi="Courier New"/>
                <w:sz w:val="16"/>
                <w:szCs w:val="16"/>
                <w:color w:val="auto"/>
              </w:rPr>
              <w:t>as</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December</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w w:val="90"/>
              </w:rPr>
              <w:t>31,</w:t>
            </w:r>
          </w:p>
        </w:tc>
        <w:tc>
          <w:tcPr>
            <w:tcW w:w="600" w:type="dxa"/>
            <w:vAlign w:val="bottom"/>
          </w:tcPr>
          <w:p>
            <w:pPr>
              <w:jc w:val="center"/>
              <w:spacing w:after="0"/>
              <w:rPr>
                <w:sz w:val="20"/>
                <w:szCs w:val="20"/>
                <w:color w:val="auto"/>
              </w:rPr>
            </w:pPr>
            <w:r>
              <w:rPr>
                <w:rFonts w:ascii="Courier New" w:cs="Courier New" w:eastAsia="Courier New" w:hAnsi="Courier New"/>
                <w:sz w:val="16"/>
                <w:szCs w:val="16"/>
                <w:color w:val="auto"/>
              </w:rPr>
              <w:t>1996</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consist</w:t>
            </w:r>
          </w:p>
        </w:tc>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principally of franchise</w:t>
            </w:r>
          </w:p>
        </w:tc>
      </w:tr>
      <w:tr>
        <w:trPr>
          <w:trHeight w:val="188"/>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acquisition</w:t>
            </w:r>
          </w:p>
        </w:tc>
        <w:tc>
          <w:tcPr>
            <w:tcW w:w="740" w:type="dxa"/>
            <w:vAlign w:val="bottom"/>
            <w:gridSpan w:val="2"/>
          </w:tcPr>
          <w:p>
            <w:pPr>
              <w:spacing w:after="0"/>
              <w:rPr>
                <w:sz w:val="20"/>
                <w:szCs w:val="20"/>
                <w:color w:val="auto"/>
              </w:rPr>
            </w:pPr>
            <w:r>
              <w:rPr>
                <w:rFonts w:ascii="Courier New" w:cs="Courier New" w:eastAsia="Courier New" w:hAnsi="Courier New"/>
                <w:sz w:val="16"/>
                <w:szCs w:val="16"/>
                <w:color w:val="auto"/>
              </w:rPr>
              <w:t>costs,</w:t>
            </w:r>
          </w:p>
        </w:tc>
        <w:tc>
          <w:tcPr>
            <w:tcW w:w="532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debt acquisition costs and the excess of cost over the</w:t>
            </w:r>
          </w:p>
        </w:tc>
      </w:tr>
      <w:tr>
        <w:trPr>
          <w:trHeight w:val="188"/>
        </w:trPr>
        <w:tc>
          <w:tcPr>
            <w:tcW w:w="440" w:type="dxa"/>
            <w:vAlign w:val="bottom"/>
          </w:tcPr>
          <w:p>
            <w:pPr>
              <w:spacing w:after="0"/>
              <w:rPr>
                <w:sz w:val="20"/>
                <w:szCs w:val="20"/>
                <w:color w:val="auto"/>
              </w:rPr>
            </w:pPr>
            <w:r>
              <w:rPr>
                <w:rFonts w:ascii="Courier New" w:cs="Courier New" w:eastAsia="Courier New" w:hAnsi="Courier New"/>
                <w:sz w:val="16"/>
                <w:szCs w:val="16"/>
                <w:color w:val="auto"/>
              </w:rPr>
              <w:t>fair</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value of net</w:t>
            </w:r>
          </w:p>
        </w:tc>
        <w:tc>
          <w:tcPr>
            <w:tcW w:w="3940" w:type="dxa"/>
            <w:vAlign w:val="bottom"/>
            <w:gridSpan w:val="7"/>
          </w:tcPr>
          <w:p>
            <w:pPr>
              <w:ind w:left="80"/>
              <w:spacing w:after="0"/>
              <w:rPr>
                <w:sz w:val="20"/>
                <w:szCs w:val="20"/>
                <w:color w:val="auto"/>
              </w:rPr>
            </w:pPr>
            <w:r>
              <w:rPr>
                <w:rFonts w:ascii="Courier New" w:cs="Courier New" w:eastAsia="Courier New" w:hAnsi="Courier New"/>
                <w:sz w:val="16"/>
                <w:szCs w:val="16"/>
                <w:color w:val="auto"/>
              </w:rPr>
              <w:t>assets acquired (goodwill).  Franchise</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acquisition costs</w:t>
            </w:r>
          </w:p>
        </w:tc>
      </w:tr>
      <w:tr>
        <w:trPr>
          <w:trHeight w:val="188"/>
        </w:trPr>
        <w:tc>
          <w:tcPr>
            <w:tcW w:w="44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goodwill</w:t>
            </w:r>
          </w:p>
        </w:tc>
        <w:tc>
          <w:tcPr>
            <w:tcW w:w="12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are being</w:t>
            </w:r>
          </w:p>
        </w:tc>
        <w:tc>
          <w:tcPr>
            <w:tcW w:w="960" w:type="dxa"/>
            <w:vAlign w:val="bottom"/>
            <w:gridSpan w:val="2"/>
          </w:tcPr>
          <w:p>
            <w:pPr>
              <w:spacing w:after="0"/>
              <w:rPr>
                <w:sz w:val="20"/>
                <w:szCs w:val="20"/>
                <w:color w:val="auto"/>
              </w:rPr>
            </w:pPr>
            <w:r>
              <w:rPr>
                <w:rFonts w:ascii="Courier New" w:cs="Courier New" w:eastAsia="Courier New" w:hAnsi="Courier New"/>
                <w:sz w:val="16"/>
                <w:szCs w:val="16"/>
                <w:color w:val="auto"/>
              </w:rPr>
              <w:t>amortized</w:t>
            </w:r>
          </w:p>
        </w:tc>
        <w:tc>
          <w:tcPr>
            <w:tcW w:w="600" w:type="dxa"/>
            <w:vAlign w:val="bottom"/>
          </w:tcPr>
          <w:p>
            <w:pPr>
              <w:jc w:val="center"/>
              <w:spacing w:after="0"/>
              <w:rPr>
                <w:sz w:val="20"/>
                <w:szCs w:val="20"/>
                <w:color w:val="auto"/>
              </w:rPr>
            </w:pPr>
            <w:r>
              <w:rPr>
                <w:rFonts w:ascii="Courier New" w:cs="Courier New" w:eastAsia="Courier New" w:hAnsi="Courier New"/>
                <w:sz w:val="16"/>
                <w:szCs w:val="16"/>
                <w:color w:val="auto"/>
              </w:rPr>
              <w:t>on a</w:t>
            </w:r>
          </w:p>
        </w:tc>
        <w:tc>
          <w:tcPr>
            <w:tcW w:w="1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straight-line</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basis  over their</w:t>
            </w:r>
          </w:p>
        </w:tc>
      </w:tr>
      <w:tr>
        <w:trPr>
          <w:trHeight w:val="188"/>
        </w:trPr>
        <w:tc>
          <w:tcPr>
            <w:tcW w:w="1680" w:type="dxa"/>
            <w:vAlign w:val="bottom"/>
            <w:gridSpan w:val="3"/>
          </w:tcPr>
          <w:p>
            <w:pPr>
              <w:spacing w:after="0"/>
              <w:rPr>
                <w:sz w:val="20"/>
                <w:szCs w:val="20"/>
                <w:color w:val="auto"/>
              </w:rPr>
            </w:pPr>
            <w:r>
              <w:rPr>
                <w:rFonts w:ascii="Courier New" w:cs="Courier New" w:eastAsia="Courier New" w:hAnsi="Courier New"/>
                <w:sz w:val="16"/>
                <w:szCs w:val="16"/>
                <w:color w:val="auto"/>
              </w:rPr>
              <w:t>estimated useful</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lives of</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12 and</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20</w:t>
            </w:r>
          </w:p>
        </w:tc>
        <w:tc>
          <w:tcPr>
            <w:tcW w:w="600" w:type="dxa"/>
            <w:vAlign w:val="bottom"/>
          </w:tcPr>
          <w:p>
            <w:pPr>
              <w:jc w:val="center"/>
              <w:spacing w:after="0"/>
              <w:rPr>
                <w:sz w:val="20"/>
                <w:szCs w:val="20"/>
                <w:color w:val="auto"/>
              </w:rPr>
            </w:pPr>
            <w:r>
              <w:rPr>
                <w:rFonts w:ascii="Courier New" w:cs="Courier New" w:eastAsia="Courier New" w:hAnsi="Courier New"/>
                <w:sz w:val="16"/>
                <w:szCs w:val="16"/>
                <w:color w:val="auto"/>
              </w:rPr>
              <w:t>years,</w:t>
            </w:r>
          </w:p>
        </w:tc>
        <w:tc>
          <w:tcPr>
            <w:tcW w:w="15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respectively.</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Debt acquisition</w:t>
            </w:r>
          </w:p>
        </w:tc>
      </w:tr>
      <w:tr>
        <w:trPr>
          <w:trHeight w:val="188"/>
        </w:trPr>
        <w:tc>
          <w:tcPr>
            <w:tcW w:w="1680" w:type="dxa"/>
            <w:vAlign w:val="bottom"/>
            <w:gridSpan w:val="3"/>
          </w:tcPr>
          <w:p>
            <w:pPr>
              <w:spacing w:after="0"/>
              <w:rPr>
                <w:sz w:val="20"/>
                <w:szCs w:val="20"/>
                <w:color w:val="auto"/>
              </w:rPr>
            </w:pPr>
            <w:r>
              <w:rPr>
                <w:rFonts w:ascii="Courier New" w:cs="Courier New" w:eastAsia="Courier New" w:hAnsi="Courier New"/>
                <w:sz w:val="16"/>
                <w:szCs w:val="16"/>
                <w:color w:val="auto"/>
              </w:rPr>
              <w:t>costs are being</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w w:val="99"/>
              </w:rPr>
              <w:t>amortized</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on a</w:t>
            </w:r>
          </w:p>
        </w:tc>
        <w:tc>
          <w:tcPr>
            <w:tcW w:w="16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straight-line</w:t>
            </w:r>
          </w:p>
        </w:tc>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basis over the term of the</w:t>
            </w:r>
          </w:p>
        </w:tc>
      </w:tr>
      <w:tr>
        <w:trPr>
          <w:trHeight w:val="188"/>
        </w:trPr>
        <w:tc>
          <w:tcPr>
            <w:tcW w:w="1680" w:type="dxa"/>
            <w:vAlign w:val="bottom"/>
            <w:gridSpan w:val="3"/>
          </w:tcPr>
          <w:p>
            <w:pPr>
              <w:spacing w:after="0"/>
              <w:rPr>
                <w:sz w:val="20"/>
                <w:szCs w:val="20"/>
                <w:color w:val="auto"/>
              </w:rPr>
            </w:pPr>
            <w:r>
              <w:rPr>
                <w:rFonts w:ascii="Courier New" w:cs="Courier New" w:eastAsia="Courier New" w:hAnsi="Courier New"/>
                <w:sz w:val="16"/>
                <w:szCs w:val="16"/>
                <w:color w:val="auto"/>
              </w:rPr>
              <w:t>related debt (see</w:t>
            </w:r>
          </w:p>
        </w:tc>
        <w:tc>
          <w:tcPr>
            <w:tcW w:w="8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Note 6).</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192"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Deferred charges of the Predecessor Corporation consisted principally of franchise acquisition costs, which were being amortized on a straight-line basis over the terms of the related franchise agreements, and goodwill, which was being amortized on a straight-line basis over periods of up to 40 years.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Valuation of Long-Lived Assets</w:t>
      </w:r>
    </w:p>
    <w:p>
      <w:pPr>
        <w:spacing w:after="0" w:line="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The Company and the Predecessor Corporation periodically evaluate the recoverability of long-lived assets, including property and equipment and deferred charges, using objective methodologies. Such methodologies may include evaluations based on the cash flows generated by the underlying assets or other determinants of fair value.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492" w:right="1440" w:bottom="751"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AND COMBINED FINANCIAL STATEMENTS</w:t>
      </w:r>
    </w:p>
    <w:p>
      <w:pPr>
        <w:spacing w:after="0" w:line="7" w:lineRule="exact"/>
        <w:rPr>
          <w:sz w:val="20"/>
          <w:szCs w:val="20"/>
          <w:color w:val="auto"/>
        </w:rPr>
      </w:pPr>
    </w:p>
    <w:p>
      <w:pPr>
        <w:jc w:val="both"/>
        <w:ind w:right="3320"/>
        <w:spacing w:after="0" w:line="252" w:lineRule="auto"/>
        <w:rPr>
          <w:sz w:val="20"/>
          <w:szCs w:val="20"/>
          <w:color w:val="auto"/>
        </w:rPr>
      </w:pPr>
      <w:r>
        <w:rPr>
          <w:rFonts w:ascii="Courier New" w:cs="Courier New" w:eastAsia="Courier New" w:hAnsi="Courier New"/>
          <w:sz w:val="16"/>
          <w:szCs w:val="16"/>
          <w:color w:val="auto"/>
        </w:rPr>
        <w:t>PERIODS FROM JANUARY 1, 1996 TO OCTOBER 31, 1996 AND NOVEMBER 1, 1996 TO DECEMBER 31, 1996 AND YEARS ENDED DECEMBER 31, 1995 AND 1994 (Continued)</w:t>
      </w: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Revenue Recognition</w:t>
      </w:r>
    </w:p>
    <w:p>
      <w:pPr>
        <w:spacing w:after="0" w:line="7" w:lineRule="exact"/>
        <w:rPr>
          <w:sz w:val="20"/>
          <w:szCs w:val="20"/>
          <w:color w:val="auto"/>
        </w:rPr>
      </w:pPr>
    </w:p>
    <w:p>
      <w:pPr>
        <w:jc w:val="both"/>
        <w:ind w:left="480" w:right="2540"/>
        <w:spacing w:after="0" w:line="252" w:lineRule="auto"/>
        <w:rPr>
          <w:sz w:val="20"/>
          <w:szCs w:val="20"/>
          <w:color w:val="auto"/>
        </w:rPr>
      </w:pPr>
      <w:r>
        <w:rPr>
          <w:rFonts w:ascii="Courier New" w:cs="Courier New" w:eastAsia="Courier New" w:hAnsi="Courier New"/>
          <w:sz w:val="16"/>
          <w:szCs w:val="16"/>
          <w:color w:val="auto"/>
        </w:rPr>
        <w:t>Service income is recognized as service is provided. Credit risk is managed by disconnecting services to customers who are delinquent.</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Postretirement and Postemployment Benefits</w:t>
      </w:r>
    </w:p>
    <w:p>
      <w:pPr>
        <w:spacing w:after="0" w:line="7" w:lineRule="exact"/>
        <w:rPr>
          <w:sz w:val="20"/>
          <w:szCs w:val="20"/>
          <w:color w:val="auto"/>
        </w:rPr>
      </w:pPr>
    </w:p>
    <w:p>
      <w:pPr>
        <w:jc w:val="both"/>
        <w:ind w:left="480" w:right="2540"/>
        <w:spacing w:after="0" w:line="249" w:lineRule="auto"/>
        <w:rPr>
          <w:sz w:val="20"/>
          <w:szCs w:val="20"/>
          <w:color w:val="auto"/>
        </w:rPr>
      </w:pPr>
      <w:r>
        <w:rPr>
          <w:rFonts w:ascii="Courier New" w:cs="Courier New" w:eastAsia="Courier New" w:hAnsi="Courier New"/>
          <w:sz w:val="16"/>
          <w:szCs w:val="16"/>
          <w:color w:val="auto"/>
        </w:rPr>
        <w:t>The estimated costs of retiree benefits and benefits for former or inactive employees, after employment but before retirement, are accrued and recorded as a charge to operations during the years that employees provide services. Subsequent to the Scripps Acquisition, the Company's retiree benefit obligation is unfunded and all benefits are paid by Comcast. Accordingly, as of December 31, 1996, the Company's liability for these costs is included in current due to affiliates.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Taxes</w:t>
      </w:r>
    </w:p>
    <w:p>
      <w:pPr>
        <w:spacing w:after="0" w:line="7" w:lineRule="exact"/>
        <w:rPr>
          <w:sz w:val="20"/>
          <w:szCs w:val="20"/>
          <w:color w:val="auto"/>
        </w:rPr>
      </w:pPr>
    </w:p>
    <w:p>
      <w:pPr>
        <w:jc w:val="both"/>
        <w:ind w:left="480" w:right="2540"/>
        <w:spacing w:after="0" w:line="249" w:lineRule="auto"/>
        <w:rPr>
          <w:sz w:val="20"/>
          <w:szCs w:val="20"/>
          <w:color w:val="auto"/>
        </w:rPr>
      </w:pPr>
      <w:r>
        <w:rPr>
          <w:rFonts w:ascii="Courier New" w:cs="Courier New" w:eastAsia="Courier New" w:hAnsi="Courier New"/>
          <w:sz w:val="16"/>
          <w:szCs w:val="16"/>
          <w:color w:val="auto"/>
        </w:rPr>
        <w:t>The Company and the Predecessor Corporation recognize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consolidated and combined financial statements in the period of enactment.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Reclassifications</w:t>
      </w:r>
    </w:p>
    <w:p>
      <w:pPr>
        <w:spacing w:after="0" w:line="7" w:lineRule="exact"/>
        <w:rPr>
          <w:sz w:val="20"/>
          <w:szCs w:val="20"/>
          <w:color w:val="auto"/>
        </w:rPr>
      </w:pPr>
    </w:p>
    <w:p>
      <w:pPr>
        <w:jc w:val="both"/>
        <w:ind w:left="480" w:right="2540"/>
        <w:spacing w:after="0" w:line="252" w:lineRule="auto"/>
        <w:rPr>
          <w:sz w:val="20"/>
          <w:szCs w:val="20"/>
          <w:color w:val="auto"/>
        </w:rPr>
      </w:pPr>
      <w:r>
        <w:rPr>
          <w:rFonts w:ascii="Courier New" w:cs="Courier New" w:eastAsia="Courier New" w:hAnsi="Courier New"/>
          <w:sz w:val="16"/>
          <w:szCs w:val="16"/>
          <w:color w:val="auto"/>
        </w:rPr>
        <w:t>Certain reclassifications have been made to the prior years' combined financial statements to conform to those classifications used in 1996.</w:t>
      </w:r>
    </w:p>
    <w:p>
      <w:pPr>
        <w:spacing w:after="0" w:line="183" w:lineRule="exact"/>
        <w:rPr>
          <w:sz w:val="20"/>
          <w:szCs w:val="20"/>
          <w:color w:val="auto"/>
        </w:rPr>
      </w:pPr>
    </w:p>
    <w:p>
      <w:pPr>
        <w:ind w:left="480" w:hanging="480"/>
        <w:spacing w:after="0"/>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DIVESTITURE</w:t>
      </w:r>
    </w:p>
    <w:p>
      <w:pPr>
        <w:spacing w:after="0" w:line="194" w:lineRule="exact"/>
        <w:rPr>
          <w:rFonts w:ascii="Courier New" w:cs="Courier New" w:eastAsia="Courier New" w:hAnsi="Courier New"/>
          <w:sz w:val="16"/>
          <w:szCs w:val="16"/>
          <w:color w:val="auto"/>
        </w:rPr>
      </w:pPr>
    </w:p>
    <w:p>
      <w:pPr>
        <w:jc w:val="both"/>
        <w:ind w:left="480" w:right="2540"/>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1995, the Predecessor Corporation reached an agreement to acquire cable television systems adjacent to certain of its systems in Knoxville and Chattanooga, Tennessee for $62.5 million (the "Mid-Tenn Purchase"). The Mid- Tenn Purchase was completed in January 1996.</w:t>
      </w:r>
    </w:p>
    <w:p>
      <w:pPr>
        <w:spacing w:after="0" w:line="187" w:lineRule="exact"/>
        <w:rPr>
          <w:rFonts w:ascii="Courier New" w:cs="Courier New" w:eastAsia="Courier New" w:hAnsi="Courier New"/>
          <w:sz w:val="16"/>
          <w:szCs w:val="16"/>
          <w:color w:val="auto"/>
        </w:rPr>
      </w:pPr>
    </w:p>
    <w:p>
      <w:pPr>
        <w:jc w:val="both"/>
        <w:ind w:left="480" w:right="2540"/>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1995 and 1994, the Predecessor Corporation acquired several cable television systems adjacent to its existing service areas. In addition, during 1994, EWS acquired the remaining minority interest in SHB that it had not previously owned and subsequently allocated a portion of the purchase price to the Predecessor Corporation.</w:t>
      </w:r>
    </w:p>
    <w:p>
      <w:pPr>
        <w:spacing w:after="0" w:line="187" w:lineRule="exact"/>
        <w:rPr>
          <w:rFonts w:ascii="Courier New" w:cs="Courier New" w:eastAsia="Courier New" w:hAnsi="Courier New"/>
          <w:sz w:val="16"/>
          <w:szCs w:val="16"/>
          <w:color w:val="auto"/>
        </w:rPr>
      </w:pPr>
    </w:p>
    <w:p>
      <w:pPr>
        <w:ind w:left="480" w:right="254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presents additional information about these acquisitions (in thousands):</w:t>
      </w:r>
    </w:p>
    <w:p>
      <w:pPr>
        <w:spacing w:after="0" w:line="371"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Predecessor Corporation</w:t>
            </w:r>
          </w:p>
        </w:tc>
        <w:tc>
          <w:tcPr>
            <w:tcW w:w="780" w:type="dxa"/>
            <w:vAlign w:val="bottom"/>
          </w:tcPr>
          <w:p>
            <w:pPr>
              <w:spacing w:after="0"/>
              <w:rPr>
                <w:sz w:val="15"/>
                <w:szCs w:val="15"/>
                <w:color w:val="auto"/>
              </w:rPr>
            </w:pPr>
          </w:p>
        </w:tc>
      </w:tr>
      <w:tr>
        <w:trPr>
          <w:trHeight w:val="188"/>
        </w:trPr>
        <w:tc>
          <w:tcPr>
            <w:tcW w:w="50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January 1 to</w:t>
            </w:r>
          </w:p>
        </w:tc>
        <w:tc>
          <w:tcPr>
            <w:tcW w:w="2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0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October 31,</w:t>
            </w:r>
          </w:p>
        </w:tc>
        <w:tc>
          <w:tcPr>
            <w:tcW w:w="318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Year Ended December 31,</w:t>
            </w:r>
          </w:p>
        </w:tc>
      </w:tr>
      <w:tr>
        <w:trPr>
          <w:trHeight w:val="188"/>
        </w:trPr>
        <w:tc>
          <w:tcPr>
            <w:tcW w:w="504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1996</w:t>
            </w:r>
          </w:p>
        </w:tc>
        <w:tc>
          <w:tcPr>
            <w:tcW w:w="2400" w:type="dxa"/>
            <w:vAlign w:val="bottom"/>
          </w:tcPr>
          <w:p>
            <w:pPr>
              <w:ind w:left="940"/>
              <w:spacing w:after="0"/>
              <w:rPr>
                <w:sz w:val="20"/>
                <w:szCs w:val="20"/>
                <w:color w:val="auto"/>
              </w:rPr>
            </w:pPr>
            <w:r>
              <w:rPr>
                <w:rFonts w:ascii="Courier New" w:cs="Courier New" w:eastAsia="Courier New" w:hAnsi="Courier New"/>
                <w:sz w:val="16"/>
                <w:szCs w:val="16"/>
                <w:color w:val="auto"/>
              </w:rPr>
              <w:t>1995</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r>
      <w:tr>
        <w:trPr>
          <w:trHeight w:val="376"/>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Goodwill and other intangible assets acquired......</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$50,606</w:t>
            </w:r>
          </w:p>
        </w:tc>
        <w:tc>
          <w:tcPr>
            <w:tcW w:w="24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$247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$233</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Other assets acquired..............................</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11,681</w:t>
            </w:r>
          </w:p>
        </w:tc>
        <w:tc>
          <w:tcPr>
            <w:tcW w:w="24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137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88"/>
        </w:trPr>
        <w:tc>
          <w:tcPr>
            <w:tcW w:w="50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62,287</w:t>
            </w:r>
          </w:p>
        </w:tc>
        <w:tc>
          <w:tcPr>
            <w:tcW w:w="24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384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385</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Liabilities assumed................................</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(188)</w:t>
            </w:r>
          </w:p>
        </w:tc>
        <w:tc>
          <w:tcPr>
            <w:tcW w:w="2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0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Total cable television system acquisitions.........</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62,099</w:t>
            </w:r>
          </w:p>
        </w:tc>
        <w:tc>
          <w:tcPr>
            <w:tcW w:w="24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384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385</w:t>
            </w:r>
          </w:p>
        </w:tc>
      </w:tr>
      <w:tr>
        <w:trPr>
          <w:trHeight w:val="188"/>
        </w:trPr>
        <w:tc>
          <w:tcPr>
            <w:tcW w:w="504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Excess of cost over book value of SHB stock</w:t>
            </w:r>
          </w:p>
        </w:tc>
        <w:tc>
          <w:tcPr>
            <w:tcW w:w="1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allocated to the Predecessor Corporation and paid</w:t>
            </w:r>
          </w:p>
        </w:tc>
        <w:tc>
          <w:tcPr>
            <w:tcW w:w="1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 SHI...........................................</w:t>
            </w:r>
          </w:p>
        </w:tc>
        <w:tc>
          <w:tcPr>
            <w:tcW w:w="1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26,116</w:t>
            </w:r>
          </w:p>
        </w:tc>
      </w:tr>
      <w:tr>
        <w:trPr>
          <w:trHeight w:val="188"/>
        </w:trPr>
        <w:tc>
          <w:tcPr>
            <w:tcW w:w="50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$62,099</w:t>
            </w:r>
          </w:p>
        </w:tc>
        <w:tc>
          <w:tcPr>
            <w:tcW w:w="24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$384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$26,501</w:t>
            </w:r>
          </w:p>
        </w:tc>
      </w:tr>
      <w:tr>
        <w:trPr>
          <w:trHeight w:val="188"/>
        </w:trPr>
        <w:tc>
          <w:tcPr>
            <w:tcW w:w="50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52"/>
        </w:trPr>
        <w:tc>
          <w:tcPr>
            <w:tcW w:w="5040" w:type="dxa"/>
            <w:vAlign w:val="bottom"/>
          </w:tcPr>
          <w:p>
            <w:pPr>
              <w:jc w:val="right"/>
              <w:ind w:right="1739"/>
              <w:spacing w:after="0"/>
              <w:rPr>
                <w:sz w:val="20"/>
                <w:szCs w:val="20"/>
                <w:color w:val="auto"/>
              </w:rPr>
            </w:pPr>
            <w:r>
              <w:rPr>
                <w:rFonts w:ascii="Courier New" w:cs="Courier New" w:eastAsia="Courier New" w:hAnsi="Courier New"/>
                <w:sz w:val="16"/>
                <w:szCs w:val="16"/>
                <w:color w:val="auto"/>
              </w:rPr>
              <w:t>F-11</w:t>
            </w: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360"/>
          </w:cols>
          <w:pgMar w:left="240" w:top="493" w:right="129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AND COMBINED FINANCIAL STATEMENTS</w:t>
      </w:r>
    </w:p>
    <w:p>
      <w:pPr>
        <w:spacing w:after="0" w:line="7"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6"/>
          <w:szCs w:val="16"/>
          <w:color w:val="auto"/>
        </w:rPr>
        <w:t>PERIODS FROM JANUARY 1, 1996 TO OCTOBER 31, 1996 AND NOVEMBER 1, 1996 TO DECEMBER 31, 1996 AND YEARS ENDED DECEMBER 31, 1995 AND 1994 (Continued)</w:t>
      </w:r>
    </w:p>
    <w:p>
      <w:pPr>
        <w:spacing w:after="0" w:line="200" w:lineRule="exact"/>
        <w:rPr>
          <w:sz w:val="20"/>
          <w:szCs w:val="20"/>
          <w:color w:val="auto"/>
        </w:rPr>
      </w:pPr>
    </w:p>
    <w:p>
      <w:pPr>
        <w:spacing w:after="0" w:line="359"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The acquisitions have been accounted for under the purchase method. The acquired operations have been included in the combined statements of operations from the dates of acquisition. Pro forma results are not presented because the combined results of operations would not be significantly different from the reported amounts.</w:t>
      </w:r>
    </w:p>
    <w:p>
      <w:pPr>
        <w:spacing w:after="0" w:line="187" w:lineRule="exact"/>
        <w:rPr>
          <w:sz w:val="20"/>
          <w:szCs w:val="20"/>
          <w:color w:val="auto"/>
        </w:rPr>
      </w:pPr>
    </w:p>
    <w:p>
      <w:pPr>
        <w:jc w:val="both"/>
        <w:ind w:left="480" w:right="2399"/>
        <w:spacing w:after="0" w:line="253" w:lineRule="auto"/>
        <w:rPr>
          <w:sz w:val="20"/>
          <w:szCs w:val="20"/>
          <w:color w:val="auto"/>
        </w:rPr>
      </w:pPr>
      <w:r>
        <w:rPr>
          <w:rFonts w:ascii="Courier New" w:cs="Courier New" w:eastAsia="Courier New" w:hAnsi="Courier New"/>
          <w:sz w:val="16"/>
          <w:szCs w:val="16"/>
          <w:color w:val="auto"/>
        </w:rPr>
        <w:t>During 1995, the Predecessor Corporation sold its cable television system in Barbourville, Kentucky. The sale resulted in a pre-tax gain of $1.5 million.</w:t>
      </w:r>
    </w:p>
    <w:p>
      <w:pPr>
        <w:spacing w:after="0" w:line="370" w:lineRule="exact"/>
        <w:rPr>
          <w:sz w:val="20"/>
          <w:szCs w:val="20"/>
          <w:color w:val="auto"/>
        </w:rPr>
      </w:pPr>
    </w:p>
    <w:p>
      <w:pPr>
        <w:ind w:left="480" w:hanging="480"/>
        <w:spacing w:after="0"/>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94"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November 1996, the Company entered into a $600.0 million Revolving Credit Facility (the "Credit Facility"). Initial borrowings under the Credit Facility of $150.0 million were principally used to pay a return of capital to CCCI in the amount of $120.0 million. The Company repaid $25.0 million of borrowings under the Credit Facility in December 1996. All amounts outstanding under the Credit Facility are due in 2002. The stock of the Company has been pledged as collateral for borrowings under the Credit Facility.</w:t>
      </w:r>
    </w:p>
    <w:p>
      <w:pPr>
        <w:spacing w:after="0" w:line="187" w:lineRule="exact"/>
        <w:rPr>
          <w:sz w:val="20"/>
          <w:szCs w:val="20"/>
          <w:color w:val="auto"/>
        </w:rPr>
      </w:pPr>
    </w:p>
    <w:p>
      <w:pPr>
        <w:jc w:val="both"/>
        <w:ind w:left="480" w:right="2399"/>
        <w:spacing w:after="0" w:line="252" w:lineRule="auto"/>
        <w:rPr>
          <w:sz w:val="20"/>
          <w:szCs w:val="20"/>
          <w:color w:val="auto"/>
        </w:rPr>
      </w:pPr>
      <w:r>
        <w:rPr>
          <w:rFonts w:ascii="Courier New" w:cs="Courier New" w:eastAsia="Courier New" w:hAnsi="Courier New"/>
          <w:sz w:val="16"/>
          <w:szCs w:val="16"/>
          <w:color w:val="auto"/>
        </w:rPr>
        <w:t>The interest rate on borrowings under the Credit Facility is based on either of the following at the option of the Company:</w:t>
      </w:r>
    </w:p>
    <w:p>
      <w:pPr>
        <w:spacing w:after="0" w:line="183" w:lineRule="exact"/>
        <w:rPr>
          <w:sz w:val="20"/>
          <w:szCs w:val="20"/>
          <w:color w:val="auto"/>
        </w:rPr>
      </w:pPr>
    </w:p>
    <w:p>
      <w:pPr>
        <w:ind w:left="980" w:right="3679"/>
        <w:spacing w:after="0" w:line="252" w:lineRule="auto"/>
        <w:rPr>
          <w:sz w:val="20"/>
          <w:szCs w:val="20"/>
          <w:color w:val="auto"/>
        </w:rPr>
      </w:pPr>
      <w:r>
        <w:rPr>
          <w:rFonts w:ascii="Courier New" w:cs="Courier New" w:eastAsia="Courier New" w:hAnsi="Courier New"/>
          <w:sz w:val="16"/>
          <w:szCs w:val="16"/>
          <w:color w:val="auto"/>
        </w:rPr>
        <w:t>Higher of the federal funds rate plus 1/2% or prime rate; London Interbank Offered Rate (LIBOR) plus 3/8% or 7/8%.</w:t>
      </w:r>
    </w:p>
    <w:p>
      <w:pPr>
        <w:spacing w:after="0" w:line="183" w:lineRule="exact"/>
        <w:rPr>
          <w:sz w:val="20"/>
          <w:szCs w:val="20"/>
          <w:color w:val="auto"/>
        </w:rPr>
      </w:pPr>
    </w:p>
    <w:p>
      <w:pPr>
        <w:jc w:val="both"/>
        <w:ind w:left="480" w:right="2399"/>
        <w:spacing w:after="0" w:line="252" w:lineRule="auto"/>
        <w:rPr>
          <w:sz w:val="20"/>
          <w:szCs w:val="20"/>
          <w:color w:val="auto"/>
        </w:rPr>
      </w:pPr>
      <w:r>
        <w:rPr>
          <w:rFonts w:ascii="Courier New" w:cs="Courier New" w:eastAsia="Courier New" w:hAnsi="Courier New"/>
          <w:sz w:val="16"/>
          <w:szCs w:val="16"/>
          <w:color w:val="auto"/>
        </w:rPr>
        <w:t>As of December 31, 1996, the weighted average interest rate on borrowings under the Credit Facility was 5.94%.</w:t>
      </w:r>
    </w:p>
    <w:p>
      <w:pPr>
        <w:spacing w:after="0" w:line="183"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The difference between the carrying value and estimated fair value of the Company's long-term debt was not significant as of December 31, 1996. Interest rates that are currently available to the Company for issuance of debt with similar terms and remaining maturities are used to estimate fair value as quoted market prices are not available.</w:t>
      </w:r>
    </w:p>
    <w:p>
      <w:pPr>
        <w:spacing w:after="0" w:line="18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The Credit Facility contains restrictive covenants which, among other things, limit the Company's ability to enter into arrangements for the acquisition or disposition of property and equipment, investments, mergers and the incurrence of additional indebtedness. The restrictive covenants also require that certain ratios and cash flow levels be maintained, as defined, and limit dividend payments, payment of management fees and advances of funds to affiliated entities.</w:t>
      </w:r>
    </w:p>
    <w:p>
      <w:pPr>
        <w:spacing w:after="0" w:line="187" w:lineRule="exact"/>
        <w:rPr>
          <w:sz w:val="20"/>
          <w:szCs w:val="20"/>
          <w:color w:val="auto"/>
        </w:rPr>
      </w:pPr>
    </w:p>
    <w:p>
      <w:pPr>
        <w:ind w:left="480" w:hanging="480"/>
        <w:spacing w:after="0"/>
        <w:tabs>
          <w:tab w:leader="none" w:pos="4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STRUCTURE</w:t>
      </w:r>
    </w:p>
    <w:p>
      <w:pPr>
        <w:spacing w:after="0" w:line="194" w:lineRule="exact"/>
        <w:rPr>
          <w:rFonts w:ascii="Courier New" w:cs="Courier New" w:eastAsia="Courier New" w:hAnsi="Courier New"/>
          <w:sz w:val="16"/>
          <w:szCs w:val="16"/>
          <w:color w:val="auto"/>
        </w:rPr>
      </w:pPr>
    </w:p>
    <w:p>
      <w:pPr>
        <w:jc w:val="both"/>
        <w:ind w:left="480" w:right="23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1996, common stock in the Company's consolidated balance sheet consists of 100 shares of no-par common stock authorized, with 80 shares issued and outstanding.</w:t>
      </w:r>
    </w:p>
    <w:p>
      <w:pPr>
        <w:spacing w:after="0" w:line="185" w:lineRule="exact"/>
        <w:rPr>
          <w:rFonts w:ascii="Courier New" w:cs="Courier New" w:eastAsia="Courier New" w:hAnsi="Courier New"/>
          <w:sz w:val="16"/>
          <w:szCs w:val="16"/>
          <w:color w:val="auto"/>
        </w:rPr>
      </w:pPr>
    </w:p>
    <w:p>
      <w:pPr>
        <w:ind w:left="480" w:right="23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1995, common stock in the Predecessor Corporation's combined balance sheet includes the following:</w:t>
      </w:r>
    </w:p>
    <w:p>
      <w:pPr>
        <w:spacing w:after="0" w:line="183" w:lineRule="exact"/>
        <w:rPr>
          <w:sz w:val="20"/>
          <w:szCs w:val="20"/>
          <w:color w:val="auto"/>
        </w:rPr>
      </w:pPr>
    </w:p>
    <w:p>
      <w:pPr>
        <w:ind w:left="980" w:right="2399"/>
        <w:spacing w:after="0" w:line="248" w:lineRule="auto"/>
        <w:rPr>
          <w:sz w:val="20"/>
          <w:szCs w:val="20"/>
          <w:color w:val="auto"/>
        </w:rPr>
      </w:pPr>
      <w:r>
        <w:rPr>
          <w:rFonts w:ascii="Courier New" w:cs="Courier New" w:eastAsia="Courier New" w:hAnsi="Courier New"/>
          <w:sz w:val="16"/>
          <w:szCs w:val="16"/>
          <w:color w:val="auto"/>
        </w:rPr>
        <w:t>EWS Cable - 100 shares of no-par common stock authorized, 50 shares issued and outstanding;</w:t>
      </w:r>
    </w:p>
    <w:p>
      <w:pPr>
        <w:spacing w:after="0" w:line="1" w:lineRule="exact"/>
        <w:rPr>
          <w:sz w:val="20"/>
          <w:szCs w:val="20"/>
          <w:color w:val="auto"/>
        </w:rPr>
      </w:pPr>
    </w:p>
    <w:p>
      <w:pPr>
        <w:ind w:left="980" w:right="2399"/>
        <w:spacing w:after="0" w:line="248" w:lineRule="auto"/>
        <w:rPr>
          <w:sz w:val="20"/>
          <w:szCs w:val="20"/>
          <w:color w:val="auto"/>
        </w:rPr>
      </w:pPr>
      <w:r>
        <w:rPr>
          <w:rFonts w:ascii="Courier New" w:cs="Courier New" w:eastAsia="Courier New" w:hAnsi="Courier New"/>
          <w:sz w:val="16"/>
          <w:szCs w:val="16"/>
          <w:color w:val="auto"/>
        </w:rPr>
        <w:t>L-R Cable - 100 shares of no-par common stock authorized, 50 shares issued and outstanding;</w:t>
      </w:r>
    </w:p>
    <w:p>
      <w:pPr>
        <w:spacing w:after="0" w:line="1" w:lineRule="exact"/>
        <w:rPr>
          <w:sz w:val="20"/>
          <w:szCs w:val="20"/>
          <w:color w:val="auto"/>
        </w:rPr>
      </w:pPr>
    </w:p>
    <w:p>
      <w:pPr>
        <w:ind w:left="980" w:right="2399"/>
        <w:spacing w:after="0" w:line="248" w:lineRule="auto"/>
        <w:rPr>
          <w:sz w:val="20"/>
          <w:szCs w:val="20"/>
          <w:color w:val="auto"/>
        </w:rPr>
      </w:pPr>
      <w:r>
        <w:rPr>
          <w:rFonts w:ascii="Courier New" w:cs="Courier New" w:eastAsia="Courier New" w:hAnsi="Courier New"/>
          <w:sz w:val="16"/>
          <w:szCs w:val="16"/>
          <w:color w:val="auto"/>
        </w:rPr>
        <w:t>SHCC - 100 shares of no-par common stock authorized, 80 shares issued and outstanding; and</w:t>
      </w:r>
    </w:p>
    <w:p>
      <w:pPr>
        <w:spacing w:after="0" w:line="1" w:lineRule="exact"/>
        <w:rPr>
          <w:sz w:val="20"/>
          <w:szCs w:val="20"/>
          <w:color w:val="auto"/>
        </w:rPr>
      </w:pPr>
    </w:p>
    <w:p>
      <w:pPr>
        <w:ind w:left="980" w:right="2399"/>
        <w:spacing w:after="0" w:line="252" w:lineRule="auto"/>
        <w:rPr>
          <w:sz w:val="20"/>
          <w:szCs w:val="20"/>
          <w:color w:val="auto"/>
        </w:rPr>
      </w:pPr>
      <w:r>
        <w:rPr>
          <w:rFonts w:ascii="Courier New" w:cs="Courier New" w:eastAsia="Courier New" w:hAnsi="Courier New"/>
          <w:sz w:val="16"/>
          <w:szCs w:val="16"/>
          <w:color w:val="auto"/>
        </w:rPr>
        <w:t>Sacramento Cable - 2,000 shares of no-par common stock authorized, 100 shares issued and outstanding.</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49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AND COMBINED FINANCIAL STATEMENTS</w:t>
      </w:r>
    </w:p>
    <w:p>
      <w:pPr>
        <w:spacing w:after="0" w:line="7"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6"/>
          <w:szCs w:val="16"/>
          <w:color w:val="auto"/>
        </w:rPr>
        <w:t>PERIODS FROM JANUARY 1, 1996 TO OCTOBER 31, 1996 AND NOVEMBER 1, 1996 TO DECEMBER 31, 1996 AND YEARS ENDED DECEMBER 31, 1995 AND 1994 (Continued)</w:t>
      </w:r>
    </w:p>
    <w:p>
      <w:pPr>
        <w:spacing w:after="0" w:line="200" w:lineRule="exact"/>
        <w:rPr>
          <w:sz w:val="20"/>
          <w:szCs w:val="20"/>
          <w:color w:val="auto"/>
        </w:rPr>
      </w:pPr>
    </w:p>
    <w:p>
      <w:pPr>
        <w:spacing w:after="0" w:line="359" w:lineRule="exact"/>
        <w:rPr>
          <w:sz w:val="20"/>
          <w:szCs w:val="20"/>
          <w:color w:val="auto"/>
        </w:rPr>
      </w:pPr>
    </w:p>
    <w:p>
      <w:pPr>
        <w:ind w:left="480" w:hanging="480"/>
        <w:spacing w:after="0"/>
        <w:tabs>
          <w:tab w:leader="none" w:pos="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4"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Scripps Acquisition, the Company joins with Comcast in filing a consolidated federal income tax return. Comcast allocates income tax expense or benefit to the Company as if the Company was filing a separate federal income tax return. Tax benefits from both losses and tax credits are made available to the Company as it is able to realize such benefits on a separate return basis. The Company is required to pay Comcast for income taxes an amount equal to that amount of tax the Company would pay if it filed a separate tax return. The current provision for income taxes for the period from November 1, 1996 to December 31, 1996 is due to Comcast and is included in due to affiliates.</w:t>
      </w:r>
    </w:p>
    <w:p>
      <w:pPr>
        <w:spacing w:after="0" w:line="187"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Predecessor Corporation was included in the consolidated federal tax return of EWS. The provision for income taxes was generally prepared as if the Predecessor Corporation filed a separate return, however tax benefits for taxable losses and other deductions that would be limited if the Predecessor Corporation were an independent company were recognized currently if such losses and benefits were utilized in the consolidated EWS provision. If the tax provision were prepared on a separate return basis, the tax provision (benefit) in the accompanying combined statement of operations would have been $5.9 million and ($10.6) million for the years ended December 31, 1995 and 1994, respectively. Such amounts differ from the reported amounts due to the timing of the recognition of benefits for taxable losses and investment tax credits. There would not have been a significant change to the tax provision for the period from January 1, 1996 to October 31, 1996 had the tax provision been prepared on a separate return basis.</w:t>
      </w:r>
    </w:p>
    <w:p>
      <w:pPr>
        <w:spacing w:after="0" w:line="18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and the Predecessor Corporation's deferred income tax liability as of December 31, 1996 and 1995 principally results from the tax effects of differences between the book and tax basis of property and equipment and deferred charges (excluding goodwill).</w:t>
      </w:r>
    </w:p>
    <w:p>
      <w:pPr>
        <w:spacing w:after="0" w:line="187"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Scripps Acquisition, the Company recorded an increase in its deferred income tax liability and deferred charges of $499.2 million for temporary differences between the financial reporting basis and the tax basis of the assets of the Company as of the date of the acquisition. At the date of acquisition, the Predecessor Corporation had an existing deferred income tax liability of $101.7 million, which was assumed by the Company.</w:t>
      </w:r>
    </w:p>
    <w:p>
      <w:pPr>
        <w:spacing w:after="0" w:line="375"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1994, the Internal Revenue Service ("IRS") proposed adjustments related to certain intangible assets and a deduction related to the 1986 redemption of a partnership interest in certain of the Predecessor Corporation's cable systems. Based upon the proposed adjustments, management of the Predecessor Corporation changed its estimate of the tax liability for prior years. The resulting change in the liability for prior year income taxes and the deferred income tax liability increased 1994 net income by $11.8 million. In 1995, EWS reached agreement with the IRS to settle the audits of its 1985 through 1987 tax returns. The settlement payment was charged to the prior years' tax liability. The liability was not adjusted as a result of the settlement.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49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AND COMBINED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PERIODS FROM JANUARY 1, 1996 TO OCTOBER 31, 1996 AND NOVEMBER 1, 1996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1996 AND YEARS ENDED DECEMBER 31, 1995 AND 1994 (Continued)</w:t>
      </w:r>
    </w:p>
    <w:p>
      <w:pPr>
        <w:spacing w:after="0" w:line="200" w:lineRule="exact"/>
        <w:rPr>
          <w:sz w:val="20"/>
          <w:szCs w:val="20"/>
          <w:color w:val="auto"/>
        </w:rPr>
      </w:pPr>
    </w:p>
    <w:p>
      <w:pPr>
        <w:spacing w:after="0" w:line="371"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Income tax (benefit) expense consists of the following</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components (dollars</w:t>
            </w:r>
          </w:p>
        </w:tc>
        <w:tc>
          <w:tcPr>
            <w:tcW w:w="1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348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564"/>
        </w:trPr>
        <w:tc>
          <w:tcPr>
            <w:tcW w:w="3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Predecessor Corporation</w:t>
            </w:r>
          </w:p>
        </w:tc>
        <w:tc>
          <w:tcPr>
            <w:tcW w:w="1080" w:type="dxa"/>
            <w:vAlign w:val="bottom"/>
          </w:tcPr>
          <w:p>
            <w:pPr>
              <w:spacing w:after="0"/>
              <w:rPr>
                <w:sz w:val="24"/>
                <w:szCs w:val="24"/>
                <w:color w:val="auto"/>
              </w:rPr>
            </w:pPr>
          </w:p>
        </w:tc>
      </w:tr>
      <w:tr>
        <w:trPr>
          <w:trHeight w:val="376"/>
        </w:trPr>
        <w:tc>
          <w:tcPr>
            <w:tcW w:w="3480" w:type="dxa"/>
            <w:vAlign w:val="bottom"/>
          </w:tcPr>
          <w:p>
            <w:pPr>
              <w:spacing w:after="0"/>
              <w:rPr>
                <w:sz w:val="24"/>
                <w:szCs w:val="24"/>
                <w:color w:val="auto"/>
              </w:rPr>
            </w:pPr>
          </w:p>
        </w:tc>
        <w:tc>
          <w:tcPr>
            <w:tcW w:w="1900" w:type="dxa"/>
            <w:vAlign w:val="bottom"/>
          </w:tcPr>
          <w:p>
            <w:pPr>
              <w:ind w:left="240"/>
              <w:spacing w:after="0"/>
              <w:rPr>
                <w:sz w:val="20"/>
                <w:szCs w:val="20"/>
                <w:color w:val="auto"/>
              </w:rPr>
            </w:pPr>
            <w:r>
              <w:rPr>
                <w:rFonts w:ascii="Courier New" w:cs="Courier New" w:eastAsia="Courier New" w:hAnsi="Courier New"/>
                <w:sz w:val="16"/>
                <w:szCs w:val="16"/>
                <w:color w:val="auto"/>
              </w:rPr>
              <w:t>November 1 to</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January 1 to</w:t>
            </w: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3480" w:type="dxa"/>
            <w:vAlign w:val="bottom"/>
          </w:tcPr>
          <w:p>
            <w:pPr>
              <w:spacing w:after="0"/>
              <w:rPr>
                <w:sz w:val="16"/>
                <w:szCs w:val="16"/>
                <w:color w:val="auto"/>
              </w:rPr>
            </w:pPr>
          </w:p>
        </w:tc>
        <w:tc>
          <w:tcPr>
            <w:tcW w:w="1900" w:type="dxa"/>
            <w:vAlign w:val="bottom"/>
          </w:tcPr>
          <w:p>
            <w:pPr>
              <w:ind w:left="240"/>
              <w:spacing w:after="0"/>
              <w:rPr>
                <w:sz w:val="20"/>
                <w:szCs w:val="20"/>
                <w:color w:val="auto"/>
              </w:rPr>
            </w:pPr>
            <w:r>
              <w:rPr>
                <w:rFonts w:ascii="Courier New" w:cs="Courier New" w:eastAsia="Courier New" w:hAnsi="Courier New"/>
                <w:sz w:val="16"/>
                <w:szCs w:val="16"/>
                <w:color w:val="auto"/>
              </w:rPr>
              <w:t>December 31,</w:t>
            </w:r>
          </w:p>
        </w:tc>
        <w:tc>
          <w:tcPr>
            <w:tcW w:w="1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October 31,</w:t>
            </w:r>
          </w:p>
        </w:tc>
        <w:tc>
          <w:tcPr>
            <w:tcW w:w="26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Year Ended December 31,</w:t>
            </w:r>
          </w:p>
        </w:tc>
      </w:tr>
      <w:tr>
        <w:trPr>
          <w:trHeight w:val="188"/>
        </w:trPr>
        <w:tc>
          <w:tcPr>
            <w:tcW w:w="3480" w:type="dxa"/>
            <w:vAlign w:val="bottom"/>
          </w:tcPr>
          <w:p>
            <w:pPr>
              <w:spacing w:after="0"/>
              <w:rPr>
                <w:sz w:val="16"/>
                <w:szCs w:val="16"/>
                <w:color w:val="auto"/>
              </w:rPr>
            </w:pPr>
          </w:p>
        </w:tc>
        <w:tc>
          <w:tcPr>
            <w:tcW w:w="19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1996</w:t>
            </w:r>
          </w:p>
        </w:tc>
        <w:tc>
          <w:tcPr>
            <w:tcW w:w="196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1996</w:t>
            </w:r>
          </w:p>
        </w:tc>
        <w:tc>
          <w:tcPr>
            <w:tcW w:w="15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1995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376"/>
        </w:trPr>
        <w:tc>
          <w:tcPr>
            <w:tcW w:w="3480" w:type="dxa"/>
            <w:vAlign w:val="bottom"/>
          </w:tcPr>
          <w:p>
            <w:pPr>
              <w:spacing w:after="0"/>
              <w:rPr>
                <w:sz w:val="20"/>
                <w:szCs w:val="20"/>
                <w:color w:val="auto"/>
              </w:rPr>
            </w:pPr>
            <w:r>
              <w:rPr>
                <w:rFonts w:ascii="Courier New" w:cs="Courier New" w:eastAsia="Courier New" w:hAnsi="Courier New"/>
                <w:sz w:val="16"/>
                <w:szCs w:val="16"/>
                <w:color w:val="auto"/>
              </w:rPr>
              <w:t>Current expense (benefit)</w:t>
            </w: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3480" w:type="dxa"/>
            <w:vAlign w:val="bottom"/>
          </w:tcPr>
          <w:p>
            <w:pPr>
              <w:spacing w:after="0"/>
              <w:rPr>
                <w:sz w:val="20"/>
                <w:szCs w:val="20"/>
                <w:color w:val="auto"/>
              </w:rPr>
            </w:pPr>
            <w:r>
              <w:rPr>
                <w:rFonts w:ascii="Courier New" w:cs="Courier New" w:eastAsia="Courier New" w:hAnsi="Courier New"/>
                <w:sz w:val="16"/>
                <w:szCs w:val="16"/>
                <w:color w:val="auto"/>
              </w:rPr>
              <w:t>Federal..........................</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$482</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$14,297</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$11,777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($10,290)</w:t>
            </w:r>
          </w:p>
        </w:tc>
      </w:tr>
      <w:tr>
        <w:trPr>
          <w:trHeight w:val="188"/>
        </w:trPr>
        <w:tc>
          <w:tcPr>
            <w:tcW w:w="3480" w:type="dxa"/>
            <w:vAlign w:val="bottom"/>
          </w:tcPr>
          <w:p>
            <w:pPr>
              <w:spacing w:after="0"/>
              <w:rPr>
                <w:sz w:val="20"/>
                <w:szCs w:val="20"/>
                <w:color w:val="auto"/>
              </w:rPr>
            </w:pPr>
            <w:r>
              <w:rPr>
                <w:rFonts w:ascii="Courier New" w:cs="Courier New" w:eastAsia="Courier New" w:hAnsi="Courier New"/>
                <w:sz w:val="16"/>
                <w:szCs w:val="16"/>
                <w:color w:val="auto"/>
              </w:rPr>
              <w:t>State............................</w:t>
            </w:r>
          </w:p>
        </w:tc>
        <w:tc>
          <w:tcPr>
            <w:tcW w:w="1900" w:type="dxa"/>
            <w:vAlign w:val="bottom"/>
          </w:tcPr>
          <w:p>
            <w:pPr>
              <w:spacing w:after="0"/>
              <w:rPr>
                <w:sz w:val="16"/>
                <w:szCs w:val="16"/>
                <w:color w:val="auto"/>
              </w:rPr>
            </w:pP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1,559</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585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357</w:t>
            </w:r>
          </w:p>
        </w:tc>
      </w:tr>
      <w:tr>
        <w:trPr>
          <w:trHeight w:val="188"/>
        </w:trPr>
        <w:tc>
          <w:tcPr>
            <w:tcW w:w="3480" w:type="dxa"/>
            <w:vAlign w:val="bottom"/>
          </w:tcPr>
          <w:p>
            <w:pPr>
              <w:spacing w:after="0"/>
              <w:rPr>
                <w:sz w:val="16"/>
                <w:szCs w:val="16"/>
                <w:color w:val="auto"/>
              </w:rPr>
            </w:pP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480" w:type="dxa"/>
            <w:vAlign w:val="bottom"/>
          </w:tcPr>
          <w:p>
            <w:pPr>
              <w:spacing w:after="0"/>
              <w:rPr>
                <w:sz w:val="16"/>
                <w:szCs w:val="16"/>
                <w:color w:val="auto"/>
              </w:rPr>
            </w:pP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482</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15,856</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12,362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(9,933)</w:t>
            </w:r>
          </w:p>
        </w:tc>
      </w:tr>
      <w:tr>
        <w:trPr>
          <w:trHeight w:val="188"/>
        </w:trPr>
        <w:tc>
          <w:tcPr>
            <w:tcW w:w="3480" w:type="dxa"/>
            <w:vAlign w:val="bottom"/>
          </w:tcPr>
          <w:p>
            <w:pPr>
              <w:spacing w:after="0"/>
              <w:rPr>
                <w:sz w:val="16"/>
                <w:szCs w:val="16"/>
                <w:color w:val="auto"/>
              </w:rPr>
            </w:pP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3480" w:type="dxa"/>
            <w:vAlign w:val="bottom"/>
          </w:tcPr>
          <w:p>
            <w:pPr>
              <w:spacing w:after="0"/>
              <w:rPr>
                <w:sz w:val="20"/>
                <w:szCs w:val="20"/>
                <w:color w:val="auto"/>
              </w:rPr>
            </w:pPr>
            <w:r>
              <w:rPr>
                <w:rFonts w:ascii="Courier New" w:cs="Courier New" w:eastAsia="Courier New" w:hAnsi="Courier New"/>
                <w:sz w:val="16"/>
                <w:szCs w:val="16"/>
                <w:color w:val="auto"/>
              </w:rPr>
              <w:t>Deferred (benefit) expense</w:t>
            </w: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3480" w:type="dxa"/>
            <w:vAlign w:val="bottom"/>
          </w:tcPr>
          <w:p>
            <w:pPr>
              <w:spacing w:after="0"/>
              <w:rPr>
                <w:sz w:val="20"/>
                <w:szCs w:val="20"/>
                <w:color w:val="auto"/>
              </w:rPr>
            </w:pPr>
            <w:r>
              <w:rPr>
                <w:rFonts w:ascii="Courier New" w:cs="Courier New" w:eastAsia="Courier New" w:hAnsi="Courier New"/>
                <w:sz w:val="16"/>
                <w:szCs w:val="16"/>
                <w:color w:val="auto"/>
              </w:rPr>
              <w:t>Federal..........................</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(6,085)</w:t>
            </w:r>
          </w:p>
        </w:tc>
        <w:tc>
          <w:tcPr>
            <w:tcW w:w="19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(8,410)</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(2,579)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(2,482)</w:t>
            </w:r>
          </w:p>
        </w:tc>
      </w:tr>
      <w:tr>
        <w:trPr>
          <w:trHeight w:val="188"/>
        </w:trPr>
        <w:tc>
          <w:tcPr>
            <w:tcW w:w="3480" w:type="dxa"/>
            <w:vAlign w:val="bottom"/>
          </w:tcPr>
          <w:p>
            <w:pPr>
              <w:spacing w:after="0"/>
              <w:rPr>
                <w:sz w:val="20"/>
                <w:szCs w:val="20"/>
                <w:color w:val="auto"/>
              </w:rPr>
            </w:pPr>
            <w:r>
              <w:rPr>
                <w:rFonts w:ascii="Courier New" w:cs="Courier New" w:eastAsia="Courier New" w:hAnsi="Courier New"/>
                <w:sz w:val="16"/>
                <w:szCs w:val="16"/>
                <w:color w:val="auto"/>
              </w:rPr>
              <w:t>State............................</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(1,021)</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198</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2,130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1,825</w:t>
            </w:r>
          </w:p>
        </w:tc>
      </w:tr>
      <w:tr>
        <w:trPr>
          <w:trHeight w:val="188"/>
        </w:trPr>
        <w:tc>
          <w:tcPr>
            <w:tcW w:w="3480" w:type="dxa"/>
            <w:vAlign w:val="bottom"/>
          </w:tcPr>
          <w:p>
            <w:pPr>
              <w:spacing w:after="0"/>
              <w:rPr>
                <w:sz w:val="16"/>
                <w:szCs w:val="16"/>
                <w:color w:val="auto"/>
              </w:rPr>
            </w:pP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480" w:type="dxa"/>
            <w:vAlign w:val="bottom"/>
          </w:tcPr>
          <w:p>
            <w:pPr>
              <w:spacing w:after="0"/>
              <w:rPr>
                <w:sz w:val="16"/>
                <w:szCs w:val="16"/>
                <w:color w:val="auto"/>
              </w:rPr>
            </w:pP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(7,106)</w:t>
            </w:r>
          </w:p>
        </w:tc>
        <w:tc>
          <w:tcPr>
            <w:tcW w:w="19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(8,212)</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(449)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(657)</w:t>
            </w:r>
          </w:p>
        </w:tc>
      </w:tr>
      <w:tr>
        <w:trPr>
          <w:trHeight w:val="188"/>
        </w:trPr>
        <w:tc>
          <w:tcPr>
            <w:tcW w:w="3480" w:type="dxa"/>
            <w:vAlign w:val="bottom"/>
          </w:tcPr>
          <w:p>
            <w:pPr>
              <w:spacing w:after="0"/>
              <w:rPr>
                <w:sz w:val="16"/>
                <w:szCs w:val="16"/>
                <w:color w:val="auto"/>
              </w:rPr>
            </w:pP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3480" w:type="dxa"/>
            <w:vAlign w:val="bottom"/>
          </w:tcPr>
          <w:p>
            <w:pPr>
              <w:spacing w:after="0"/>
              <w:rPr>
                <w:sz w:val="20"/>
                <w:szCs w:val="20"/>
                <w:color w:val="auto"/>
              </w:rPr>
            </w:pPr>
            <w:r>
              <w:rPr>
                <w:rFonts w:ascii="Courier New" w:cs="Courier New" w:eastAsia="Courier New" w:hAnsi="Courier New"/>
                <w:sz w:val="16"/>
                <w:szCs w:val="16"/>
                <w:color w:val="auto"/>
              </w:rPr>
              <w:t>Income tax (benefit) expense.....</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($6,624)</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$7,644</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$11,913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($10,590)</w:t>
            </w:r>
          </w:p>
        </w:tc>
      </w:tr>
      <w:tr>
        <w:trPr>
          <w:trHeight w:val="188"/>
        </w:trPr>
        <w:tc>
          <w:tcPr>
            <w:tcW w:w="3480" w:type="dxa"/>
            <w:vAlign w:val="bottom"/>
          </w:tcPr>
          <w:p>
            <w:pPr>
              <w:spacing w:after="0"/>
              <w:rPr>
                <w:sz w:val="16"/>
                <w:szCs w:val="16"/>
                <w:color w:val="auto"/>
              </w:rPr>
            </w:pP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jc w:val="both"/>
        <w:ind w:left="480" w:right="2640"/>
        <w:spacing w:after="0" w:line="250" w:lineRule="auto"/>
        <w:rPr>
          <w:sz w:val="20"/>
          <w:szCs w:val="20"/>
          <w:color w:val="auto"/>
        </w:rPr>
      </w:pPr>
      <w:r>
        <w:rPr>
          <w:rFonts w:ascii="Courier New" w:cs="Courier New" w:eastAsia="Courier New" w:hAnsi="Courier New"/>
          <w:sz w:val="16"/>
          <w:szCs w:val="16"/>
          <w:color w:val="auto"/>
        </w:rPr>
        <w:t>The effective income tax (benefit) expense of the Company and the Predecessor Corporation differs from the statutory amount because of the effects of the following items (dollars in thousands):</w:t>
      </w:r>
    </w:p>
    <w:p>
      <w:pPr>
        <w:spacing w:after="0" w:line="373"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Predecessor Corporation</w:t>
            </w:r>
          </w:p>
        </w:tc>
        <w:tc>
          <w:tcPr>
            <w:tcW w:w="1080" w:type="dxa"/>
            <w:vAlign w:val="bottom"/>
          </w:tcPr>
          <w:p>
            <w:pPr>
              <w:spacing w:after="0"/>
              <w:rPr>
                <w:sz w:val="15"/>
                <w:szCs w:val="15"/>
                <w:color w:val="auto"/>
              </w:rPr>
            </w:pPr>
          </w:p>
        </w:tc>
      </w:tr>
      <w:tr>
        <w:trPr>
          <w:trHeight w:val="188"/>
        </w:trPr>
        <w:tc>
          <w:tcPr>
            <w:tcW w:w="3480" w:type="dxa"/>
            <w:vAlign w:val="bottom"/>
          </w:tcPr>
          <w:p>
            <w:pPr>
              <w:spacing w:after="0"/>
              <w:rPr>
                <w:sz w:val="16"/>
                <w:szCs w:val="16"/>
                <w:color w:val="auto"/>
              </w:rPr>
            </w:pPr>
          </w:p>
        </w:tc>
        <w:tc>
          <w:tcPr>
            <w:tcW w:w="1760" w:type="dxa"/>
            <w:vAlign w:val="bottom"/>
          </w:tcPr>
          <w:p>
            <w:pPr>
              <w:ind w:left="240"/>
              <w:spacing w:after="0"/>
              <w:rPr>
                <w:sz w:val="20"/>
                <w:szCs w:val="20"/>
                <w:color w:val="auto"/>
              </w:rPr>
            </w:pPr>
            <w:r>
              <w:rPr>
                <w:rFonts w:ascii="Courier New" w:cs="Courier New" w:eastAsia="Courier New" w:hAnsi="Courier New"/>
                <w:sz w:val="16"/>
                <w:szCs w:val="16"/>
                <w:color w:val="auto"/>
              </w:rPr>
              <w:t>November 1 to</w:t>
            </w:r>
          </w:p>
        </w:tc>
        <w:tc>
          <w:tcPr>
            <w:tcW w:w="18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January 1 to</w:t>
            </w: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480" w:type="dxa"/>
            <w:vAlign w:val="bottom"/>
          </w:tcPr>
          <w:p>
            <w:pPr>
              <w:spacing w:after="0"/>
              <w:rPr>
                <w:sz w:val="16"/>
                <w:szCs w:val="16"/>
                <w:color w:val="auto"/>
              </w:rPr>
            </w:pPr>
          </w:p>
        </w:tc>
        <w:tc>
          <w:tcPr>
            <w:tcW w:w="1760" w:type="dxa"/>
            <w:vAlign w:val="bottom"/>
          </w:tcPr>
          <w:p>
            <w:pPr>
              <w:ind w:left="240"/>
              <w:spacing w:after="0"/>
              <w:rPr>
                <w:sz w:val="20"/>
                <w:szCs w:val="20"/>
                <w:color w:val="auto"/>
              </w:rPr>
            </w:pPr>
            <w:r>
              <w:rPr>
                <w:rFonts w:ascii="Courier New" w:cs="Courier New" w:eastAsia="Courier New" w:hAnsi="Courier New"/>
                <w:sz w:val="16"/>
                <w:szCs w:val="16"/>
                <w:color w:val="auto"/>
              </w:rPr>
              <w:t>December 31,</w:t>
            </w:r>
          </w:p>
        </w:tc>
        <w:tc>
          <w:tcPr>
            <w:tcW w:w="18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October 31,</w:t>
            </w:r>
          </w:p>
        </w:tc>
        <w:tc>
          <w:tcPr>
            <w:tcW w:w="29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Year Ended December 31,</w:t>
            </w:r>
          </w:p>
        </w:tc>
      </w:tr>
      <w:tr>
        <w:trPr>
          <w:trHeight w:val="188"/>
        </w:trPr>
        <w:tc>
          <w:tcPr>
            <w:tcW w:w="3480" w:type="dxa"/>
            <w:vAlign w:val="bottom"/>
          </w:tcPr>
          <w:p>
            <w:pPr>
              <w:spacing w:after="0"/>
              <w:rPr>
                <w:sz w:val="16"/>
                <w:szCs w:val="16"/>
                <w:color w:val="auto"/>
              </w:rPr>
            </w:pPr>
          </w:p>
        </w:tc>
        <w:tc>
          <w:tcPr>
            <w:tcW w:w="17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1996</w:t>
            </w:r>
          </w:p>
        </w:tc>
        <w:tc>
          <w:tcPr>
            <w:tcW w:w="18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1996</w:t>
            </w:r>
          </w:p>
        </w:tc>
        <w:tc>
          <w:tcPr>
            <w:tcW w:w="18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1995</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r>
      <w:tr>
        <w:trPr>
          <w:trHeight w:val="376"/>
        </w:trPr>
        <w:tc>
          <w:tcPr>
            <w:tcW w:w="3480" w:type="dxa"/>
            <w:vAlign w:val="bottom"/>
          </w:tcPr>
          <w:p>
            <w:pPr>
              <w:spacing w:after="0"/>
              <w:rPr>
                <w:sz w:val="20"/>
                <w:szCs w:val="20"/>
                <w:color w:val="auto"/>
              </w:rPr>
            </w:pPr>
            <w:r>
              <w:rPr>
                <w:rFonts w:ascii="Courier New" w:cs="Courier New" w:eastAsia="Courier New" w:hAnsi="Courier New"/>
                <w:sz w:val="16"/>
                <w:szCs w:val="16"/>
                <w:color w:val="auto"/>
              </w:rPr>
              <w:t>Federal tax at</w:t>
            </w:r>
          </w:p>
        </w:tc>
        <w:tc>
          <w:tcPr>
            <w:tcW w:w="1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statutory rate.................</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($6,047)</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$5,261</w:t>
            </w: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$10,361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($1,229)</w:t>
            </w:r>
          </w:p>
        </w:tc>
      </w:tr>
      <w:tr>
        <w:trPr>
          <w:trHeight w:val="188"/>
        </w:trPr>
        <w:tc>
          <w:tcPr>
            <w:tcW w:w="3480" w:type="dxa"/>
            <w:vAlign w:val="bottom"/>
          </w:tcPr>
          <w:p>
            <w:pPr>
              <w:spacing w:after="0"/>
              <w:rPr>
                <w:sz w:val="20"/>
                <w:szCs w:val="20"/>
                <w:color w:val="auto"/>
              </w:rPr>
            </w:pPr>
            <w:r>
              <w:rPr>
                <w:rFonts w:ascii="Courier New" w:cs="Courier New" w:eastAsia="Courier New" w:hAnsi="Courier New"/>
                <w:sz w:val="16"/>
                <w:szCs w:val="16"/>
                <w:color w:val="auto"/>
              </w:rPr>
              <w:t>State income taxes,</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net of federal</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benefit........................</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(664)</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1,142</w:t>
            </w: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1,765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1,418</w:t>
            </w:r>
          </w:p>
        </w:tc>
      </w:tr>
      <w:tr>
        <w:trPr>
          <w:trHeight w:val="188"/>
        </w:trPr>
        <w:tc>
          <w:tcPr>
            <w:tcW w:w="3480" w:type="dxa"/>
            <w:vAlign w:val="bottom"/>
          </w:tcPr>
          <w:p>
            <w:pPr>
              <w:spacing w:after="0"/>
              <w:rPr>
                <w:sz w:val="20"/>
                <w:szCs w:val="20"/>
                <w:color w:val="auto"/>
              </w:rPr>
            </w:pPr>
            <w:r>
              <w:rPr>
                <w:rFonts w:ascii="Courier New" w:cs="Courier New" w:eastAsia="Courier New" w:hAnsi="Courier New"/>
                <w:sz w:val="16"/>
                <w:szCs w:val="16"/>
                <w:color w:val="auto"/>
              </w:rPr>
              <w:t>Non-deductible</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amortization...................</w:t>
            </w:r>
          </w:p>
        </w:tc>
        <w:tc>
          <w:tcPr>
            <w:tcW w:w="17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1,456</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272</w:t>
            </w: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326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1,064</w:t>
            </w:r>
          </w:p>
        </w:tc>
      </w:tr>
      <w:tr>
        <w:trPr>
          <w:trHeight w:val="188"/>
        </w:trPr>
        <w:tc>
          <w:tcPr>
            <w:tcW w:w="3480" w:type="dxa"/>
            <w:vAlign w:val="bottom"/>
          </w:tcPr>
          <w:p>
            <w:pPr>
              <w:spacing w:after="0"/>
              <w:rPr>
                <w:sz w:val="20"/>
                <w:szCs w:val="20"/>
                <w:color w:val="auto"/>
              </w:rPr>
            </w:pPr>
            <w:r>
              <w:rPr>
                <w:rFonts w:ascii="Courier New" w:cs="Courier New" w:eastAsia="Courier New" w:hAnsi="Courier New"/>
                <w:sz w:val="16"/>
                <w:szCs w:val="16"/>
                <w:color w:val="auto"/>
              </w:rPr>
              <w:t>Change in estimated</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tax liability for prior</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years..........................</w:t>
            </w:r>
          </w:p>
        </w:tc>
        <w:tc>
          <w:tcPr>
            <w:tcW w:w="1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(11,807)</w:t>
            </w:r>
          </w:p>
        </w:tc>
      </w:tr>
      <w:tr>
        <w:trPr>
          <w:trHeight w:val="188"/>
        </w:trPr>
        <w:tc>
          <w:tcPr>
            <w:tcW w:w="34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(1,369)</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969</w:t>
            </w:r>
          </w:p>
        </w:tc>
        <w:tc>
          <w:tcPr>
            <w:tcW w:w="18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(539)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8"/>
        </w:trPr>
        <w:tc>
          <w:tcPr>
            <w:tcW w:w="3480" w:type="dxa"/>
            <w:vAlign w:val="bottom"/>
          </w:tcPr>
          <w:p>
            <w:pPr>
              <w:spacing w:after="0"/>
              <w:rPr>
                <w:sz w:val="16"/>
                <w:szCs w:val="16"/>
                <w:color w:val="auto"/>
              </w:rPr>
            </w:pPr>
          </w:p>
        </w:tc>
        <w:tc>
          <w:tcPr>
            <w:tcW w:w="17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3480" w:type="dxa"/>
            <w:vAlign w:val="bottom"/>
          </w:tcPr>
          <w:p>
            <w:pPr>
              <w:spacing w:after="0"/>
              <w:rPr>
                <w:sz w:val="20"/>
                <w:szCs w:val="20"/>
                <w:color w:val="auto"/>
              </w:rPr>
            </w:pPr>
            <w:r>
              <w:rPr>
                <w:rFonts w:ascii="Courier New" w:cs="Courier New" w:eastAsia="Courier New" w:hAnsi="Courier New"/>
                <w:sz w:val="16"/>
                <w:szCs w:val="16"/>
                <w:color w:val="auto"/>
              </w:rPr>
              <w:t>Income tax (benefit) expense.....</w:t>
            </w:r>
          </w:p>
        </w:tc>
        <w:tc>
          <w:tcPr>
            <w:tcW w:w="17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($6,624)</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$7,644</w:t>
            </w: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$11,913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($10,590)</w:t>
            </w:r>
          </w:p>
        </w:tc>
      </w:tr>
      <w:tr>
        <w:trPr>
          <w:trHeight w:val="188"/>
        </w:trPr>
        <w:tc>
          <w:tcPr>
            <w:tcW w:w="3480" w:type="dxa"/>
            <w:vAlign w:val="bottom"/>
          </w:tcPr>
          <w:p>
            <w:pPr>
              <w:spacing w:after="0"/>
              <w:rPr>
                <w:sz w:val="16"/>
                <w:szCs w:val="16"/>
                <w:color w:val="auto"/>
              </w:rPr>
            </w:pPr>
          </w:p>
        </w:tc>
        <w:tc>
          <w:tcPr>
            <w:tcW w:w="17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ind w:left="480" w:hanging="480"/>
        <w:spacing w:after="0"/>
        <w:tabs>
          <w:tab w:leader="none" w:pos="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PENSION PLANS</w:t>
      </w:r>
    </w:p>
    <w:p>
      <w:pPr>
        <w:spacing w:after="0" w:line="194" w:lineRule="exact"/>
        <w:rPr>
          <w:rFonts w:ascii="Courier New" w:cs="Courier New" w:eastAsia="Courier New" w:hAnsi="Courier New"/>
          <w:sz w:val="16"/>
          <w:szCs w:val="16"/>
          <w:color w:val="auto"/>
        </w:rPr>
      </w:pPr>
    </w:p>
    <w:p>
      <w:pPr>
        <w:jc w:val="both"/>
        <w:ind w:left="480" w:right="2640"/>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Scripps Acquisition, substantially all employees of the Predecessor Corporation were covered by a defined benefit plan and a defined contribution plan sponsored by SHI. A portion of the expenses related to these plans were allocated to the Predecessor Corporation by SHI. Such expenses totaled $1.0 million, $1.3 million and $1.5 million during the period from January 1, 1996 to October 31, 1996 and the years ended December 31, 1995 and 1994, respectively.</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460"/>
          </w:cols>
          <w:pgMar w:left="240" w:top="493" w:right="1199"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AND COMBINED FINANCIAL STATEMENTS</w:t>
      </w:r>
    </w:p>
    <w:p>
      <w:pPr>
        <w:spacing w:after="0" w:line="7"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6"/>
          <w:szCs w:val="16"/>
          <w:color w:val="auto"/>
        </w:rPr>
        <w:t>PERIODS FROM JANUARY 1, 1996 TO OCTOBER 31, 1996 AND NOVEMBER 1, 1996 TO DECEMBER 31, 1996 AND YEARS ENDED DECEMBER 31, 1995 AND 1994 (Continued)</w:t>
      </w:r>
    </w:p>
    <w:p>
      <w:pPr>
        <w:spacing w:after="0" w:line="200" w:lineRule="exact"/>
        <w:rPr>
          <w:sz w:val="20"/>
          <w:szCs w:val="20"/>
          <w:color w:val="auto"/>
        </w:rPr>
      </w:pPr>
    </w:p>
    <w:p>
      <w:pPr>
        <w:spacing w:after="0" w:line="359" w:lineRule="exact"/>
        <w:rPr>
          <w:sz w:val="20"/>
          <w:szCs w:val="20"/>
          <w:color w:val="auto"/>
        </w:rPr>
      </w:pPr>
    </w:p>
    <w:p>
      <w:pPr>
        <w:jc w:val="both"/>
        <w:ind w:left="480" w:right="2399"/>
        <w:spacing w:after="0" w:line="250" w:lineRule="auto"/>
        <w:rPr>
          <w:sz w:val="20"/>
          <w:szCs w:val="20"/>
          <w:color w:val="auto"/>
        </w:rPr>
      </w:pPr>
      <w:r>
        <w:rPr>
          <w:rFonts w:ascii="Courier New" w:cs="Courier New" w:eastAsia="Courier New" w:hAnsi="Courier New"/>
          <w:sz w:val="16"/>
          <w:szCs w:val="16"/>
          <w:color w:val="auto"/>
        </w:rPr>
        <w:t>As of December 31, 1995, the Predecessor Corporation's share of the defined benefit plan sponsored by SHI had a projected benefit obligation of $6.4 million and plan assets of $2.9 million.</w:t>
      </w:r>
    </w:p>
    <w:p>
      <w:pPr>
        <w:spacing w:after="0" w:line="185" w:lineRule="exact"/>
        <w:rPr>
          <w:sz w:val="20"/>
          <w:szCs w:val="20"/>
          <w:color w:val="auto"/>
        </w:rPr>
      </w:pPr>
    </w:p>
    <w:p>
      <w:pPr>
        <w:ind w:left="480" w:right="7179" w:hanging="480"/>
        <w:spacing w:after="0" w:line="497"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 The Company</w:t>
      </w:r>
    </w:p>
    <w:p>
      <w:pPr>
        <w:spacing w:after="0" w:line="1"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Scripps Acquisition, management fees are charged by Comcast based on the Company's gross revenues. Such management fees, totaling $2.5 million, are included in operating, selling, general and administrative expenses.</w:t>
      </w:r>
    </w:p>
    <w:p>
      <w:pPr>
        <w:spacing w:after="0" w:line="187"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Scripps Acquisition, the Company has entered into cost-sharing agreements with Comcast for certain services including programming, insurance and benefits. Under these arrangements, the Company incurred expenses of $19.2 million during 1996. Comcast charges the Company for certain of these expenses on the same basis that approximates what the Company would be charged if it purchased directly from the supplier. Comcast has agreed to permit the Company to defer payment of a portion of these expenses with the deferred portion being treated as a subordinated long-term liability due to affiliate which will not be payable until the Company's Credit Facility is retired. Such deferred costs totaled $4.4 million during 1996.</w:t>
      </w:r>
    </w:p>
    <w:p>
      <w:pPr>
        <w:spacing w:after="0" w:line="18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Scripps Acquisition, the Company entered into a custodial account arrangement with Comcast Financial Agency Corporation ("CFAC"), a wholly owned subsidiary of Comcast, under which CFAC provides cash management services to the Company. Under this arrangement, the Company's cash receipts are deposited with and held by CFAC, as custodian and agent, which invests and disburses such funds at the direction of the Company. As of December 31, 1996, $9.5 million of the Company's cash equivalents were represented by deposits with CFAC. Such amount has been classified as cash held by an affiliate in the Company's consolidated balance sheet. During the period from November 1, 1996 to December 31, 1996, the Company recognized investment income of $138,000 on these custodial investments.</w:t>
      </w:r>
    </w:p>
    <w:p>
      <w:pPr>
        <w:spacing w:after="0" w:line="18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Predecessor Corporation</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Due to Affiliates</w:t>
      </w:r>
    </w:p>
    <w:p>
      <w:pPr>
        <w:spacing w:after="0" w:line="6"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1995, due to affiliates in the combined balance sheet includes a $125.4 million principal amount 9.5% note, payable to EWS, a $66.1 million principal amount 11% note, payable to EWS and variable rate borrowings from SHI of $121.2 million. Interest on the variable rate borrowings from SHI was charged at 1% over the prime rate, except for interest on portions related to cash deficiencies (see below). Amounts due to affiliates were not assumed by Comcast in the Scripps Acquisition.</w:t>
      </w:r>
    </w:p>
    <w:p>
      <w:pPr>
        <w:spacing w:after="0" w:line="187"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Predecessor Corporation participated in a cash management program with SHI under which SHI managed its daily flow of cash. Cash excesses or deficiencies earned or incurred interest at appropriate short-term market rates. Cash deficiencies were included in variable rate borrowings from SHI. The Predecessor Corporation also participated in SHI's controlled disbursement system, where the bank sent daily notification of checks presented for payment and SHI transferred funds to cover such checks. Payments were charged against excesses or added to cash deficiencies as checks were issued.</w:t>
      </w:r>
    </w:p>
    <w:p>
      <w:pPr>
        <w:spacing w:after="0" w:line="187"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charged on amounts due to affiliates, which included advances and cash deficiencies, was $28.5 million, $34.9 million and $33.4 million during the period from January 1, 1996 to October 31, 1996 and the years ended December 31, 1995 and 1994, respectively. Interest accrued on amounts due to affiliates was $1.6 million as of December 31, 1995.</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49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AND COMBINED FINANCIAL STATEMENTS</w:t>
      </w:r>
    </w:p>
    <w:p>
      <w:pPr>
        <w:spacing w:after="0" w:line="7"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6"/>
          <w:szCs w:val="16"/>
          <w:color w:val="auto"/>
        </w:rPr>
        <w:t>PERIODS FROM JANUARY 1, 1996 TO OCTOBER 31, 1996 AND NOVEMBER 1, 1996 TO DECEMBER 31, 1996 AND YEARS ENDED DECEMBER 31, 1995 AND 1994 (Continued)</w:t>
      </w: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Other Charges</w:t>
      </w:r>
    </w:p>
    <w:p>
      <w:pPr>
        <w:spacing w:after="0" w:line="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SHI provided management services, including legal, treasury, accounting, tax, risk management and other services, to the Predecessor Corporation. The cost of such services, which included the costs of EWS' corporate office, was allocated on the basis of revenues. The Predecessor Corporation's share of the cost of such services was $3.0 million during the year ended December 31, 1994. The Predecessor Corporation was not charged for such services during the period from January 1, 1996 to October 31, 1996 and the year ended December 31, 1995.</w:t>
      </w:r>
    </w:p>
    <w:p>
      <w:pPr>
        <w:spacing w:after="0" w:line="187"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In 1996, EWS allocated certain costs associated with the Scripps Acquisition to the Predecessor Corporation. These charges of $13.6 million, primarily relating to professional fees, were classified as merger expenses in the Predecessor Corporation's combined statement of operations for the period from January 1, 1996 to October 31, 1996.</w:t>
      </w:r>
    </w:p>
    <w:p>
      <w:pPr>
        <w:spacing w:after="0" w:line="187" w:lineRule="exact"/>
        <w:rPr>
          <w:sz w:val="20"/>
          <w:szCs w:val="20"/>
          <w:color w:val="auto"/>
        </w:rPr>
      </w:pPr>
    </w:p>
    <w:p>
      <w:pPr>
        <w:ind w:left="480" w:hanging="480"/>
        <w:spacing w:after="0"/>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94" w:lineRule="exact"/>
        <w:rPr>
          <w:rFonts w:ascii="Courier New" w:cs="Courier New" w:eastAsia="Courier New" w:hAnsi="Courier New"/>
          <w:sz w:val="16"/>
          <w:szCs w:val="16"/>
          <w:color w:val="auto"/>
        </w:rPr>
      </w:pPr>
    </w:p>
    <w:p>
      <w:pPr>
        <w:ind w:left="480" w:right="23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interest on its Credit Facility of $1.0 million during the period from November 1, 1996 to December 31, 1996.</w:t>
      </w:r>
    </w:p>
    <w:p>
      <w:pPr>
        <w:spacing w:after="0" w:line="183"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Predecessor Corporation made cash payments for interest on balances due to affiliates of $28.5 million, $35.1 million and $33.5 million during the period from January 1, 1996 to October 31, 1996 and the years ended December 31, 1995 and 1994, respectively.</w:t>
      </w:r>
    </w:p>
    <w:p>
      <w:pPr>
        <w:spacing w:after="0" w:line="187" w:lineRule="exact"/>
        <w:rPr>
          <w:rFonts w:ascii="Courier New" w:cs="Courier New" w:eastAsia="Courier New" w:hAnsi="Courier New"/>
          <w:sz w:val="16"/>
          <w:szCs w:val="16"/>
          <w:color w:val="auto"/>
        </w:rPr>
      </w:pPr>
    </w:p>
    <w:p>
      <w:pPr>
        <w:jc w:val="both"/>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Predecessor Corporation made cash payments for income taxes to EWS of $15.9 million, $12.7 million and $10.9 million during the period from January 1, 1996 to October 31, 1996 and the years ended December 31, 1995 and 1994, respectively.</w:t>
      </w:r>
    </w:p>
    <w:p>
      <w:pPr>
        <w:spacing w:after="0" w:line="187"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w:t>
      </w:r>
    </w:p>
    <w:p>
      <w:pPr>
        <w:spacing w:after="0" w:line="6" w:lineRule="exact"/>
        <w:rPr>
          <w:rFonts w:ascii="Courier New" w:cs="Courier New" w:eastAsia="Courier New" w:hAnsi="Courier New"/>
          <w:sz w:val="16"/>
          <w:szCs w:val="16"/>
          <w:color w:val="auto"/>
        </w:rPr>
      </w:pPr>
    </w:p>
    <w:p>
      <w:pPr>
        <w:ind w:left="480" w:right="23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Minimum annual rental commitments for office space and equipment under noncancellable operating leases are as follows:</w:t>
      </w:r>
    </w:p>
    <w:p>
      <w:pPr>
        <w:spacing w:after="0" w:line="183"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45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(Dollars in thousands)</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23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$871</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23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788</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23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778</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23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800</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23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792</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23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777</w:t>
            </w:r>
          </w:p>
        </w:tc>
      </w:tr>
    </w:tbl>
    <w:p>
      <w:pPr>
        <w:spacing w:after="0" w:line="192" w:lineRule="exact"/>
        <w:rPr>
          <w:sz w:val="20"/>
          <w:szCs w:val="20"/>
          <w:color w:val="auto"/>
        </w:rPr>
      </w:pPr>
    </w:p>
    <w:p>
      <w:pPr>
        <w:jc w:val="both"/>
        <w:ind w:left="480" w:right="2399"/>
        <w:spacing w:after="0" w:line="252" w:lineRule="auto"/>
        <w:rPr>
          <w:sz w:val="20"/>
          <w:szCs w:val="20"/>
          <w:color w:val="auto"/>
        </w:rPr>
      </w:pPr>
      <w:r>
        <w:rPr>
          <w:rFonts w:ascii="Courier New" w:cs="Courier New" w:eastAsia="Courier New" w:hAnsi="Courier New"/>
          <w:sz w:val="16"/>
          <w:szCs w:val="16"/>
          <w:color w:val="auto"/>
        </w:rPr>
        <w:t>Pole rentals have been excluded from the above schedule as they are generally cancelable after an initial period by either party upon notice.</w:t>
      </w:r>
    </w:p>
    <w:p>
      <w:pPr>
        <w:spacing w:after="0" w:line="183"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Rental expense (including pole rentals) of $872,000, $4.3 million, $4.4 million and $3.8 million has been charged to operations during the period from November 1, 1996 to December 31, 1996, the period from January 1, 1996 to October 31, 1996 and the years ended December 31, 1995 and 1994, respectively.</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19"/>
          </w:cols>
          <w:pgMar w:left="240" w:top="49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COMCAST SCH HOLDINGS, INC. AND SUBSIDIARIES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AND COMBINED FINANCIAL STATEMENTS</w:t>
      </w:r>
    </w:p>
    <w:p>
      <w:pPr>
        <w:spacing w:after="0" w:line="7"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6"/>
          <w:szCs w:val="16"/>
          <w:color w:val="auto"/>
        </w:rPr>
        <w:t>PERIODS FROM JANUARY 1, 1996 TO OCTOBER 31, 1996 AND NOVEMBER 1, 1996 TO DECEMBER 31, 1996 AND YEARS ENDED DECEMBER 31, 1995 AND 1994 (Concluded)</w:t>
      </w: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Contingencies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w:t>
      </w:r>
    </w:p>
    <w:p>
      <w:pPr>
        <w:spacing w:after="0" w:line="195" w:lineRule="exact"/>
        <w:rPr>
          <w:sz w:val="20"/>
          <w:szCs w:val="20"/>
          <w:color w:val="auto"/>
        </w:rPr>
      </w:pPr>
    </w:p>
    <w:p>
      <w:pPr>
        <w:jc w:val="both"/>
        <w:ind w:left="480" w:right="2399"/>
        <w:spacing w:after="0" w:line="250" w:lineRule="auto"/>
        <w:rPr>
          <w:sz w:val="20"/>
          <w:szCs w:val="20"/>
          <w:color w:val="auto"/>
        </w:rPr>
      </w:pPr>
      <w:r>
        <w:rPr>
          <w:rFonts w:ascii="Courier New" w:cs="Courier New" w:eastAsia="Courier New" w:hAnsi="Courier New"/>
          <w:sz w:val="16"/>
          <w:szCs w:val="16"/>
          <w:color w:val="auto"/>
        </w:rPr>
        <w:t>The Company is subject to claims and legal proceedings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Predecessor Corporation</w:t>
      </w:r>
    </w:p>
    <w:p>
      <w:pPr>
        <w:spacing w:after="0" w:line="195" w:lineRule="exact"/>
        <w:rPr>
          <w:sz w:val="20"/>
          <w:szCs w:val="20"/>
          <w:color w:val="auto"/>
        </w:rPr>
      </w:pPr>
    </w:p>
    <w:p>
      <w:pPr>
        <w:jc w:val="both"/>
        <w:ind w:left="480" w:right="2399"/>
        <w:spacing w:after="0" w:line="249" w:lineRule="auto"/>
        <w:rPr>
          <w:sz w:val="20"/>
          <w:szCs w:val="20"/>
          <w:color w:val="auto"/>
        </w:rPr>
      </w:pPr>
      <w:r>
        <w:rPr>
          <w:rFonts w:ascii="Courier New" w:cs="Courier New" w:eastAsia="Courier New" w:hAnsi="Courier New"/>
          <w:sz w:val="16"/>
          <w:szCs w:val="16"/>
          <w:color w:val="auto"/>
        </w:rPr>
        <w:t>In 1994, the Predecessor Corporation accrued $6.5 million as an estimate of the ultimate costs, including attorneys' fees and settlements, of certain lawsuits against the Sacramento cable television system related primarily to employment issues and to the timing and amount of late-payment fees assessed to subscribers. In 1995, the Predecessor Corporation accrued an additional $1.4 million based upon a reassessment of the probable costs of these and additional employment-related lawsuits. As of December 31, 1995, amounts accrued are included in accounts payable and accrued expenses in the combined balance sheet. In May 1996, the Predecessor Corporation agreed to settle the late-payment fee lawsuits. The settlement did not result in an additional charge. In 1996, the Predecessor Corporation accrued an additional $4.0 million based upon further reassessment of the probable costs of these and additional lawsuits. Pursuant to the terms of the Merger, New Scripps has indemnified Comcast and the Company against losses related to these lawsuits.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F-17</w:t>
      </w:r>
    </w:p>
    <w:sectPr>
      <w:pgSz w:w="11900" w:h="16838" w:orient="portrait"/>
      <w:cols w:equalWidth="0" w:num="1">
        <w:col w:w="10219"/>
      </w:cols>
      <w:pgMar w:left="240" w:top="4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6"/>
    </w:lvl>
  </w:abstractNum>
  <w:abstractNum w:abstractNumId="5">
    <w:nsid w:val="7545E146"/>
    <w:multiLevelType w:val="hybridMultilevel"/>
    <w:lvl w:ilvl="0">
      <w:lvlJc w:val="left"/>
      <w:lvlText w:val="%1."/>
      <w:numFmt w:val="decimal"/>
      <w:start w:val="7"/>
    </w:lvl>
  </w:abstractNum>
  <w:abstractNum w:abstractNumId="6">
    <w:nsid w:val="515F007C"/>
    <w:multiLevelType w:val="hybridMultilevel"/>
    <w:lvl w:ilvl="0">
      <w:lvlJc w:val="left"/>
      <w:lvlText w:val="%1."/>
      <w:numFmt w:val="decimal"/>
      <w:start w:val="8"/>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1."/>
      <w:numFmt w:val="decimal"/>
      <w:start w:val="10"/>
    </w:lvl>
  </w:abstractNum>
  <w:abstractNum w:abstractNumId="9">
    <w:nsid w:val="4DB127F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2019-12-12T06:09:23Z</dcterms:created>
  <dcterms:modified xsi:type="dcterms:W3CDTF">2019-12-12T06:09:23Z</dcterms:modified>
</cp:coreProperties>
</file>