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333-132750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November 14, 2006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620" w:type="dxa"/>
            <w:vAlign w:val="bottom"/>
          </w:tcPr>
          <w:p>
            <w:pPr>
              <w:ind w:left="1760"/>
              <w:spacing w:after="0"/>
              <w:rPr>
                <w:sz w:val="20"/>
                <w:szCs w:val="20"/>
                <w:color w:val="auto"/>
              </w:rPr>
            </w:pPr>
            <w:r>
              <w:rPr>
                <w:rFonts w:ascii="Arial" w:cs="Arial" w:eastAsia="Arial" w:hAnsi="Arial"/>
                <w:sz w:val="18"/>
                <w:szCs w:val="18"/>
                <w:b w:val="1"/>
                <w:bCs w:val="1"/>
                <w:color w:val="auto"/>
              </w:rPr>
              <w:t>COMCAST CORPORATION</w:t>
            </w:r>
          </w:p>
        </w:tc>
      </w:tr>
      <w:tr>
        <w:trPr>
          <w:trHeight w:val="216"/>
        </w:trPr>
        <w:tc>
          <w:tcPr>
            <w:tcW w:w="2800" w:type="dxa"/>
            <w:vAlign w:val="bottom"/>
          </w:tcPr>
          <w:p>
            <w:pPr>
              <w:spacing w:after="0"/>
              <w:rPr>
                <w:sz w:val="18"/>
                <w:szCs w:val="18"/>
                <w:color w:val="auto"/>
              </w:rPr>
            </w:pPr>
          </w:p>
        </w:tc>
        <w:tc>
          <w:tcPr>
            <w:tcW w:w="8620" w:type="dxa"/>
            <w:vAlign w:val="bottom"/>
          </w:tcPr>
          <w:p>
            <w:pPr>
              <w:jc w:val="center"/>
              <w:ind w:right="2710"/>
              <w:spacing w:after="0"/>
              <w:rPr>
                <w:sz w:val="20"/>
                <w:szCs w:val="20"/>
                <w:color w:val="auto"/>
              </w:rPr>
            </w:pPr>
            <w:r>
              <w:rPr>
                <w:rFonts w:ascii="Arial" w:cs="Arial" w:eastAsia="Arial" w:hAnsi="Arial"/>
                <w:sz w:val="18"/>
                <w:szCs w:val="18"/>
                <w:b w:val="1"/>
                <w:bCs w:val="1"/>
                <w:color w:val="auto"/>
                <w:w w:val="93"/>
              </w:rPr>
              <w:t>$900,000,000 5.875% NOTES DUE 2018</w:t>
            </w:r>
          </w:p>
        </w:tc>
      </w:tr>
      <w:tr>
        <w:trPr>
          <w:trHeight w:val="234"/>
        </w:trPr>
        <w:tc>
          <w:tcPr>
            <w:tcW w:w="2800" w:type="dxa"/>
            <w:vAlign w:val="bottom"/>
          </w:tcPr>
          <w:p>
            <w:pPr>
              <w:spacing w:after="0"/>
              <w:rPr>
                <w:sz w:val="20"/>
                <w:szCs w:val="20"/>
                <w:color w:val="auto"/>
              </w:rPr>
            </w:pPr>
          </w:p>
        </w:tc>
        <w:tc>
          <w:tcPr>
            <w:tcW w:w="8620" w:type="dxa"/>
            <w:vAlign w:val="bottom"/>
          </w:tcPr>
          <w:p>
            <w:pPr>
              <w:jc w:val="center"/>
              <w:ind w:right="2710"/>
              <w:spacing w:after="0"/>
              <w:rPr>
                <w:sz w:val="20"/>
                <w:szCs w:val="20"/>
                <w:color w:val="auto"/>
              </w:rPr>
            </w:pPr>
            <w:r>
              <w:rPr>
                <w:rFonts w:ascii="Arial" w:cs="Arial" w:eastAsia="Arial" w:hAnsi="Arial"/>
                <w:sz w:val="18"/>
                <w:szCs w:val="18"/>
                <w:b w:val="1"/>
                <w:bCs w:val="1"/>
                <w:color w:val="auto"/>
                <w:w w:val="94"/>
              </w:rPr>
              <w:t>$600,000,000 6.45% NOTES DUE 2037</w:t>
            </w:r>
          </w:p>
        </w:tc>
      </w:tr>
      <w:tr>
        <w:trPr>
          <w:trHeight w:val="432"/>
        </w:trPr>
        <w:tc>
          <w:tcPr>
            <w:tcW w:w="2800" w:type="dxa"/>
            <w:vAlign w:val="bottom"/>
          </w:tcPr>
          <w:p>
            <w:pPr>
              <w:spacing w:after="0"/>
              <w:rPr>
                <w:sz w:val="24"/>
                <w:szCs w:val="24"/>
                <w:color w:val="auto"/>
              </w:rPr>
            </w:pPr>
          </w:p>
        </w:tc>
        <w:tc>
          <w:tcPr>
            <w:tcW w:w="8620" w:type="dxa"/>
            <w:vAlign w:val="bottom"/>
          </w:tcPr>
          <w:p>
            <w:pPr>
              <w:jc w:val="center"/>
              <w:ind w:right="2690"/>
              <w:spacing w:after="0"/>
              <w:rPr>
                <w:sz w:val="20"/>
                <w:szCs w:val="20"/>
                <w:color w:val="auto"/>
              </w:rPr>
            </w:pPr>
            <w:r>
              <w:rPr>
                <w:rFonts w:ascii="Arial" w:cs="Arial" w:eastAsia="Arial" w:hAnsi="Arial"/>
                <w:sz w:val="18"/>
                <w:szCs w:val="18"/>
                <w:b w:val="1"/>
                <w:bCs w:val="1"/>
                <w:color w:val="auto"/>
                <w:w w:val="90"/>
              </w:rPr>
              <w:t>Final Term Sheet</w:t>
            </w:r>
          </w:p>
        </w:tc>
      </w:tr>
      <w:tr>
        <w:trPr>
          <w:trHeight w:val="432"/>
        </w:trPr>
        <w:tc>
          <w:tcPr>
            <w:tcW w:w="28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620" w:type="dxa"/>
            <w:vAlign w:val="bottom"/>
          </w:tcPr>
          <w:p>
            <w:pPr>
              <w:ind w:left="178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620" w:type="dxa"/>
            <w:vAlign w:val="bottom"/>
          </w:tcPr>
          <w:p>
            <w:pPr>
              <w:ind w:left="1780"/>
              <w:spacing w:after="0"/>
              <w:rPr>
                <w:sz w:val="20"/>
                <w:szCs w:val="20"/>
                <w:color w:val="auto"/>
              </w:rPr>
            </w:pPr>
            <w:r>
              <w:rPr>
                <w:rFonts w:ascii="Arial" w:cs="Arial" w:eastAsia="Arial" w:hAnsi="Arial"/>
                <w:sz w:val="18"/>
                <w:szCs w:val="18"/>
                <w:color w:val="auto"/>
              </w:rPr>
              <w:t>Comcast Cable Communications, LLC</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rPr>
              <w:t>Comcast Cable Communications Holdings, Inc.</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rPr>
              <w:t>Comcast Cable Holdings, LLC</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rPr>
              <w:t>Comcast MO Group, Inc.</w:t>
            </w:r>
          </w:p>
        </w:tc>
      </w:tr>
      <w:tr>
        <w:trPr>
          <w:trHeight w:val="230"/>
        </w:trPr>
        <w:tc>
          <w:tcPr>
            <w:tcW w:w="2800" w:type="dxa"/>
            <w:vAlign w:val="bottom"/>
          </w:tcPr>
          <w:p>
            <w:pPr>
              <w:spacing w:after="0"/>
              <w:rPr>
                <w:sz w:val="20"/>
                <w:szCs w:val="20"/>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rPr>
              <w:t>Comcast MO of Delaware, LLC</w:t>
            </w:r>
          </w:p>
        </w:tc>
      </w:tr>
      <w:tr>
        <w:trPr>
          <w:trHeight w:val="432"/>
        </w:trPr>
        <w:tc>
          <w:tcPr>
            <w:tcW w:w="2800" w:type="dxa"/>
            <w:vAlign w:val="bottom"/>
          </w:tcPr>
          <w:p>
            <w:pPr>
              <w:spacing w:after="0"/>
              <w:rPr>
                <w:sz w:val="20"/>
                <w:szCs w:val="20"/>
                <w:color w:val="auto"/>
              </w:rPr>
            </w:pPr>
            <w:r>
              <w:rPr>
                <w:rFonts w:ascii="Arial" w:cs="Arial" w:eastAsia="Arial" w:hAnsi="Arial"/>
                <w:sz w:val="18"/>
                <w:szCs w:val="18"/>
                <w:b w:val="1"/>
                <w:bCs w:val="1"/>
                <w:color w:val="auto"/>
              </w:rPr>
              <w:t>Issue of Securities:</w:t>
            </w:r>
          </w:p>
        </w:tc>
        <w:tc>
          <w:tcPr>
            <w:tcW w:w="8620" w:type="dxa"/>
            <w:vAlign w:val="bottom"/>
          </w:tcPr>
          <w:p>
            <w:pPr>
              <w:ind w:left="1780"/>
              <w:spacing w:after="0"/>
              <w:rPr>
                <w:sz w:val="20"/>
                <w:szCs w:val="20"/>
                <w:color w:val="auto"/>
              </w:rPr>
            </w:pPr>
            <w:r>
              <w:rPr>
                <w:rFonts w:ascii="Arial" w:cs="Arial" w:eastAsia="Arial" w:hAnsi="Arial"/>
                <w:sz w:val="18"/>
                <w:szCs w:val="18"/>
                <w:color w:val="auto"/>
              </w:rPr>
              <w:t>5.875% Notes due 2018</w:t>
            </w:r>
          </w:p>
        </w:tc>
      </w:tr>
      <w:tr>
        <w:trPr>
          <w:trHeight w:val="432"/>
        </w:trPr>
        <w:tc>
          <w:tcPr>
            <w:tcW w:w="2800" w:type="dxa"/>
            <w:vAlign w:val="bottom"/>
          </w:tcPr>
          <w:p>
            <w:pPr>
              <w:spacing w:after="0"/>
              <w:rPr>
                <w:sz w:val="24"/>
                <w:szCs w:val="24"/>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rPr>
              <w:t>6.45% Notes due 2037</w:t>
            </w:r>
          </w:p>
        </w:tc>
      </w:tr>
      <w:tr>
        <w:trPr>
          <w:trHeight w:val="432"/>
        </w:trPr>
        <w:tc>
          <w:tcPr>
            <w:tcW w:w="2800" w:type="dxa"/>
            <w:vAlign w:val="bottom"/>
          </w:tcPr>
          <w:p>
            <w:pPr>
              <w:spacing w:after="0"/>
              <w:rPr>
                <w:sz w:val="20"/>
                <w:szCs w:val="20"/>
                <w:color w:val="auto"/>
              </w:rPr>
            </w:pPr>
            <w:r>
              <w:rPr>
                <w:rFonts w:ascii="Arial" w:cs="Arial" w:eastAsia="Arial" w:hAnsi="Arial"/>
                <w:sz w:val="18"/>
                <w:szCs w:val="18"/>
                <w:b w:val="1"/>
                <w:bCs w:val="1"/>
                <w:color w:val="auto"/>
              </w:rPr>
              <w:t>Denomination:</w:t>
            </w:r>
          </w:p>
        </w:tc>
        <w:tc>
          <w:tcPr>
            <w:tcW w:w="8620" w:type="dxa"/>
            <w:vAlign w:val="bottom"/>
          </w:tcPr>
          <w:p>
            <w:pPr>
              <w:ind w:left="1780"/>
              <w:spacing w:after="0"/>
              <w:rPr>
                <w:sz w:val="20"/>
                <w:szCs w:val="20"/>
                <w:color w:val="auto"/>
              </w:rPr>
            </w:pPr>
            <w:r>
              <w:rPr>
                <w:rFonts w:ascii="Arial" w:cs="Arial" w:eastAsia="Arial" w:hAnsi="Arial"/>
                <w:sz w:val="18"/>
                <w:szCs w:val="18"/>
                <w:color w:val="auto"/>
              </w:rPr>
              <w:t>$1,000 and multiples thereof</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620" w:type="dxa"/>
            <w:vAlign w:val="bottom"/>
          </w:tcPr>
          <w:p>
            <w:pPr>
              <w:ind w:left="1780"/>
              <w:spacing w:after="0"/>
              <w:rPr>
                <w:sz w:val="20"/>
                <w:szCs w:val="20"/>
                <w:color w:val="auto"/>
              </w:rPr>
            </w:pPr>
            <w:r>
              <w:rPr>
                <w:rFonts w:ascii="Arial" w:cs="Arial" w:eastAsia="Arial" w:hAnsi="Arial"/>
                <w:sz w:val="18"/>
                <w:szCs w:val="18"/>
                <w:color w:val="auto"/>
                <w:w w:val="89"/>
              </w:rPr>
              <w:t>The Company intends to use the proceeds from this offering, after deducting fees and expenses</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w w:val="94"/>
              </w:rPr>
              <w:t>related to this offering, for working capital and general corporate purposes, including for the</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w w:val="95"/>
              </w:rPr>
              <w:t>repayment of commercial paper obligations; provided however, it may use a portion of the</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w w:val="91"/>
              </w:rPr>
              <w:t>proceeds to purchase the remaining 39.5% interest in E! Entertainment Television that it does</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w w:val="90"/>
              </w:rPr>
              <w:t>not currently own should such an acquisition be consummated. As of September 30, 2006, the</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w w:val="91"/>
              </w:rPr>
              <w:t>Company’s indebtedness, excluding the derivative component for its indexed debt instruments</w:t>
            </w:r>
          </w:p>
        </w:tc>
      </w:tr>
      <w:tr>
        <w:trPr>
          <w:trHeight w:val="216"/>
        </w:trPr>
        <w:tc>
          <w:tcPr>
            <w:tcW w:w="2800" w:type="dxa"/>
            <w:vAlign w:val="bottom"/>
          </w:tcPr>
          <w:p>
            <w:pPr>
              <w:spacing w:after="0"/>
              <w:rPr>
                <w:sz w:val="18"/>
                <w:szCs w:val="18"/>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w w:val="94"/>
              </w:rPr>
              <w:t>whose changes in fair value are recorded to investment income (loss), net, had a weighted</w:t>
            </w:r>
          </w:p>
        </w:tc>
      </w:tr>
      <w:tr>
        <w:trPr>
          <w:trHeight w:val="230"/>
        </w:trPr>
        <w:tc>
          <w:tcPr>
            <w:tcW w:w="2800" w:type="dxa"/>
            <w:vAlign w:val="bottom"/>
          </w:tcPr>
          <w:p>
            <w:pPr>
              <w:spacing w:after="0"/>
              <w:rPr>
                <w:sz w:val="20"/>
                <w:szCs w:val="20"/>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rPr>
              <w:t>average annual interest rate of 7.16% and an average maturity date in 2020.</w:t>
            </w:r>
          </w:p>
        </w:tc>
      </w:tr>
      <w:tr>
        <w:trPr>
          <w:trHeight w:val="418"/>
        </w:trPr>
        <w:tc>
          <w:tcPr>
            <w:tcW w:w="280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620" w:type="dxa"/>
            <w:vAlign w:val="bottom"/>
          </w:tcPr>
          <w:p>
            <w:pPr>
              <w:ind w:left="1780"/>
              <w:spacing w:after="0"/>
              <w:rPr>
                <w:sz w:val="20"/>
                <w:szCs w:val="20"/>
                <w:color w:val="auto"/>
              </w:rPr>
            </w:pPr>
            <w:r>
              <w:rPr>
                <w:rFonts w:ascii="Arial" w:cs="Arial" w:eastAsia="Arial" w:hAnsi="Arial"/>
                <w:sz w:val="18"/>
                <w:szCs w:val="18"/>
                <w:color w:val="auto"/>
                <w:w w:val="95"/>
              </w:rPr>
              <w:t>Indenture dated as of January 7, 2003 by and among the Company, the Cable Guarantors</w:t>
            </w:r>
          </w:p>
        </w:tc>
      </w:tr>
      <w:tr>
        <w:trPr>
          <w:trHeight w:val="230"/>
        </w:trPr>
        <w:tc>
          <w:tcPr>
            <w:tcW w:w="2800" w:type="dxa"/>
            <w:vAlign w:val="bottom"/>
          </w:tcPr>
          <w:p>
            <w:pPr>
              <w:spacing w:after="0"/>
              <w:rPr>
                <w:sz w:val="20"/>
                <w:szCs w:val="20"/>
                <w:color w:val="auto"/>
              </w:rPr>
            </w:pPr>
          </w:p>
        </w:tc>
        <w:tc>
          <w:tcPr>
            <w:tcW w:w="8620" w:type="dxa"/>
            <w:vAlign w:val="bottom"/>
          </w:tcPr>
          <w:p>
            <w:pPr>
              <w:ind w:left="1780"/>
              <w:spacing w:after="0"/>
              <w:rPr>
                <w:sz w:val="20"/>
                <w:szCs w:val="20"/>
                <w:color w:val="auto"/>
              </w:rPr>
            </w:pPr>
            <w:r>
              <w:rPr>
                <w:rFonts w:ascii="Arial" w:cs="Arial" w:eastAsia="Arial" w:hAnsi="Arial"/>
                <w:sz w:val="18"/>
                <w:szCs w:val="18"/>
                <w:color w:val="auto"/>
              </w:rPr>
              <w:t>(other than Comcast MO of Delaware, LLC) and the Bank of</w:t>
            </w:r>
          </w:p>
        </w:tc>
      </w:tr>
      <w:tr>
        <w:trPr>
          <w:trHeight w:val="632"/>
        </w:trPr>
        <w:tc>
          <w:tcPr>
            <w:tcW w:w="2800" w:type="dxa"/>
            <w:vAlign w:val="bottom"/>
            <w:tcBorders>
              <w:bottom w:val="single" w:sz="8" w:color="808080"/>
            </w:tcBorders>
          </w:tcPr>
          <w:p>
            <w:pPr>
              <w:spacing w:after="0"/>
              <w:rPr>
                <w:sz w:val="24"/>
                <w:szCs w:val="24"/>
                <w:color w:val="auto"/>
              </w:rPr>
            </w:pPr>
          </w:p>
        </w:tc>
        <w:tc>
          <w:tcPr>
            <w:tcW w:w="8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3120" w:type="dxa"/>
            <w:vAlign w:val="bottom"/>
          </w:tcPr>
          <w:p>
            <w:pPr>
              <w:spacing w:after="0"/>
              <w:rPr>
                <w:sz w:val="19"/>
                <w:szCs w:val="19"/>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w w:val="91"/>
              </w:rPr>
              <w:t>New York, as Trustee (the “</w:t>
            </w:r>
            <w:r>
              <w:rPr>
                <w:rFonts w:ascii="Arial" w:cs="Arial" w:eastAsia="Arial" w:hAnsi="Arial"/>
                <w:sz w:val="18"/>
                <w:szCs w:val="18"/>
                <w:b w:val="1"/>
                <w:bCs w:val="1"/>
                <w:color w:val="auto"/>
                <w:w w:val="91"/>
              </w:rPr>
              <w:t>Trustee</w:t>
            </w:r>
            <w:r>
              <w:rPr>
                <w:rFonts w:ascii="Arial" w:cs="Arial" w:eastAsia="Arial" w:hAnsi="Arial"/>
                <w:sz w:val="18"/>
                <w:szCs w:val="18"/>
                <w:color w:val="auto"/>
                <w:w w:val="91"/>
              </w:rPr>
              <w:t>”), as amended by the First Supplemental Indenture dated</w:t>
            </w:r>
          </w:p>
        </w:tc>
      </w:tr>
      <w:tr>
        <w:trPr>
          <w:trHeight w:val="230"/>
        </w:trPr>
        <w:tc>
          <w:tcPr>
            <w:tcW w:w="3120" w:type="dxa"/>
            <w:vAlign w:val="bottom"/>
          </w:tcPr>
          <w:p>
            <w:pPr>
              <w:spacing w:after="0"/>
              <w:rPr>
                <w:sz w:val="20"/>
                <w:szCs w:val="20"/>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w w:val="95"/>
              </w:rPr>
              <w:t>as of March 25, 2003 by and among the Company, the Cable Guarantors and the Trustee</w:t>
            </w: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Trustee:</w:t>
            </w:r>
          </w:p>
        </w:tc>
        <w:tc>
          <w:tcPr>
            <w:tcW w:w="8300" w:type="dxa"/>
            <w:vAlign w:val="bottom"/>
          </w:tcPr>
          <w:p>
            <w:pPr>
              <w:ind w:left="1460"/>
              <w:spacing w:after="0"/>
              <w:rPr>
                <w:sz w:val="20"/>
                <w:szCs w:val="20"/>
                <w:color w:val="auto"/>
              </w:rPr>
            </w:pPr>
            <w:r>
              <w:rPr>
                <w:rFonts w:ascii="Arial" w:cs="Arial" w:eastAsia="Arial" w:hAnsi="Arial"/>
                <w:sz w:val="18"/>
                <w:szCs w:val="18"/>
                <w:color w:val="auto"/>
              </w:rPr>
              <w:t>The Bank of New York</w:t>
            </w: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8300" w:type="dxa"/>
            <w:vAlign w:val="bottom"/>
          </w:tcPr>
          <w:p>
            <w:pPr>
              <w:ind w:left="1460"/>
              <w:spacing w:after="0"/>
              <w:rPr>
                <w:sz w:val="20"/>
                <w:szCs w:val="20"/>
                <w:color w:val="auto"/>
              </w:rPr>
            </w:pPr>
            <w:r>
              <w:rPr>
                <w:rFonts w:ascii="Arial" w:cs="Arial" w:eastAsia="Arial" w:hAnsi="Arial"/>
                <w:sz w:val="18"/>
                <w:szCs w:val="18"/>
                <w:color w:val="auto"/>
              </w:rPr>
              <w:t>Moody’s: Baa2; S&amp;P: BBB+; Fitch: BBB+</w:t>
            </w:r>
          </w:p>
        </w:tc>
      </w:tr>
      <w:tr>
        <w:trPr>
          <w:trHeight w:val="414"/>
        </w:trPr>
        <w:tc>
          <w:tcPr>
            <w:tcW w:w="3120" w:type="dxa"/>
            <w:vAlign w:val="bottom"/>
          </w:tcPr>
          <w:p>
            <w:pPr>
              <w:spacing w:after="0"/>
              <w:rPr>
                <w:sz w:val="20"/>
                <w:szCs w:val="20"/>
                <w:color w:val="auto"/>
              </w:rPr>
            </w:pPr>
            <w:r>
              <w:rPr>
                <w:rFonts w:ascii="Arial" w:cs="Arial" w:eastAsia="Arial" w:hAnsi="Arial"/>
                <w:sz w:val="18"/>
                <w:szCs w:val="18"/>
                <w:b w:val="1"/>
                <w:bCs w:val="1"/>
                <w:color w:val="auto"/>
              </w:rPr>
              <w:t>Joint Book-Running</w:t>
            </w:r>
          </w:p>
        </w:tc>
        <w:tc>
          <w:tcPr>
            <w:tcW w:w="8300" w:type="dxa"/>
            <w:vAlign w:val="bottom"/>
          </w:tcPr>
          <w:p>
            <w:pPr>
              <w:ind w:left="1460"/>
              <w:spacing w:after="0"/>
              <w:rPr>
                <w:sz w:val="20"/>
                <w:szCs w:val="20"/>
                <w:color w:val="auto"/>
              </w:rPr>
            </w:pPr>
            <w:r>
              <w:rPr>
                <w:rFonts w:ascii="Arial" w:cs="Arial" w:eastAsia="Arial" w:hAnsi="Arial"/>
                <w:sz w:val="18"/>
                <w:szCs w:val="18"/>
                <w:color w:val="auto"/>
              </w:rPr>
              <w:t>Banc of America Securities LLC</w:t>
            </w:r>
          </w:p>
        </w:tc>
      </w:tr>
      <w:tr>
        <w:trPr>
          <w:trHeight w:val="220"/>
        </w:trPr>
        <w:tc>
          <w:tcPr>
            <w:tcW w:w="3120" w:type="dxa"/>
            <w:vAlign w:val="bottom"/>
          </w:tcPr>
          <w:p>
            <w:pPr>
              <w:spacing w:after="0"/>
              <w:rPr>
                <w:sz w:val="20"/>
                <w:szCs w:val="20"/>
                <w:color w:val="auto"/>
              </w:rPr>
            </w:pPr>
            <w:r>
              <w:rPr>
                <w:rFonts w:ascii="Arial" w:cs="Arial" w:eastAsia="Arial" w:hAnsi="Arial"/>
                <w:sz w:val="18"/>
                <w:szCs w:val="18"/>
                <w:b w:val="1"/>
                <w:bCs w:val="1"/>
                <w:color w:val="auto"/>
              </w:rPr>
              <w:t>Managers:</w:t>
            </w:r>
          </w:p>
        </w:tc>
        <w:tc>
          <w:tcPr>
            <w:tcW w:w="8300" w:type="dxa"/>
            <w:vAlign w:val="bottom"/>
          </w:tcPr>
          <w:p>
            <w:pPr>
              <w:ind w:left="1460"/>
              <w:spacing w:after="0"/>
              <w:rPr>
                <w:sz w:val="20"/>
                <w:szCs w:val="20"/>
                <w:color w:val="auto"/>
              </w:rPr>
            </w:pPr>
            <w:r>
              <w:rPr>
                <w:rFonts w:ascii="Arial" w:cs="Arial" w:eastAsia="Arial" w:hAnsi="Arial"/>
                <w:sz w:val="18"/>
                <w:szCs w:val="18"/>
                <w:color w:val="auto"/>
              </w:rPr>
              <w:t>J.P. Morgan Securities Inc.</w:t>
            </w:r>
          </w:p>
        </w:tc>
      </w:tr>
      <w:tr>
        <w:trPr>
          <w:trHeight w:val="230"/>
        </w:trPr>
        <w:tc>
          <w:tcPr>
            <w:tcW w:w="3120" w:type="dxa"/>
            <w:vAlign w:val="bottom"/>
          </w:tcPr>
          <w:p>
            <w:pPr>
              <w:spacing w:after="0"/>
              <w:rPr>
                <w:sz w:val="20"/>
                <w:szCs w:val="20"/>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Wachovia Capital Markets, LLC</w:t>
            </w:r>
          </w:p>
        </w:tc>
      </w:tr>
      <w:tr>
        <w:trPr>
          <w:trHeight w:val="418"/>
        </w:trPr>
        <w:tc>
          <w:tcPr>
            <w:tcW w:w="312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8300" w:type="dxa"/>
            <w:vAlign w:val="bottom"/>
          </w:tcPr>
          <w:p>
            <w:pPr>
              <w:ind w:left="1460"/>
              <w:spacing w:after="0"/>
              <w:rPr>
                <w:sz w:val="20"/>
                <w:szCs w:val="20"/>
                <w:color w:val="auto"/>
              </w:rPr>
            </w:pPr>
            <w:r>
              <w:rPr>
                <w:rFonts w:ascii="Arial" w:cs="Arial" w:eastAsia="Arial" w:hAnsi="Arial"/>
                <w:sz w:val="18"/>
                <w:szCs w:val="18"/>
                <w:color w:val="auto"/>
              </w:rPr>
              <w:t>ABN AMRO Incorporated</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Barclays Capital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Daiwa Securities America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Goldman, Sachs &amp; Co.</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Lazard Capital Markets LLC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Lehman Brothers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120" w:type="dxa"/>
            <w:vAlign w:val="bottom"/>
          </w:tcPr>
          <w:p>
            <w:pPr>
              <w:spacing w:after="0"/>
              <w:rPr>
                <w:sz w:val="18"/>
                <w:szCs w:val="18"/>
                <w:color w:val="auto"/>
              </w:rPr>
            </w:pPr>
          </w:p>
        </w:tc>
        <w:tc>
          <w:tcPr>
            <w:tcW w:w="8300" w:type="dxa"/>
            <w:vAlign w:val="bottom"/>
          </w:tcPr>
          <w:p>
            <w:pPr>
              <w:ind w:left="2400"/>
              <w:spacing w:after="0"/>
              <w:rPr>
                <w:sz w:val="20"/>
                <w:szCs w:val="20"/>
                <w:color w:val="auto"/>
              </w:rPr>
            </w:pPr>
            <w:r>
              <w:rPr>
                <w:rFonts w:ascii="Arial" w:cs="Arial" w:eastAsia="Arial" w:hAnsi="Arial"/>
                <w:sz w:val="18"/>
                <w:szCs w:val="18"/>
                <w:color w:val="auto"/>
              </w:rPr>
              <w:t>Incorporated</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Morgan Stanley &amp; Co. Incorporated</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The Royal Bank of Scotland plc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UBS Securities LLC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BNY Capital Markets, Inc.</w:t>
            </w:r>
          </w:p>
        </w:tc>
      </w:tr>
      <w:tr>
        <w:trPr>
          <w:trHeight w:val="230"/>
        </w:trPr>
        <w:tc>
          <w:tcPr>
            <w:tcW w:w="3120" w:type="dxa"/>
            <w:vAlign w:val="bottom"/>
          </w:tcPr>
          <w:p>
            <w:pPr>
              <w:spacing w:after="0"/>
              <w:rPr>
                <w:sz w:val="20"/>
                <w:szCs w:val="20"/>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SunTrust Capital Markets, LLC</w:t>
            </w:r>
          </w:p>
        </w:tc>
      </w:tr>
      <w:tr>
        <w:trPr>
          <w:trHeight w:val="418"/>
        </w:trPr>
        <w:tc>
          <w:tcPr>
            <w:tcW w:w="3120" w:type="dxa"/>
            <w:vAlign w:val="bottom"/>
          </w:tcPr>
          <w:p>
            <w:pPr>
              <w:spacing w:after="0"/>
              <w:rPr>
                <w:sz w:val="20"/>
                <w:szCs w:val="20"/>
                <w:color w:val="auto"/>
              </w:rPr>
            </w:pPr>
            <w:r>
              <w:rPr>
                <w:rFonts w:ascii="Arial" w:cs="Arial" w:eastAsia="Arial" w:hAnsi="Arial"/>
                <w:sz w:val="18"/>
                <w:szCs w:val="18"/>
                <w:b w:val="1"/>
                <w:bCs w:val="1"/>
                <w:color w:val="auto"/>
              </w:rPr>
              <w:t>Junior Co-Managers:</w:t>
            </w:r>
          </w:p>
        </w:tc>
        <w:tc>
          <w:tcPr>
            <w:tcW w:w="8300" w:type="dxa"/>
            <w:vAlign w:val="bottom"/>
          </w:tcPr>
          <w:p>
            <w:pPr>
              <w:ind w:left="1460"/>
              <w:spacing w:after="0"/>
              <w:rPr>
                <w:sz w:val="20"/>
                <w:szCs w:val="20"/>
                <w:color w:val="auto"/>
              </w:rPr>
            </w:pPr>
            <w:r>
              <w:rPr>
                <w:rFonts w:ascii="Arial" w:cs="Arial" w:eastAsia="Arial" w:hAnsi="Arial"/>
                <w:sz w:val="18"/>
                <w:szCs w:val="18"/>
                <w:color w:val="auto"/>
              </w:rPr>
              <w:t>Guzman &amp; Company</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Samuel A. Ramirez &amp; Co.,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The Williams Capital Group, L.P.</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Blaylock &amp; Company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Cabrera Capital Markets, Inc.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Loop Capital Markets, LLC</w:t>
            </w:r>
          </w:p>
        </w:tc>
      </w:tr>
      <w:tr>
        <w:trPr>
          <w:trHeight w:val="216"/>
        </w:trPr>
        <w:tc>
          <w:tcPr>
            <w:tcW w:w="3120" w:type="dxa"/>
            <w:vAlign w:val="bottom"/>
          </w:tcPr>
          <w:p>
            <w:pPr>
              <w:spacing w:after="0"/>
              <w:rPr>
                <w:sz w:val="18"/>
                <w:szCs w:val="18"/>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M.R. Beal &amp; Company</w:t>
            </w:r>
          </w:p>
        </w:tc>
      </w:tr>
      <w:tr>
        <w:trPr>
          <w:trHeight w:val="230"/>
        </w:trPr>
        <w:tc>
          <w:tcPr>
            <w:tcW w:w="3120" w:type="dxa"/>
            <w:vAlign w:val="bottom"/>
          </w:tcPr>
          <w:p>
            <w:pPr>
              <w:spacing w:after="0"/>
              <w:rPr>
                <w:sz w:val="20"/>
                <w:szCs w:val="20"/>
                <w:color w:val="auto"/>
              </w:rPr>
            </w:pPr>
          </w:p>
        </w:tc>
        <w:tc>
          <w:tcPr>
            <w:tcW w:w="8300" w:type="dxa"/>
            <w:vAlign w:val="bottom"/>
          </w:tcPr>
          <w:p>
            <w:pPr>
              <w:ind w:left="1460"/>
              <w:spacing w:after="0"/>
              <w:rPr>
                <w:sz w:val="20"/>
                <w:szCs w:val="20"/>
                <w:color w:val="auto"/>
              </w:rPr>
            </w:pPr>
            <w:r>
              <w:rPr>
                <w:rFonts w:ascii="Arial" w:cs="Arial" w:eastAsia="Arial" w:hAnsi="Arial"/>
                <w:sz w:val="18"/>
                <w:szCs w:val="18"/>
                <w:color w:val="auto"/>
              </w:rPr>
              <w:t>Muriel Siebert &amp; Co., Inc.</w:t>
            </w: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8300" w:type="dxa"/>
            <w:vAlign w:val="bottom"/>
          </w:tcPr>
          <w:p>
            <w:pPr>
              <w:ind w:left="1460"/>
              <w:spacing w:after="0"/>
              <w:rPr>
                <w:sz w:val="20"/>
                <w:szCs w:val="20"/>
                <w:color w:val="auto"/>
              </w:rPr>
            </w:pPr>
            <w:r>
              <w:rPr>
                <w:rFonts w:ascii="Arial" w:cs="Arial" w:eastAsia="Arial" w:hAnsi="Arial"/>
                <w:sz w:val="18"/>
                <w:szCs w:val="18"/>
                <w:color w:val="auto"/>
              </w:rPr>
              <w:t>November 14, 2006</w:t>
            </w: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8300" w:type="dxa"/>
            <w:vAlign w:val="bottom"/>
          </w:tcPr>
          <w:p>
            <w:pPr>
              <w:ind w:left="1460"/>
              <w:spacing w:after="0"/>
              <w:rPr>
                <w:sz w:val="20"/>
                <w:szCs w:val="20"/>
                <w:color w:val="auto"/>
              </w:rPr>
            </w:pPr>
            <w:r>
              <w:rPr>
                <w:rFonts w:ascii="Arial" w:cs="Arial" w:eastAsia="Arial" w:hAnsi="Arial"/>
                <w:sz w:val="18"/>
                <w:szCs w:val="18"/>
                <w:color w:val="auto"/>
              </w:rPr>
              <w:t>November 17, 2006 (T+3)</w:t>
            </w:r>
          </w:p>
        </w:tc>
      </w:tr>
      <w:tr>
        <w:trPr>
          <w:trHeight w:val="405"/>
        </w:trPr>
        <w:tc>
          <w:tcPr>
            <w:tcW w:w="3120" w:type="dxa"/>
            <w:vAlign w:val="bottom"/>
          </w:tcPr>
          <w:p>
            <w:pPr>
              <w:spacing w:after="0"/>
              <w:rPr>
                <w:sz w:val="24"/>
                <w:szCs w:val="24"/>
                <w:color w:val="auto"/>
              </w:rPr>
            </w:pPr>
          </w:p>
        </w:tc>
        <w:tc>
          <w:tcPr>
            <w:tcW w:w="8300" w:type="dxa"/>
            <w:vAlign w:val="bottom"/>
          </w:tcPr>
          <w:p>
            <w:pPr>
              <w:ind w:left="2540"/>
              <w:spacing w:after="0"/>
              <w:rPr>
                <w:sz w:val="20"/>
                <w:szCs w:val="20"/>
                <w:color w:val="auto"/>
              </w:rPr>
            </w:pPr>
            <w:r>
              <w:rPr>
                <w:rFonts w:ascii="Arial" w:cs="Arial" w:eastAsia="Arial" w:hAnsi="Arial"/>
                <w:sz w:val="18"/>
                <w:szCs w:val="18"/>
                <w:color w:val="auto"/>
              </w:rPr>
              <w:t>2</w:t>
            </w:r>
          </w:p>
        </w:tc>
      </w:tr>
      <w:tr>
        <w:trPr>
          <w:trHeight w:val="226"/>
        </w:trPr>
        <w:tc>
          <w:tcPr>
            <w:tcW w:w="312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875%</w:t>
            </w:r>
            <w:r>
              <w:rPr>
                <w:rFonts w:ascii="Arial" w:cs="Arial" w:eastAsia="Arial" w:hAnsi="Arial"/>
                <w:sz w:val="18"/>
                <w:szCs w:val="18"/>
                <w:b w:val="1"/>
                <w:bCs w:val="1"/>
                <w:color w:val="auto"/>
              </w:rPr>
              <w:t xml:space="preserve"> Notes Due 2018</w:t>
            </w:r>
          </w:p>
        </w:tc>
        <w:tc>
          <w:tcPr>
            <w:tcW w:w="7960" w:type="dxa"/>
            <w:vAlign w:val="bottom"/>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4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7960" w:type="dxa"/>
            <w:vAlign w:val="bottom"/>
          </w:tcPr>
          <w:p>
            <w:pPr>
              <w:ind w:left="1120"/>
              <w:spacing w:after="0"/>
              <w:rPr>
                <w:sz w:val="20"/>
                <w:szCs w:val="20"/>
                <w:color w:val="auto"/>
              </w:rPr>
            </w:pPr>
            <w:r>
              <w:rPr>
                <w:rFonts w:ascii="Arial" w:cs="Arial" w:eastAsia="Arial" w:hAnsi="Arial"/>
                <w:sz w:val="18"/>
                <w:szCs w:val="18"/>
                <w:color w:val="auto"/>
              </w:rPr>
              <w:t>$900,000,000</w:t>
            </w:r>
          </w:p>
        </w:tc>
      </w:t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7960" w:type="dxa"/>
            <w:vAlign w:val="bottom"/>
          </w:tcPr>
          <w:p>
            <w:pPr>
              <w:spacing w:after="0"/>
              <w:rPr>
                <w:sz w:val="20"/>
                <w:szCs w:val="20"/>
                <w:color w:val="auto"/>
              </w:rPr>
            </w:pP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7960" w:type="dxa"/>
            <w:vAlign w:val="bottom"/>
          </w:tcPr>
          <w:p>
            <w:pPr>
              <w:ind w:left="1120"/>
              <w:spacing w:after="0"/>
              <w:rPr>
                <w:sz w:val="20"/>
                <w:szCs w:val="20"/>
                <w:color w:val="auto"/>
              </w:rPr>
            </w:pPr>
            <w:r>
              <w:rPr>
                <w:rFonts w:ascii="Arial" w:cs="Arial" w:eastAsia="Arial" w:hAnsi="Arial"/>
                <w:sz w:val="18"/>
                <w:szCs w:val="18"/>
                <w:color w:val="auto"/>
              </w:rPr>
              <w:t>February 15, 2018</w:t>
            </w:r>
          </w:p>
        </w:tc>
      </w:tr>
      <w:tr>
        <w:trPr>
          <w:trHeight w:val="418"/>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7960" w:type="dxa"/>
            <w:vAlign w:val="bottom"/>
          </w:tcPr>
          <w:p>
            <w:pPr>
              <w:ind w:left="1120"/>
              <w:spacing w:after="0"/>
              <w:rPr>
                <w:sz w:val="20"/>
                <w:szCs w:val="20"/>
                <w:color w:val="auto"/>
              </w:rPr>
            </w:pPr>
            <w:r>
              <w:rPr>
                <w:rFonts w:ascii="Arial" w:cs="Arial" w:eastAsia="Arial" w:hAnsi="Arial"/>
                <w:sz w:val="18"/>
                <w:szCs w:val="18"/>
                <w:color w:val="auto"/>
                <w:w w:val="92"/>
              </w:rPr>
              <w:t>5.875% per annum, accruing from November 17, 2006 (calculated on the basis of a 360-day</w:t>
            </w:r>
          </w:p>
        </w:tc>
      </w:tr>
      <w:tr>
        <w:trPr>
          <w:trHeight w:val="230"/>
        </w:trPr>
        <w:tc>
          <w:tcPr>
            <w:tcW w:w="1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year consisting of twelve 30-day months)</w:t>
            </w: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7960" w:type="dxa"/>
            <w:vAlign w:val="bottom"/>
          </w:tcPr>
          <w:p>
            <w:pPr>
              <w:ind w:left="1120"/>
              <w:spacing w:after="0"/>
              <w:rPr>
                <w:sz w:val="20"/>
                <w:szCs w:val="20"/>
                <w:color w:val="auto"/>
              </w:rPr>
            </w:pPr>
            <w:r>
              <w:rPr>
                <w:rFonts w:ascii="Arial" w:cs="Arial" w:eastAsia="Arial" w:hAnsi="Arial"/>
                <w:sz w:val="18"/>
                <w:szCs w:val="18"/>
                <w:color w:val="auto"/>
              </w:rPr>
              <w:t>February 15 and August 15 commencing February 15, 2007</w:t>
            </w: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7960" w:type="dxa"/>
            <w:vAlign w:val="bottom"/>
          </w:tcPr>
          <w:p>
            <w:pPr>
              <w:ind w:left="1120"/>
              <w:spacing w:after="0"/>
              <w:rPr>
                <w:sz w:val="20"/>
                <w:szCs w:val="20"/>
                <w:color w:val="auto"/>
              </w:rPr>
            </w:pPr>
            <w:r>
              <w:rPr>
                <w:rFonts w:ascii="Arial" w:cs="Arial" w:eastAsia="Arial" w:hAnsi="Arial"/>
                <w:sz w:val="18"/>
                <w:szCs w:val="18"/>
                <w:color w:val="auto"/>
              </w:rPr>
              <w:t>T 4.625% due November 15, 2016</w:t>
            </w: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7960" w:type="dxa"/>
            <w:vAlign w:val="bottom"/>
          </w:tcPr>
          <w:p>
            <w:pPr>
              <w:ind w:left="1120"/>
              <w:spacing w:after="0"/>
              <w:rPr>
                <w:sz w:val="20"/>
                <w:szCs w:val="20"/>
                <w:color w:val="auto"/>
              </w:rPr>
            </w:pPr>
            <w:r>
              <w:rPr>
                <w:rFonts w:ascii="Arial" w:cs="Arial" w:eastAsia="Arial" w:hAnsi="Arial"/>
                <w:sz w:val="18"/>
                <w:szCs w:val="18"/>
                <w:color w:val="auto"/>
              </w:rPr>
              <w:t>100-13 (4.574%)</w:t>
            </w: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7960" w:type="dxa"/>
            <w:vAlign w:val="bottom"/>
          </w:tcPr>
          <w:p>
            <w:pPr>
              <w:ind w:left="1120"/>
              <w:spacing w:after="0"/>
              <w:rPr>
                <w:sz w:val="20"/>
                <w:szCs w:val="20"/>
                <w:color w:val="auto"/>
              </w:rPr>
            </w:pPr>
            <w:r>
              <w:rPr>
                <w:rFonts w:ascii="Arial" w:cs="Arial" w:eastAsia="Arial" w:hAnsi="Arial"/>
                <w:sz w:val="18"/>
                <w:szCs w:val="18"/>
                <w:color w:val="auto"/>
              </w:rPr>
              <w:t>+132 bps</w:t>
            </w: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7960" w:type="dxa"/>
            <w:vAlign w:val="bottom"/>
          </w:tcPr>
          <w:p>
            <w:pPr>
              <w:ind w:left="1120"/>
              <w:spacing w:after="0"/>
              <w:rPr>
                <w:sz w:val="20"/>
                <w:szCs w:val="20"/>
                <w:color w:val="auto"/>
              </w:rPr>
            </w:pPr>
            <w:r>
              <w:rPr>
                <w:rFonts w:ascii="Arial" w:cs="Arial" w:eastAsia="Arial" w:hAnsi="Arial"/>
                <w:sz w:val="18"/>
                <w:szCs w:val="18"/>
                <w:color w:val="auto"/>
              </w:rPr>
              <w:t>5.894%</w:t>
            </w:r>
          </w:p>
        </w:tc>
      </w:tr>
      <w:tr>
        <w:trPr>
          <w:trHeight w:val="418"/>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Makewhole Redemption:</w:t>
            </w:r>
          </w:p>
        </w:tc>
        <w:tc>
          <w:tcPr>
            <w:tcW w:w="7960" w:type="dxa"/>
            <w:vAlign w:val="bottom"/>
          </w:tcPr>
          <w:p>
            <w:pPr>
              <w:ind w:left="1120"/>
              <w:spacing w:after="0"/>
              <w:rPr>
                <w:sz w:val="20"/>
                <w:szCs w:val="20"/>
                <w:color w:val="auto"/>
              </w:rPr>
            </w:pPr>
            <w:r>
              <w:rPr>
                <w:rFonts w:ascii="Arial" w:cs="Arial" w:eastAsia="Arial" w:hAnsi="Arial"/>
                <w:sz w:val="18"/>
                <w:szCs w:val="18"/>
                <w:color w:val="auto"/>
                <w:w w:val="95"/>
              </w:rPr>
              <w:t>The 5.875% Notes due 2018 are redeemable at the option of the Company at any time, in</w:t>
            </w:r>
          </w:p>
        </w:tc>
      </w:tr>
      <w:tr>
        <w:trPr>
          <w:trHeight w:val="216"/>
        </w:trPr>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w w:val="91"/>
              </w:rPr>
              <w:t>whole or in part, at a redemption price equal to the greater of (i) 100% of the principal amount</w:t>
            </w:r>
          </w:p>
        </w:tc>
      </w:tr>
      <w:tr>
        <w:trPr>
          <w:trHeight w:val="216"/>
        </w:trPr>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w w:val="97"/>
              </w:rPr>
              <w:t>of such notes and (ii) the sum of the present values of remaining scheduled payments of</w:t>
            </w:r>
          </w:p>
        </w:tc>
      </w:tr>
      <w:tr>
        <w:trPr>
          <w:trHeight w:val="216"/>
        </w:trPr>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w w:val="93"/>
              </w:rPr>
              <w:t>principal and interest (exclusive of interest accrued to the date of redemption) discounted to</w:t>
            </w:r>
          </w:p>
        </w:tc>
      </w:tr>
      <w:tr>
        <w:trPr>
          <w:trHeight w:val="216"/>
        </w:trPr>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w w:val="92"/>
              </w:rPr>
              <w:t>the redemption date on a semiannual basis at the Treasury Rate plus 20 basis points, plus in</w:t>
            </w:r>
          </w:p>
        </w:tc>
      </w:tr>
      <w:tr>
        <w:trPr>
          <w:trHeight w:val="230"/>
        </w:trPr>
        <w:tc>
          <w:tcPr>
            <w:tcW w:w="1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each case accrued interest thereon to the date of redemption.</w:t>
            </w:r>
          </w:p>
        </w:tc>
      </w:tr>
      <w:tr>
        <w:trPr>
          <w:trHeight w:val="418"/>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7960" w:type="dxa"/>
            <w:vAlign w:val="bottom"/>
          </w:tcPr>
          <w:p>
            <w:pPr>
              <w:ind w:left="1120"/>
              <w:spacing w:after="0"/>
              <w:rPr>
                <w:sz w:val="20"/>
                <w:szCs w:val="20"/>
                <w:color w:val="auto"/>
              </w:rPr>
            </w:pPr>
            <w:r>
              <w:rPr>
                <w:rFonts w:ascii="Arial" w:cs="Arial" w:eastAsia="Arial" w:hAnsi="Arial"/>
                <w:sz w:val="18"/>
                <w:szCs w:val="18"/>
                <w:color w:val="auto"/>
                <w:w w:val="91"/>
              </w:rPr>
              <w:t>An unlimited amount of additional 5.875% Notes due 2018 may be issued. The 5.875% Notes</w:t>
            </w:r>
          </w:p>
        </w:tc>
      </w:tr>
      <w:tr>
        <w:trPr>
          <w:trHeight w:val="216"/>
        </w:trPr>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w w:val="92"/>
              </w:rPr>
              <w:t>due 2018 and any additional 5.875% Notes due 2018 that may be issued will be treated as a</w:t>
            </w:r>
          </w:p>
        </w:tc>
      </w:tr>
      <w:tr>
        <w:trPr>
          <w:trHeight w:val="230"/>
        </w:trPr>
        <w:tc>
          <w:tcPr>
            <w:tcW w:w="1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960" w:type="dxa"/>
            <w:vAlign w:val="bottom"/>
          </w:tcPr>
          <w:p>
            <w:pPr>
              <w:ind w:left="1120"/>
              <w:spacing w:after="0"/>
              <w:rPr>
                <w:sz w:val="20"/>
                <w:szCs w:val="20"/>
                <w:color w:val="auto"/>
              </w:rPr>
            </w:pPr>
            <w:r>
              <w:rPr>
                <w:rFonts w:ascii="Arial" w:cs="Arial" w:eastAsia="Arial" w:hAnsi="Arial"/>
                <w:sz w:val="18"/>
                <w:szCs w:val="18"/>
                <w:color w:val="auto"/>
              </w:rPr>
              <w:t>single series for all purposes under the indenture.</w:t>
            </w:r>
          </w:p>
        </w:tc>
      </w:tr>
      <w:tr>
        <w:trPr>
          <w:trHeight w:val="43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7960" w:type="dxa"/>
            <w:vAlign w:val="bottom"/>
          </w:tcPr>
          <w:p>
            <w:pPr>
              <w:ind w:left="1120"/>
              <w:spacing w:after="0"/>
              <w:rPr>
                <w:sz w:val="20"/>
                <w:szCs w:val="20"/>
                <w:color w:val="auto"/>
              </w:rPr>
            </w:pPr>
            <w:r>
              <w:rPr>
                <w:rFonts w:ascii="Arial" w:cs="Arial" w:eastAsia="Arial" w:hAnsi="Arial"/>
                <w:sz w:val="18"/>
                <w:szCs w:val="18"/>
                <w:color w:val="auto"/>
              </w:rPr>
              <w:t>20030N AR 2</w:t>
            </w:r>
          </w:p>
        </w:tc>
      </w:tr>
      <w:tr>
        <w:trPr>
          <w:trHeight w:val="405"/>
        </w:trPr>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960" w:type="dxa"/>
            <w:vAlign w:val="bottom"/>
          </w:tcPr>
          <w:p>
            <w:pPr>
              <w:ind w:left="2200"/>
              <w:spacing w:after="0"/>
              <w:rPr>
                <w:sz w:val="20"/>
                <w:szCs w:val="20"/>
                <w:color w:val="auto"/>
              </w:rPr>
            </w:pPr>
            <w:r>
              <w:rPr>
                <w:rFonts w:ascii="Arial" w:cs="Arial" w:eastAsia="Arial" w:hAnsi="Arial"/>
                <w:sz w:val="18"/>
                <w:szCs w:val="18"/>
                <w:color w:val="auto"/>
              </w:rPr>
              <w:t>3</w:t>
            </w:r>
          </w:p>
        </w:tc>
      </w:tr>
      <w:tr>
        <w:trPr>
          <w:trHeight w:val="226"/>
        </w:trPr>
        <w:tc>
          <w:tcPr>
            <w:tcW w:w="18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7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6.45% Notes Due 2037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99.856% plus accrued interest, if any, from November 17,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0.45%</w:t>
      </w:r>
    </w:p>
    <w:p>
      <w:pPr>
        <w:spacing w:after="0" w:line="225"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99.406% per $1,000 principal amount of Notes due 2018; $894,654,000 total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$600,000,000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15, 2037</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6.45% per annum, accruing from November 17, 2006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 commencing March 15,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4.50% due February 15, 2036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97-11 (4.667%)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+159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6.257%</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6.45% Notes due 2037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25 basis points, plus in each case accrued interest thereon to the date of</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860" w:space="720"/>
            <w:col w:w="6800"/>
          </w:cols>
          <w:pgMar w:left="240" w:top="1148" w:right="279" w:bottom="1440" w:gutter="0" w:footer="0" w:header="0"/>
        </w:sectPr>
      </w:pPr>
    </w:p>
    <w:bookmarkStart w:id="5" w:name="page6"/>
    <w:bookmarkEnd w:id="5"/>
    <w:p>
      <w:pPr>
        <w:ind w:left="4580"/>
        <w:spacing w:after="0"/>
        <w:rPr>
          <w:sz w:val="20"/>
          <w:szCs w:val="20"/>
          <w:color w:val="auto"/>
        </w:rPr>
      </w:pPr>
      <w:r>
        <w:rPr>
          <w:rFonts w:ascii="Arial" w:cs="Arial" w:eastAsia="Arial" w:hAnsi="Arial"/>
          <w:sz w:val="16"/>
          <w:szCs w:val="16"/>
          <w:color w:val="auto"/>
        </w:rPr>
        <w:t>redemption.</w:t>
      </w:r>
    </w:p>
    <w:p>
      <w:pPr>
        <w:sectPr>
          <w:pgSz w:w="11900" w:h="16838" w:orient="portrait"/>
          <w:cols w:equalWidth="0" w:num="1">
            <w:col w:w="11360"/>
          </w:cols>
          <w:pgMar w:left="240" w:top="1152" w:right="29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unlimited amount of additional 6.45% Notes due 2037 may be issued. The $1,250,000,000 aggregate principal amount of 6.45% Notes due 2037 already outstanding, the 6.45% Notes due 2037 offered hereby and any additional 6.45% Notes due 2037 that may be issued will be treated as a single series for all purposes under the indenture.</w:t>
      </w:r>
    </w:p>
    <w:p>
      <w:pPr>
        <w:spacing w:after="0" w:line="150" w:lineRule="exact"/>
        <w:rPr>
          <w:sz w:val="20"/>
          <w:szCs w:val="20"/>
          <w:color w:val="auto"/>
        </w:rPr>
      </w:pPr>
    </w:p>
    <w:p>
      <w:pPr>
        <w:sectPr>
          <w:pgSz w:w="11900" w:h="16838" w:orient="portrait"/>
          <w:cols w:equalWidth="0" w:num="2">
            <w:col w:w="3860" w:space="720"/>
            <w:col w:w="6780"/>
          </w:cols>
          <w:pgMar w:left="240" w:top="1152" w:right="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20030N AM 3</w:t>
      </w:r>
    </w:p>
    <w:p>
      <w:pPr>
        <w:spacing w:after="0" w:line="200" w:lineRule="exact"/>
        <w:rPr>
          <w:sz w:val="20"/>
          <w:szCs w:val="20"/>
          <w:color w:val="auto"/>
        </w:rPr>
      </w:pPr>
    </w:p>
    <w:p>
      <w:pPr>
        <w:sectPr>
          <w:pgSz w:w="11900" w:h="16838" w:orient="portrait"/>
          <w:cols w:equalWidth="0" w:num="2">
            <w:col w:w="3860" w:space="720"/>
            <w:col w:w="6780"/>
          </w:cols>
          <w:pgMar w:left="240" w:top="1152" w:right="2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Offering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2640"/>
        <w:spacing w:after="0"/>
        <w:rPr>
          <w:sz w:val="20"/>
          <w:szCs w:val="20"/>
          <w:color w:val="auto"/>
        </w:rPr>
      </w:pPr>
      <w:r>
        <w:rPr>
          <w:rFonts w:ascii="Arial" w:cs="Arial" w:eastAsia="Arial" w:hAnsi="Arial"/>
          <w:sz w:val="16"/>
          <w:szCs w:val="16"/>
          <w:color w:val="auto"/>
        </w:rPr>
        <w:t>102.597% plus accrued interest from September 16, 2006</w:t>
      </w:r>
    </w:p>
    <w:p>
      <w:pPr>
        <w:spacing w:after="0" w:line="200" w:lineRule="exact"/>
        <w:rPr>
          <w:sz w:val="20"/>
          <w:szCs w:val="20"/>
          <w:color w:val="auto"/>
        </w:rPr>
      </w:pPr>
    </w:p>
    <w:p>
      <w:pPr>
        <w:sectPr>
          <w:pgSz w:w="11900" w:h="16838" w:orient="portrait"/>
          <w:cols w:equalWidth="0" w:num="2">
            <w:col w:w="3860" w:space="720"/>
            <w:col w:w="6780"/>
          </w:cols>
          <w:pgMar w:left="240" w:top="1152" w:right="2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Spread: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0.875%</w:t>
      </w:r>
    </w:p>
    <w:p>
      <w:pPr>
        <w:spacing w:after="0" w:line="200" w:lineRule="exact"/>
        <w:rPr>
          <w:sz w:val="20"/>
          <w:szCs w:val="20"/>
          <w:color w:val="auto"/>
        </w:rPr>
      </w:pPr>
    </w:p>
    <w:p>
      <w:pPr>
        <w:sectPr>
          <w:pgSz w:w="11900" w:h="16838" w:orient="portrait"/>
          <w:cols w:equalWidth="0" w:num="2">
            <w:col w:w="3860" w:space="720"/>
            <w:col w:w="6780"/>
          </w:cols>
          <w:pgMar w:left="240" w:top="1152" w:right="29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101.722% per $1,000 principal amount of Notes due 2037; $610,332,000 total</w:t>
      </w:r>
    </w:p>
    <w:p>
      <w:pPr>
        <w:spacing w:after="0" w:line="140" w:lineRule="exact"/>
        <w:rPr>
          <w:sz w:val="20"/>
          <w:szCs w:val="20"/>
          <w:color w:val="auto"/>
        </w:rPr>
      </w:pPr>
    </w:p>
    <w:p>
      <w:pPr>
        <w:sectPr>
          <w:pgSz w:w="11900" w:h="16838" w:orient="portrait"/>
          <w:cols w:equalWidth="0" w:num="2">
            <w:col w:w="3860" w:space="720"/>
            <w:col w:w="6780"/>
          </w:cols>
          <w:pgMar w:left="240" w:top="1152" w:right="299" w:bottom="1440" w:gutter="0" w:footer="0" w:header="0"/>
          <w:type w:val="continuous"/>
        </w:sectPr>
      </w:pPr>
    </w:p>
    <w:p>
      <w:pPr>
        <w:ind w:right="100"/>
        <w:spacing w:after="0" w:line="297"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Banc of America Securities LLC toll-free at 1-800-294-1322, J.P. Morgan Securities Inc. collect at 212-834-4533 or Wachovia Capital Markets, LLC toll-free at 1-866-289-1262.</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sectPr>
      <w:pgSz w:w="11900" w:h="16838" w:orient="portrait"/>
      <w:cols w:equalWidth="0" w:num="1">
        <w:col w:w="11360"/>
      </w:cols>
      <w:pgMar w:left="240" w:top="115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2019-12-15T06:08:39Z</dcterms:created>
  <dcterms:modified xsi:type="dcterms:W3CDTF">2019-12-15T06:08:39Z</dcterms:modified>
</cp:coreProperties>
</file>