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18" w:lineRule="exact"/>
        <w:rPr>
          <w:sz w:val="24"/>
          <w:szCs w:val="24"/>
          <w:color w:val="auto"/>
        </w:rPr>
      </w:pPr>
    </w:p>
    <w:tbl>
      <w:tblPr>
        <w:tblLayout w:type="fixed"/>
        <w:tblInd w:w="680" w:type="dxa"/>
        <w:tblCellMar>
          <w:top w:w="0" w:type="dxa"/>
          <w:left w:w="0" w:type="dxa"/>
          <w:bottom w:w="0" w:type="dxa"/>
          <w:right w:w="0" w:type="dxa"/>
        </w:tblCellMar>
      </w:tblPr>
      <w:tr>
        <w:trPr>
          <w:trHeight w:val="275"/>
        </w:trPr>
        <w:tc>
          <w:tcPr>
            <w:tcW w:w="7560" w:type="dxa"/>
            <w:vAlign w:val="bottom"/>
          </w:tcPr>
          <w:p>
            <w:pPr>
              <w:jc w:val="center"/>
              <w:ind w:left="2395"/>
              <w:spacing w:after="0"/>
              <w:rPr>
                <w:sz w:val="20"/>
                <w:szCs w:val="20"/>
                <w:color w:val="auto"/>
              </w:rPr>
            </w:pPr>
            <w:r>
              <w:rPr>
                <w:rFonts w:ascii="Arial" w:cs="Arial" w:eastAsia="Arial" w:hAnsi="Arial"/>
                <w:sz w:val="22"/>
                <w:szCs w:val="22"/>
                <w:color w:val="auto"/>
                <w:w w:val="88"/>
              </w:rPr>
              <w:t>_________________________</w:t>
            </w:r>
          </w:p>
        </w:tc>
        <w:tc>
          <w:tcPr>
            <w:tcW w:w="2540" w:type="dxa"/>
            <w:vAlign w:val="bottom"/>
          </w:tcPr>
          <w:p>
            <w:pPr>
              <w:spacing w:after="0"/>
              <w:rPr>
                <w:sz w:val="23"/>
                <w:szCs w:val="23"/>
                <w:color w:val="auto"/>
              </w:rPr>
            </w:pPr>
          </w:p>
        </w:tc>
      </w:tr>
      <w:tr>
        <w:trPr>
          <w:trHeight w:val="667"/>
        </w:trPr>
        <w:tc>
          <w:tcPr>
            <w:tcW w:w="7560" w:type="dxa"/>
            <w:vAlign w:val="bottom"/>
          </w:tcPr>
          <w:p>
            <w:pPr>
              <w:jc w:val="center"/>
              <w:ind w:left="2415"/>
              <w:spacing w:after="0"/>
              <w:rPr>
                <w:sz w:val="20"/>
                <w:szCs w:val="20"/>
                <w:color w:val="auto"/>
              </w:rPr>
            </w:pPr>
            <w:r>
              <w:rPr>
                <w:rFonts w:ascii="Arial" w:cs="Arial" w:eastAsia="Arial" w:hAnsi="Arial"/>
                <w:sz w:val="32"/>
                <w:szCs w:val="32"/>
                <w:b w:val="1"/>
                <w:bCs w:val="1"/>
                <w:color w:val="auto"/>
              </w:rPr>
              <w:t>FORM 8-K</w:t>
            </w:r>
          </w:p>
        </w:tc>
        <w:tc>
          <w:tcPr>
            <w:tcW w:w="2540" w:type="dxa"/>
            <w:vAlign w:val="bottom"/>
          </w:tcPr>
          <w:p>
            <w:pPr>
              <w:spacing w:after="0"/>
              <w:rPr>
                <w:sz w:val="24"/>
                <w:szCs w:val="24"/>
                <w:color w:val="auto"/>
              </w:rPr>
            </w:pPr>
          </w:p>
        </w:tc>
      </w:tr>
      <w:tr>
        <w:trPr>
          <w:trHeight w:val="871"/>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99"/>
              </w:rPr>
              <w:t>CURRENT REPORT</w:t>
            </w:r>
          </w:p>
        </w:tc>
        <w:tc>
          <w:tcPr>
            <w:tcW w:w="2540" w:type="dxa"/>
            <w:vAlign w:val="bottom"/>
          </w:tcPr>
          <w:p>
            <w:pPr>
              <w:spacing w:after="0"/>
              <w:rPr>
                <w:sz w:val="24"/>
                <w:szCs w:val="24"/>
                <w:color w:val="auto"/>
              </w:rPr>
            </w:pPr>
          </w:p>
        </w:tc>
      </w:tr>
      <w:tr>
        <w:trPr>
          <w:trHeight w:val="351"/>
        </w:trPr>
        <w:tc>
          <w:tcPr>
            <w:tcW w:w="7560" w:type="dxa"/>
            <w:vAlign w:val="bottom"/>
          </w:tcPr>
          <w:p>
            <w:pPr>
              <w:jc w:val="center"/>
              <w:ind w:left="2395"/>
              <w:spacing w:after="0"/>
              <w:rPr>
                <w:sz w:val="20"/>
                <w:szCs w:val="20"/>
                <w:color w:val="auto"/>
              </w:rPr>
            </w:pPr>
            <w:r>
              <w:rPr>
                <w:rFonts w:ascii="Arial" w:cs="Arial" w:eastAsia="Arial" w:hAnsi="Arial"/>
                <w:sz w:val="29"/>
                <w:szCs w:val="29"/>
                <w:b w:val="1"/>
                <w:bCs w:val="1"/>
                <w:color w:val="auto"/>
                <w:w w:val="89"/>
              </w:rPr>
              <w:t>Pursuant to Section 13 or 15(d) of</w:t>
            </w:r>
          </w:p>
        </w:tc>
        <w:tc>
          <w:tcPr>
            <w:tcW w:w="2540" w:type="dxa"/>
            <w:vAlign w:val="bottom"/>
          </w:tcPr>
          <w:p>
            <w:pPr>
              <w:spacing w:after="0"/>
              <w:rPr>
                <w:sz w:val="24"/>
                <w:szCs w:val="24"/>
                <w:color w:val="auto"/>
              </w:rPr>
            </w:pPr>
          </w:p>
        </w:tc>
      </w:tr>
      <w:tr>
        <w:trPr>
          <w:trHeight w:val="375"/>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88"/>
              </w:rPr>
              <w:t>the Securities Exchange Act of 1934</w:t>
            </w:r>
          </w:p>
        </w:tc>
        <w:tc>
          <w:tcPr>
            <w:tcW w:w="2540" w:type="dxa"/>
            <w:vAlign w:val="bottom"/>
          </w:tcPr>
          <w:p>
            <w:pPr>
              <w:spacing w:after="0"/>
              <w:rPr>
                <w:sz w:val="24"/>
                <w:szCs w:val="24"/>
                <w:color w:val="auto"/>
              </w:rPr>
            </w:pPr>
          </w:p>
        </w:tc>
      </w:tr>
      <w:tr>
        <w:trPr>
          <w:trHeight w:val="481"/>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1"/>
              </w:rPr>
              <w:t>Date of report (Date of earliest event reported): December 2, 2010</w:t>
            </w:r>
          </w:p>
        </w:tc>
        <w:tc>
          <w:tcPr>
            <w:tcW w:w="2540" w:type="dxa"/>
            <w:vAlign w:val="bottom"/>
          </w:tcPr>
          <w:p>
            <w:pPr>
              <w:spacing w:after="0"/>
              <w:rPr>
                <w:sz w:val="24"/>
                <w:szCs w:val="24"/>
                <w:color w:val="auto"/>
              </w:rPr>
            </w:pPr>
          </w:p>
        </w:tc>
      </w:tr>
      <w:tr>
        <w:trPr>
          <w:trHeight w:val="485"/>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90"/>
              </w:rPr>
              <w:t>Comcast Corporation</w:t>
            </w:r>
          </w:p>
        </w:tc>
        <w:tc>
          <w:tcPr>
            <w:tcW w:w="2540" w:type="dxa"/>
            <w:vAlign w:val="bottom"/>
          </w:tcPr>
          <w:p>
            <w:pPr>
              <w:spacing w:after="0"/>
              <w:rPr>
                <w:sz w:val="24"/>
                <w:szCs w:val="24"/>
                <w:color w:val="auto"/>
              </w:rPr>
            </w:pPr>
          </w:p>
        </w:tc>
      </w:tr>
      <w:tr>
        <w:trPr>
          <w:trHeight w:val="216"/>
        </w:trPr>
        <w:tc>
          <w:tcPr>
            <w:tcW w:w="7560" w:type="dxa"/>
            <w:vAlign w:val="bottom"/>
          </w:tcPr>
          <w:p>
            <w:pPr>
              <w:jc w:val="center"/>
              <w:ind w:left="2415"/>
              <w:spacing w:after="0"/>
              <w:rPr>
                <w:sz w:val="20"/>
                <w:szCs w:val="20"/>
                <w:color w:val="auto"/>
              </w:rPr>
            </w:pPr>
            <w:r>
              <w:rPr>
                <w:rFonts w:ascii="Arial" w:cs="Arial" w:eastAsia="Arial" w:hAnsi="Arial"/>
                <w:sz w:val="18"/>
                <w:szCs w:val="18"/>
                <w:color w:val="auto"/>
                <w:w w:val="90"/>
              </w:rPr>
              <w:t>(Exact Name of Registrant</w:t>
            </w:r>
          </w:p>
        </w:tc>
        <w:tc>
          <w:tcPr>
            <w:tcW w:w="2540" w:type="dxa"/>
            <w:vAlign w:val="bottom"/>
          </w:tcPr>
          <w:p>
            <w:pPr>
              <w:spacing w:after="0"/>
              <w:rPr>
                <w:sz w:val="18"/>
                <w:szCs w:val="18"/>
                <w:color w:val="auto"/>
              </w:rPr>
            </w:pPr>
          </w:p>
        </w:tc>
      </w:tr>
      <w:tr>
        <w:trPr>
          <w:trHeight w:val="230"/>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as Specified in Charter)</w:t>
            </w:r>
          </w:p>
        </w:tc>
        <w:tc>
          <w:tcPr>
            <w:tcW w:w="2540" w:type="dxa"/>
            <w:vAlign w:val="bottom"/>
          </w:tcPr>
          <w:p>
            <w:pPr>
              <w:spacing w:after="0"/>
              <w:rPr>
                <w:sz w:val="20"/>
                <w:szCs w:val="20"/>
                <w:color w:val="auto"/>
              </w:rPr>
            </w:pPr>
          </w:p>
        </w:tc>
      </w:tr>
      <w:tr>
        <w:trPr>
          <w:trHeight w:val="350"/>
        </w:trPr>
        <w:tc>
          <w:tcPr>
            <w:tcW w:w="7560" w:type="dxa"/>
            <w:vAlign w:val="bottom"/>
          </w:tcPr>
          <w:p>
            <w:pPr>
              <w:jc w:val="center"/>
              <w:ind w:left="2915"/>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spacing w:after="0"/>
              <w:rPr>
                <w:sz w:val="24"/>
                <w:szCs w:val="24"/>
                <w:color w:val="auto"/>
              </w:rPr>
            </w:pPr>
          </w:p>
        </w:tc>
      </w:tr>
      <w:tr>
        <w:trPr>
          <w:trHeight w:val="230"/>
        </w:trPr>
        <w:tc>
          <w:tcPr>
            <w:tcW w:w="7560" w:type="dxa"/>
            <w:vAlign w:val="bottom"/>
          </w:tcPr>
          <w:p>
            <w:pPr>
              <w:jc w:val="center"/>
              <w:ind w:left="2935"/>
              <w:spacing w:after="0"/>
              <w:rPr>
                <w:sz w:val="20"/>
                <w:szCs w:val="20"/>
                <w:color w:val="auto"/>
              </w:rPr>
            </w:pPr>
            <w:r>
              <w:rPr>
                <w:rFonts w:ascii="Arial" w:cs="Arial" w:eastAsia="Arial" w:hAnsi="Arial"/>
                <w:sz w:val="18"/>
                <w:szCs w:val="18"/>
                <w:color w:val="auto"/>
                <w:w w:val="92"/>
              </w:rPr>
              <w:t>(State or Other Jurisdiction of Incorporation)</w:t>
            </w:r>
          </w:p>
        </w:tc>
        <w:tc>
          <w:tcPr>
            <w:tcW w:w="2540" w:type="dxa"/>
            <w:vAlign w:val="bottom"/>
          </w:tcPr>
          <w:p>
            <w:pPr>
              <w:spacing w:after="0"/>
              <w:rPr>
                <w:sz w:val="20"/>
                <w:szCs w:val="20"/>
                <w:color w:val="auto"/>
              </w:rPr>
            </w:pPr>
          </w:p>
        </w:tc>
      </w:tr>
      <w:tr>
        <w:trPr>
          <w:trHeight w:val="350"/>
        </w:trPr>
        <w:tc>
          <w:tcPr>
            <w:tcW w:w="7560" w:type="dxa"/>
            <w:vAlign w:val="bottom"/>
          </w:tcPr>
          <w:p>
            <w:pPr>
              <w:jc w:val="center"/>
              <w:ind w:right="4515"/>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560" w:type="dxa"/>
            <w:vAlign w:val="bottom"/>
          </w:tcPr>
          <w:p>
            <w:pPr>
              <w:jc w:val="center"/>
              <w:ind w:right="4495"/>
              <w:spacing w:after="0"/>
              <w:rPr>
                <w:sz w:val="20"/>
                <w:szCs w:val="20"/>
                <w:color w:val="auto"/>
              </w:rPr>
            </w:pPr>
            <w:r>
              <w:rPr>
                <w:rFonts w:ascii="Arial" w:cs="Arial" w:eastAsia="Arial" w:hAnsi="Arial"/>
                <w:sz w:val="18"/>
                <w:szCs w:val="18"/>
                <w:color w:val="auto"/>
                <w:w w:val="93"/>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7560" w:type="dxa"/>
            <w:vAlign w:val="bottom"/>
          </w:tcPr>
          <w:p>
            <w:pPr>
              <w:jc w:val="center"/>
              <w:ind w:right="4495"/>
              <w:spacing w:after="0"/>
              <w:rPr>
                <w:sz w:val="20"/>
                <w:szCs w:val="20"/>
                <w:color w:val="auto"/>
              </w:rPr>
            </w:pPr>
            <w:r>
              <w:rPr>
                <w:rFonts w:ascii="Arial" w:cs="Arial" w:eastAsia="Arial" w:hAnsi="Arial"/>
                <w:sz w:val="18"/>
                <w:szCs w:val="18"/>
                <w:b w:val="1"/>
                <w:bCs w:val="1"/>
                <w:color w:val="auto"/>
                <w:w w:val="89"/>
              </w:rPr>
              <w:t>One Comcast Center</w:t>
            </w:r>
          </w:p>
        </w:tc>
        <w:tc>
          <w:tcPr>
            <w:tcW w:w="2540" w:type="dxa"/>
            <w:vAlign w:val="bottom"/>
          </w:tcPr>
          <w:p>
            <w:pPr>
              <w:spacing w:after="0"/>
              <w:rPr>
                <w:sz w:val="24"/>
                <w:szCs w:val="24"/>
                <w:color w:val="auto"/>
              </w:rPr>
            </w:pPr>
          </w:p>
        </w:tc>
      </w:tr>
      <w:tr>
        <w:trPr>
          <w:trHeight w:val="220"/>
        </w:trPr>
        <w:tc>
          <w:tcPr>
            <w:tcW w:w="7560" w:type="dxa"/>
            <w:vAlign w:val="bottom"/>
          </w:tcPr>
          <w:p>
            <w:pPr>
              <w:jc w:val="center"/>
              <w:ind w:right="4495"/>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560" w:type="dxa"/>
            <w:vAlign w:val="bottom"/>
          </w:tcPr>
          <w:p>
            <w:pPr>
              <w:jc w:val="center"/>
              <w:ind w:right="4515"/>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494"/>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r>
        <w:trPr>
          <w:trHeight w:val="182"/>
        </w:trPr>
        <w:tc>
          <w:tcPr>
            <w:tcW w:w="7560" w:type="dxa"/>
            <w:vAlign w:val="bottom"/>
          </w:tcPr>
          <w:p>
            <w:pPr>
              <w:jc w:val="center"/>
              <w:ind w:left="2455"/>
              <w:spacing w:after="0"/>
              <w:rPr>
                <w:sz w:val="20"/>
                <w:szCs w:val="20"/>
                <w:color w:val="auto"/>
              </w:rPr>
            </w:pPr>
            <w:r>
              <w:rPr>
                <w:rFonts w:ascii="Arial" w:cs="Arial" w:eastAsia="Arial" w:hAnsi="Arial"/>
                <w:sz w:val="14"/>
                <w:szCs w:val="14"/>
                <w:color w:val="auto"/>
                <w:w w:val="92"/>
              </w:rPr>
              <w:t>_________________________</w:t>
            </w:r>
          </w:p>
        </w:tc>
        <w:tc>
          <w:tcPr>
            <w:tcW w:w="2540" w:type="dxa"/>
            <w:vAlign w:val="bottom"/>
          </w:tcPr>
          <w:p>
            <w:pPr>
              <w:spacing w:after="0"/>
              <w:rPr>
                <w:sz w:val="15"/>
                <w:szCs w:val="15"/>
                <w:color w:val="auto"/>
              </w:rPr>
            </w:pPr>
          </w:p>
        </w:tc>
      </w:tr>
    </w:tbl>
    <w:p>
      <w:pPr>
        <w:spacing w:after="0" w:line="21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795020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850" w:right="77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 2010, General Electric Company and Comcast Corporation extended the term of the Master Agreement, dated as of December 3, 2009 (the “</w:t>
      </w:r>
      <w:r>
        <w:rPr>
          <w:rFonts w:ascii="Arial" w:cs="Arial" w:eastAsia="Arial" w:hAnsi="Arial"/>
          <w:sz w:val="18"/>
          <w:szCs w:val="18"/>
          <w:b w:val="1"/>
          <w:bCs w:val="1"/>
          <w:color w:val="auto"/>
        </w:rPr>
        <w:t>Master Agreement</w:t>
      </w:r>
      <w:r>
        <w:rPr>
          <w:rFonts w:ascii="Arial" w:cs="Arial" w:eastAsia="Arial" w:hAnsi="Arial"/>
          <w:sz w:val="18"/>
          <w:szCs w:val="18"/>
          <w:color w:val="auto"/>
        </w:rPr>
        <w:t>”), among General Electric Company, NBC Universal, Inc., Comcast Corporation and Navy, LLC, pursuant to one of the three-month extension options provided for in the Master Agreement. The original term of the Master Agreement was to have expired December 3, 2010. The Master Agreement now expires 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4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 w:leader="none" w:pos="5720" w:val="left"/>
          <w:tab w:leader="none" w:pos="6160" w:val="left"/>
        </w:tabs>
        <w:rPr>
          <w:sz w:val="20"/>
          <w:szCs w:val="20"/>
          <w:color w:val="auto"/>
        </w:rPr>
      </w:pPr>
      <w:r>
        <w:rPr>
          <w:rFonts w:ascii="Arial" w:cs="Arial" w:eastAsia="Arial" w:hAnsi="Arial"/>
          <w:sz w:val="18"/>
          <w:szCs w:val="18"/>
          <w:color w:val="auto"/>
        </w:rPr>
        <w:t>Date:</w:t>
        <w:tab/>
        <w:t>December 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General Counsel and Secretary</w:t>
            </w:r>
          </w:p>
        </w:tc>
        <w:tc>
          <w:tcPr>
            <w:tcW w:w="20" w:type="dxa"/>
            <w:vAlign w:val="bottom"/>
          </w:tcPr>
          <w:p>
            <w:pPr>
              <w:spacing w:after="0"/>
              <w:rPr>
                <w:sz w:val="20"/>
                <w:szCs w:val="20"/>
                <w:color w:val="auto"/>
              </w:rPr>
            </w:pPr>
          </w:p>
        </w:tc>
      </w:tr>
      <w:tr>
        <w:trPr>
          <w:trHeight w:val="875"/>
        </w:trPr>
        <w:tc>
          <w:tcPr>
            <w:tcW w:w="6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2019-12-10T22:05:38Z</dcterms:created>
  <dcterms:modified xsi:type="dcterms:W3CDTF">2019-12-10T22:05:38Z</dcterms:modified>
</cp:coreProperties>
</file>