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49739d424b2.htm"/>
        <w:bookmarkStart w:id="1" w:name="ksd49739d424b2"/>
        <w:bookmarkEnd w:id="0"/>
        <w:bookmarkEnd w:id="1"/>
        <w:r>
          <w:rPr>
            <w:rStyle w:val="InternetLink"/>
          </w:rPr>
          <w:t>Table of Contents</w:t>
        </w:r>
      </w:hyperlink>
    </w:p>
    <w:p>
      <w:pPr>
        <w:pStyle w:val="TextBody"/>
        <w:spacing w:before="0" w:after="0"/>
        <w:jc w:val="right"/>
        <w:rPr>
          <w:rFonts w:ascii="Times New Roman" w:hAnsi="Times New Roman"/>
          <w:b/>
          <w:sz w:val="20"/>
        </w:rPr>
      </w:pPr>
      <w:r>
        <w:rPr>
          <w:rFonts w:ascii="Times New Roman" w:hAnsi="Times New Roman"/>
          <w:b/>
          <w:sz w:val="20"/>
        </w:rPr>
        <w:t xml:space="preserve">Filed Pursuant to Rule 424(b)(2) </w:t>
        <w:br/>
        <w:t xml:space="preserve">Registration No. 333-266390 </w:t>
      </w:r>
    </w:p>
    <w:p>
      <w:pPr>
        <w:pStyle w:val="TextBody"/>
        <w:spacing w:before="0" w:after="0"/>
        <w:jc w:val="left"/>
        <w:rPr/>
      </w:pPr>
      <w:r>
        <w:rPr/>
        <w:t> </w:t>
      </w:r>
    </w:p>
    <w:p>
      <w:pPr>
        <w:pStyle w:val="TextBody"/>
        <w:spacing w:before="120" w:after="0"/>
        <w:jc w:val="left"/>
        <w:rPr>
          <w:rFonts w:ascii="Times New Roman" w:hAnsi="Times New Roman"/>
          <w:b/>
          <w:sz w:val="18"/>
        </w:rPr>
      </w:pPr>
      <w:r>
        <w:rPr>
          <w:rFonts w:ascii="Times New Roman" w:hAnsi="Times New Roman"/>
          <w:b/>
          <w:sz w:val="18"/>
        </w:rPr>
        <w:t xml:space="preserve">PROSPECTUS SUPPLEMENT </w:t>
      </w:r>
    </w:p>
    <w:p>
      <w:pPr>
        <w:pStyle w:val="TextBody"/>
        <w:spacing w:before="0" w:after="0"/>
        <w:jc w:val="left"/>
        <w:rPr>
          <w:rFonts w:ascii="Times New Roman" w:hAnsi="Times New Roman"/>
          <w:sz w:val="18"/>
        </w:rPr>
      </w:pPr>
      <w:r>
        <w:rPr>
          <w:rFonts w:ascii="Times New Roman" w:hAnsi="Times New Roman"/>
          <w:b/>
          <w:i/>
          <w:sz w:val="18"/>
        </w:rPr>
        <w:t>(To prospectus dated July</w:t>
      </w:r>
      <w:r>
        <w:rPr>
          <w:rFonts w:ascii="Times New Roman" w:hAnsi="Times New Roman"/>
          <w:sz w:val="18"/>
        </w:rPr>
        <w:t> </w:t>
      </w:r>
      <w:r>
        <w:rPr>
          <w:rFonts w:ascii="Times New Roman" w:hAnsi="Times New Roman"/>
          <w:b/>
          <w:i/>
          <w:sz w:val="18"/>
        </w:rPr>
        <w:t>29, 2022)</w:t>
      </w:r>
      <w:r>
        <w:rPr>
          <w:rFonts w:ascii="Times New Roman" w:hAnsi="Times New Roman"/>
          <w:sz w:val="18"/>
        </w:rPr>
        <w:t xml:space="preserve"> </w:t>
      </w:r>
    </w:p>
    <w:p>
      <w:pPr>
        <w:pStyle w:val="TextBody"/>
        <w:spacing w:before="0" w:after="0"/>
        <w:jc w:val="left"/>
        <w:rPr/>
      </w:pPr>
      <w:r>
        <w:rPr/>
        <w:t> </w:t>
      </w:r>
    </w:p>
    <w:p>
      <w:pPr>
        <w:pStyle w:val="TextBody"/>
        <w:spacing w:before="0" w:after="0"/>
        <w:jc w:val="center"/>
        <w:rPr/>
      </w:pPr>
      <w:r>
        <w:rPr/>
        <w:drawing>
          <wp:inline distT="0" distB="0" distL="0" distR="0">
            <wp:extent cx="200660" cy="7048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660" cy="70485"/>
                    </a:xfrm>
                    <a:prstGeom prst="rect">
                      <a:avLst/>
                    </a:prstGeom>
                  </pic:spPr>
                </pic:pic>
              </a:graphicData>
            </a:graphic>
          </wp:inline>
        </w:drawing>
      </w:r>
      <w:r>
        <w:rPr/>
        <w:t xml:space="preserve"> </w:t>
      </w:r>
    </w:p>
    <w:p>
      <w:pPr>
        <w:pStyle w:val="TextBody"/>
        <w:spacing w:before="120" w:after="0"/>
        <w:jc w:val="center"/>
        <w:rPr>
          <w:rFonts w:ascii="Times New Roman" w:hAnsi="Times New Roman"/>
          <w:b/>
          <w:sz w:val="32"/>
        </w:rPr>
      </w:pPr>
      <w:r>
        <w:rPr>
          <w:rFonts w:ascii="Times New Roman" w:hAnsi="Times New Roman"/>
          <w:b/>
          <w:sz w:val="32"/>
        </w:rPr>
        <w:t xml:space="preserve">$1,000,000,000 4.550% Notes due 2029 </w:t>
      </w:r>
    </w:p>
    <w:p>
      <w:pPr>
        <w:pStyle w:val="TextBody"/>
        <w:spacing w:before="0" w:after="0"/>
        <w:jc w:val="center"/>
        <w:rPr>
          <w:rFonts w:ascii="Times New Roman" w:hAnsi="Times New Roman"/>
          <w:b/>
          <w:sz w:val="32"/>
        </w:rPr>
      </w:pPr>
      <w:r>
        <w:rPr>
          <w:rFonts w:ascii="Times New Roman" w:hAnsi="Times New Roman"/>
          <w:b/>
          <w:sz w:val="32"/>
        </w:rPr>
        <w:t xml:space="preserve">$1,000,000,000 4.800% Notes due 2033 </w:t>
      </w:r>
    </w:p>
    <w:p>
      <w:pPr>
        <w:pStyle w:val="TextBody"/>
        <w:spacing w:before="0" w:after="0"/>
        <w:jc w:val="center"/>
        <w:rPr>
          <w:rFonts w:ascii="Times New Roman" w:hAnsi="Times New Roman"/>
          <w:b/>
          <w:sz w:val="32"/>
        </w:rPr>
      </w:pPr>
      <w:r>
        <w:rPr>
          <w:rFonts w:ascii="Times New Roman" w:hAnsi="Times New Roman"/>
          <w:b/>
          <w:sz w:val="32"/>
        </w:rPr>
        <w:t xml:space="preserve">$1,600,000,000 5.350% Notes due 2053 </w:t>
      </w:r>
    </w:p>
    <w:p>
      <w:pPr>
        <w:pStyle w:val="TextBody"/>
        <w:spacing w:before="0" w:after="0"/>
        <w:jc w:val="center"/>
        <w:rPr>
          <w:rFonts w:ascii="Times New Roman" w:hAnsi="Times New Roman"/>
          <w:b/>
          <w:sz w:val="32"/>
        </w:rPr>
      </w:pPr>
      <w:r>
        <w:rPr>
          <w:rFonts w:ascii="Times New Roman" w:hAnsi="Times New Roman"/>
          <w:b/>
          <w:sz w:val="32"/>
        </w:rPr>
        <w:t xml:space="preserve">$1,400,000,000 5.500% Notes due 2064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left"/>
        <w:rPr>
          <w:rFonts w:ascii="Times New Roman" w:hAnsi="Times New Roman"/>
          <w:sz w:val="18"/>
        </w:rPr>
      </w:pPr>
      <w:r>
        <w:rPr>
          <w:rFonts w:ascii="Times New Roman" w:hAnsi="Times New Roman"/>
          <w:sz w:val="18"/>
        </w:rPr>
        <w:t xml:space="preserve">We are offering $1,000,000,000 of 4.550% Notes due 2029 (the Notes due 2029), $1,000,000,000 of 4.800% Notes due 2033 (the Notes due 2033), $1,600,000,000 of 5.350% Notes due 2053 (the Notes due 2053) and $1,400,000,000 of 5.500% Notes due 2064 (the Notes due 2064). The Notes due 2029 will bear interest at a rate of 4.550% per year and will mature on January 15, 2029, the Notes due 2033 will bear interest at a rate of 4.800% per year and will mature on May 15, 2033, the Notes due 2053 will bear interest at a rate of 5.350% per year and will mature on May 15, 2053 and the Notes due 2064 will bear interest at a rate of 5.500% per year and will mature on May 15, 2064. We refer to the Notes due 2029, the Notes due 2033, the Notes due 2053 and the Notes due 2064 collectively as the notes. We will pay interest on the Notes due 2029 on January 15 and July 15 of each year, beginning on January 15, 2024. We will pay interest on the Notes due 2033, Notes due 2053 and Notes due 2064 on May 15 and November 15 of each year, beginning on November 15, 2023. We may redeem any of the notes at any time by paying the applicable redemption price described under the heading Description of the NotesOptional Redemption. </w:t>
      </w:r>
    </w:p>
    <w:p>
      <w:pPr>
        <w:pStyle w:val="TextBody"/>
        <w:spacing w:before="120" w:after="0"/>
        <w:jc w:val="left"/>
        <w:rPr>
          <w:rFonts w:ascii="Times New Roman" w:hAnsi="Times New Roman"/>
          <w:sz w:val="18"/>
        </w:rPr>
      </w:pPr>
      <w:r>
        <w:rPr>
          <w:rFonts w:ascii="Times New Roman" w:hAnsi="Times New Roman"/>
          <w:sz w:val="18"/>
        </w:rPr>
        <w:t xml:space="preserve">The notes will be unsecured and will rank equally with all of our and our guarantors unsecured and unsubordinated indebtedness. The notes will be fully and unconditionally guaranteed by our wholly-owned subsidiaries named in this prospectus supplement and in the accompanying prospectus.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left"/>
        <w:rPr>
          <w:rFonts w:ascii="Times New Roman" w:hAnsi="Times New Roman"/>
          <w:b/>
          <w:sz w:val="20"/>
        </w:rPr>
      </w:pPr>
      <w:r>
        <w:rPr>
          <w:rFonts w:ascii="Times New Roman" w:hAnsi="Times New Roman"/>
          <w:b/>
          <w:sz w:val="20"/>
        </w:rPr>
        <w:t xml:space="preserve">Investing in these securities involves certain risks. See Item 1ARisk Factors beginning on page 24 of Comcast Corporations (Comcast) Annual Report on Form 10-K for the year ended December 31, 2022, which is incorporated by reference herein. </w:t>
      </w:r>
    </w:p>
    <w:p>
      <w:pPr>
        <w:pStyle w:val="TextBody"/>
        <w:spacing w:before="0" w:after="0"/>
        <w:jc w:val="left"/>
        <w:rPr/>
      </w:pPr>
      <w:r>
        <w:rPr/>
        <w:t> </w:t>
      </w:r>
    </w:p>
    <w:tbl>
      <w:tblPr>
        <w:tblW w:w="4200" w:type="pct"/>
        <w:jc w:val="center"/>
        <w:tblInd w:w="0" w:type="dxa"/>
        <w:tblCellMar>
          <w:top w:w="0" w:type="dxa"/>
          <w:left w:w="0" w:type="dxa"/>
          <w:bottom w:w="0" w:type="dxa"/>
          <w:right w:w="0" w:type="dxa"/>
        </w:tblCellMar>
      </w:tblPr>
      <w:tblGrid>
        <w:gridCol w:w="1933"/>
        <w:gridCol w:w="305"/>
        <w:gridCol w:w="140"/>
        <w:gridCol w:w="1531"/>
        <w:gridCol w:w="275"/>
        <w:gridCol w:w="219"/>
        <w:gridCol w:w="189"/>
        <w:gridCol w:w="1533"/>
        <w:gridCol w:w="275"/>
        <w:gridCol w:w="219"/>
        <w:gridCol w:w="140"/>
        <w:gridCol w:w="1531"/>
        <w:gridCol w:w="282"/>
      </w:tblGrid>
      <w:tr>
        <w:trPr/>
        <w:tc>
          <w:tcPr>
            <w:tcW w:w="1933"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53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r>
      <w:tr>
        <w:trPr/>
        <w:tc>
          <w:tcPr>
            <w:tcW w:w="1933"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167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Price to</w:t>
              <w:br/>
              <w:t>Investors</w:t>
            </w:r>
          </w:p>
        </w:tc>
        <w:tc>
          <w:tcPr>
            <w:tcW w:w="27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72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Underwriters</w:t>
              <w:br/>
              <w:t>Discount</w:t>
            </w:r>
          </w:p>
        </w:tc>
        <w:tc>
          <w:tcPr>
            <w:tcW w:w="27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67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Proceeds to Us</w:t>
              <w:br/>
              <w:t>Before</w:t>
              <w:br/>
              <w:t>Expenses</w:t>
            </w:r>
          </w:p>
        </w:tc>
        <w:tc>
          <w:tcPr>
            <w:tcW w:w="282" w:type="dxa"/>
            <w:tcBorders/>
            <w:shd w:fill="auto" w:val="clear"/>
            <w:vAlign w:val="bottom"/>
          </w:tcPr>
          <w:p>
            <w:pPr>
              <w:pStyle w:val="TableContents"/>
              <w:spacing w:before="0" w:after="283"/>
              <w:rPr/>
            </w:pPr>
            <w:r>
              <w:rPr/>
              <w:t> </w:t>
            </w:r>
          </w:p>
        </w:tc>
      </w:tr>
      <w:tr>
        <w:trPr/>
        <w:tc>
          <w:tcPr>
            <w:tcW w:w="1933" w:type="dxa"/>
            <w:tcBorders/>
            <w:shd w:fill="CCEEFF" w:val="clear"/>
          </w:tcPr>
          <w:p>
            <w:pPr>
              <w:pStyle w:val="TableContents"/>
              <w:spacing w:before="0" w:after="0"/>
              <w:rPr>
                <w:rFonts w:ascii="Times New Roman" w:hAnsi="Times New Roman"/>
                <w:sz w:val="18"/>
              </w:rPr>
            </w:pPr>
            <w:r>
              <w:rPr>
                <w:rFonts w:ascii="Times New Roman" w:hAnsi="Times New Roman"/>
                <w:sz w:val="18"/>
              </w:rPr>
              <w:t>Per note due 2029 (1)</w:t>
            </w:r>
          </w:p>
        </w:tc>
        <w:tc>
          <w:tcPr>
            <w:tcW w:w="30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531" w:type="dxa"/>
            <w:tcBorders/>
            <w:shd w:fill="CCEEFF" w:val="clear"/>
            <w:vAlign w:val="bottom"/>
          </w:tcPr>
          <w:p>
            <w:pPr>
              <w:pStyle w:val="TableContents"/>
              <w:spacing w:before="0" w:after="283"/>
              <w:jc w:val="right"/>
              <w:rPr/>
            </w:pPr>
            <w:r>
              <w:rPr/>
              <w:t>99.784</w:t>
            </w:r>
          </w:p>
        </w:tc>
        <w:tc>
          <w:tcPr>
            <w:tcW w:w="27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533" w:type="dxa"/>
            <w:tcBorders/>
            <w:shd w:fill="CCEEFF" w:val="clear"/>
            <w:vAlign w:val="bottom"/>
          </w:tcPr>
          <w:p>
            <w:pPr>
              <w:pStyle w:val="TableContents"/>
              <w:spacing w:before="0" w:after="283"/>
              <w:jc w:val="right"/>
              <w:rPr/>
            </w:pPr>
            <w:r>
              <w:rPr/>
              <w:t>0.250</w:t>
            </w:r>
          </w:p>
        </w:tc>
        <w:tc>
          <w:tcPr>
            <w:tcW w:w="27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531" w:type="dxa"/>
            <w:tcBorders/>
            <w:shd w:fill="CCEEFF" w:val="clear"/>
            <w:vAlign w:val="bottom"/>
          </w:tcPr>
          <w:p>
            <w:pPr>
              <w:pStyle w:val="TableContents"/>
              <w:spacing w:before="0" w:after="283"/>
              <w:jc w:val="right"/>
              <w:rPr/>
            </w:pPr>
            <w:r>
              <w:rPr/>
              <w:t>99.534</w:t>
            </w:r>
          </w:p>
        </w:tc>
        <w:tc>
          <w:tcPr>
            <w:tcW w:w="282" w:type="dxa"/>
            <w:tcBorders/>
            <w:shd w:fill="CCEEFF" w:val="clear"/>
            <w:vAlign w:val="bottom"/>
          </w:tcPr>
          <w:p>
            <w:pPr>
              <w:pStyle w:val="TableContents"/>
              <w:spacing w:before="0" w:after="283"/>
              <w:rPr/>
            </w:pPr>
            <w:r>
              <w:rPr/>
              <w:t>% </w:t>
            </w:r>
          </w:p>
        </w:tc>
      </w:tr>
      <w:tr>
        <w:trPr/>
        <w:tc>
          <w:tcPr>
            <w:tcW w:w="1933" w:type="dxa"/>
            <w:tcBorders/>
            <w:shd w:fill="auto" w:val="clear"/>
          </w:tcPr>
          <w:p>
            <w:pPr>
              <w:pStyle w:val="TableContents"/>
              <w:spacing w:before="0" w:after="0"/>
              <w:rPr>
                <w:rFonts w:ascii="Times New Roman" w:hAnsi="Times New Roman"/>
                <w:sz w:val="18"/>
              </w:rPr>
            </w:pPr>
            <w:r>
              <w:rPr>
                <w:rFonts w:ascii="Times New Roman" w:hAnsi="Times New Roman"/>
                <w:sz w:val="18"/>
              </w:rPr>
              <w:t>Total</w:t>
            </w:r>
          </w:p>
        </w:tc>
        <w:tc>
          <w:tcPr>
            <w:tcW w:w="30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531" w:type="dxa"/>
            <w:tcBorders/>
            <w:shd w:fill="auto" w:val="clear"/>
            <w:vAlign w:val="bottom"/>
          </w:tcPr>
          <w:p>
            <w:pPr>
              <w:pStyle w:val="TableContents"/>
              <w:spacing w:before="0" w:after="283"/>
              <w:jc w:val="right"/>
              <w:rPr/>
            </w:pPr>
            <w:r>
              <w:rPr/>
              <w:t>997,840,000</w:t>
            </w:r>
          </w:p>
        </w:tc>
        <w:tc>
          <w:tcPr>
            <w:tcW w:w="27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w:t>
            </w:r>
          </w:p>
        </w:tc>
        <w:tc>
          <w:tcPr>
            <w:tcW w:w="1533" w:type="dxa"/>
            <w:tcBorders/>
            <w:shd w:fill="auto" w:val="clear"/>
            <w:vAlign w:val="bottom"/>
          </w:tcPr>
          <w:p>
            <w:pPr>
              <w:pStyle w:val="TableContents"/>
              <w:spacing w:before="0" w:after="283"/>
              <w:jc w:val="right"/>
              <w:rPr/>
            </w:pPr>
            <w:r>
              <w:rPr/>
              <w:t>2,500,000</w:t>
            </w:r>
          </w:p>
        </w:tc>
        <w:tc>
          <w:tcPr>
            <w:tcW w:w="27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531" w:type="dxa"/>
            <w:tcBorders/>
            <w:shd w:fill="auto" w:val="clear"/>
            <w:vAlign w:val="bottom"/>
          </w:tcPr>
          <w:p>
            <w:pPr>
              <w:pStyle w:val="TableContents"/>
              <w:spacing w:before="0" w:after="283"/>
              <w:jc w:val="right"/>
              <w:rPr/>
            </w:pPr>
            <w:r>
              <w:rPr/>
              <w:t>995,340,000</w:t>
            </w:r>
          </w:p>
        </w:tc>
        <w:tc>
          <w:tcPr>
            <w:tcW w:w="282" w:type="dxa"/>
            <w:tcBorders/>
            <w:shd w:fill="auto" w:val="clear"/>
            <w:vAlign w:val="bottom"/>
          </w:tcPr>
          <w:p>
            <w:pPr>
              <w:pStyle w:val="TableContents"/>
              <w:spacing w:before="0" w:after="283"/>
              <w:rPr/>
            </w:pPr>
            <w:r>
              <w:rPr/>
              <w:t> </w:t>
            </w:r>
          </w:p>
        </w:tc>
      </w:tr>
      <w:tr>
        <w:trPr/>
        <w:tc>
          <w:tcPr>
            <w:tcW w:w="1933" w:type="dxa"/>
            <w:tcBorders/>
            <w:shd w:fill="CCEEFF" w:val="clear"/>
          </w:tcPr>
          <w:p>
            <w:pPr>
              <w:pStyle w:val="TableContents"/>
              <w:spacing w:before="0" w:after="0"/>
              <w:rPr>
                <w:rFonts w:ascii="Times New Roman" w:hAnsi="Times New Roman"/>
                <w:sz w:val="18"/>
              </w:rPr>
            </w:pPr>
            <w:r>
              <w:rPr>
                <w:rFonts w:ascii="Times New Roman" w:hAnsi="Times New Roman"/>
                <w:sz w:val="18"/>
              </w:rPr>
              <w:t>Per note due 2033 (1)</w:t>
            </w:r>
          </w:p>
        </w:tc>
        <w:tc>
          <w:tcPr>
            <w:tcW w:w="30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531" w:type="dxa"/>
            <w:tcBorders/>
            <w:shd w:fill="CCEEFF" w:val="clear"/>
            <w:vAlign w:val="bottom"/>
          </w:tcPr>
          <w:p>
            <w:pPr>
              <w:pStyle w:val="TableContents"/>
              <w:spacing w:before="0" w:after="283"/>
              <w:jc w:val="right"/>
              <w:rPr/>
            </w:pPr>
            <w:r>
              <w:rPr/>
              <w:t>99.692</w:t>
            </w:r>
          </w:p>
        </w:tc>
        <w:tc>
          <w:tcPr>
            <w:tcW w:w="27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533" w:type="dxa"/>
            <w:tcBorders/>
            <w:shd w:fill="CCEEFF" w:val="clear"/>
            <w:vAlign w:val="bottom"/>
          </w:tcPr>
          <w:p>
            <w:pPr>
              <w:pStyle w:val="TableContents"/>
              <w:spacing w:before="0" w:after="283"/>
              <w:jc w:val="right"/>
              <w:rPr/>
            </w:pPr>
            <w:r>
              <w:rPr/>
              <w:t>0.400</w:t>
            </w:r>
          </w:p>
        </w:tc>
        <w:tc>
          <w:tcPr>
            <w:tcW w:w="27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531" w:type="dxa"/>
            <w:tcBorders/>
            <w:shd w:fill="CCEEFF" w:val="clear"/>
            <w:vAlign w:val="bottom"/>
          </w:tcPr>
          <w:p>
            <w:pPr>
              <w:pStyle w:val="TableContents"/>
              <w:spacing w:before="0" w:after="283"/>
              <w:jc w:val="right"/>
              <w:rPr/>
            </w:pPr>
            <w:r>
              <w:rPr/>
              <w:t>99.292</w:t>
            </w:r>
          </w:p>
        </w:tc>
        <w:tc>
          <w:tcPr>
            <w:tcW w:w="282" w:type="dxa"/>
            <w:tcBorders/>
            <w:shd w:fill="CCEEFF" w:val="clear"/>
            <w:vAlign w:val="bottom"/>
          </w:tcPr>
          <w:p>
            <w:pPr>
              <w:pStyle w:val="TableContents"/>
              <w:spacing w:before="0" w:after="283"/>
              <w:rPr/>
            </w:pPr>
            <w:r>
              <w:rPr/>
              <w:t>% </w:t>
            </w:r>
          </w:p>
        </w:tc>
      </w:tr>
      <w:tr>
        <w:trPr/>
        <w:tc>
          <w:tcPr>
            <w:tcW w:w="1933" w:type="dxa"/>
            <w:tcBorders/>
            <w:shd w:fill="auto" w:val="clear"/>
          </w:tcPr>
          <w:p>
            <w:pPr>
              <w:pStyle w:val="TableContents"/>
              <w:spacing w:before="0" w:after="0"/>
              <w:rPr>
                <w:rFonts w:ascii="Times New Roman" w:hAnsi="Times New Roman"/>
                <w:sz w:val="18"/>
              </w:rPr>
            </w:pPr>
            <w:r>
              <w:rPr>
                <w:rFonts w:ascii="Times New Roman" w:hAnsi="Times New Roman"/>
                <w:sz w:val="18"/>
              </w:rPr>
              <w:t>Total</w:t>
            </w:r>
          </w:p>
        </w:tc>
        <w:tc>
          <w:tcPr>
            <w:tcW w:w="30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531" w:type="dxa"/>
            <w:tcBorders/>
            <w:shd w:fill="auto" w:val="clear"/>
            <w:vAlign w:val="bottom"/>
          </w:tcPr>
          <w:p>
            <w:pPr>
              <w:pStyle w:val="TableContents"/>
              <w:spacing w:before="0" w:after="283"/>
              <w:jc w:val="right"/>
              <w:rPr/>
            </w:pPr>
            <w:r>
              <w:rPr/>
              <w:t>996,920,000</w:t>
            </w:r>
          </w:p>
        </w:tc>
        <w:tc>
          <w:tcPr>
            <w:tcW w:w="27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w:t>
            </w:r>
          </w:p>
        </w:tc>
        <w:tc>
          <w:tcPr>
            <w:tcW w:w="1533" w:type="dxa"/>
            <w:tcBorders/>
            <w:shd w:fill="auto" w:val="clear"/>
            <w:vAlign w:val="bottom"/>
          </w:tcPr>
          <w:p>
            <w:pPr>
              <w:pStyle w:val="TableContents"/>
              <w:spacing w:before="0" w:after="283"/>
              <w:jc w:val="right"/>
              <w:rPr/>
            </w:pPr>
            <w:r>
              <w:rPr/>
              <w:t>4,000,000</w:t>
            </w:r>
          </w:p>
        </w:tc>
        <w:tc>
          <w:tcPr>
            <w:tcW w:w="27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531" w:type="dxa"/>
            <w:tcBorders/>
            <w:shd w:fill="auto" w:val="clear"/>
            <w:vAlign w:val="bottom"/>
          </w:tcPr>
          <w:p>
            <w:pPr>
              <w:pStyle w:val="TableContents"/>
              <w:spacing w:before="0" w:after="283"/>
              <w:jc w:val="right"/>
              <w:rPr/>
            </w:pPr>
            <w:r>
              <w:rPr/>
              <w:t>992,920,000</w:t>
            </w:r>
          </w:p>
        </w:tc>
        <w:tc>
          <w:tcPr>
            <w:tcW w:w="282" w:type="dxa"/>
            <w:tcBorders/>
            <w:shd w:fill="auto" w:val="clear"/>
            <w:vAlign w:val="bottom"/>
          </w:tcPr>
          <w:p>
            <w:pPr>
              <w:pStyle w:val="TableContents"/>
              <w:spacing w:before="0" w:after="283"/>
              <w:rPr/>
            </w:pPr>
            <w:r>
              <w:rPr/>
              <w:t> </w:t>
            </w:r>
          </w:p>
        </w:tc>
      </w:tr>
      <w:tr>
        <w:trPr/>
        <w:tc>
          <w:tcPr>
            <w:tcW w:w="1933" w:type="dxa"/>
            <w:tcBorders/>
            <w:shd w:fill="CCEEFF" w:val="clear"/>
          </w:tcPr>
          <w:p>
            <w:pPr>
              <w:pStyle w:val="TableContents"/>
              <w:spacing w:before="0" w:after="0"/>
              <w:rPr>
                <w:rFonts w:ascii="Times New Roman" w:hAnsi="Times New Roman"/>
                <w:sz w:val="18"/>
              </w:rPr>
            </w:pPr>
            <w:r>
              <w:rPr>
                <w:rFonts w:ascii="Times New Roman" w:hAnsi="Times New Roman"/>
                <w:sz w:val="18"/>
              </w:rPr>
              <w:t>Per note due 2053 (1)</w:t>
            </w:r>
          </w:p>
        </w:tc>
        <w:tc>
          <w:tcPr>
            <w:tcW w:w="30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531" w:type="dxa"/>
            <w:tcBorders/>
            <w:shd w:fill="CCEEFF" w:val="clear"/>
            <w:vAlign w:val="bottom"/>
          </w:tcPr>
          <w:p>
            <w:pPr>
              <w:pStyle w:val="TableContents"/>
              <w:spacing w:before="0" w:after="283"/>
              <w:jc w:val="right"/>
              <w:rPr/>
            </w:pPr>
            <w:r>
              <w:rPr/>
              <w:t>99.569</w:t>
            </w:r>
          </w:p>
        </w:tc>
        <w:tc>
          <w:tcPr>
            <w:tcW w:w="27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533" w:type="dxa"/>
            <w:tcBorders/>
            <w:shd w:fill="CCEEFF" w:val="clear"/>
            <w:vAlign w:val="bottom"/>
          </w:tcPr>
          <w:p>
            <w:pPr>
              <w:pStyle w:val="TableContents"/>
              <w:spacing w:before="0" w:after="283"/>
              <w:jc w:val="right"/>
              <w:rPr/>
            </w:pPr>
            <w:r>
              <w:rPr/>
              <w:t>0.750</w:t>
            </w:r>
          </w:p>
        </w:tc>
        <w:tc>
          <w:tcPr>
            <w:tcW w:w="27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531" w:type="dxa"/>
            <w:tcBorders/>
            <w:shd w:fill="CCEEFF" w:val="clear"/>
            <w:vAlign w:val="bottom"/>
          </w:tcPr>
          <w:p>
            <w:pPr>
              <w:pStyle w:val="TableContents"/>
              <w:spacing w:before="0" w:after="283"/>
              <w:jc w:val="right"/>
              <w:rPr/>
            </w:pPr>
            <w:r>
              <w:rPr/>
              <w:t>98.819</w:t>
            </w:r>
          </w:p>
        </w:tc>
        <w:tc>
          <w:tcPr>
            <w:tcW w:w="282" w:type="dxa"/>
            <w:tcBorders/>
            <w:shd w:fill="CCEEFF" w:val="clear"/>
            <w:vAlign w:val="bottom"/>
          </w:tcPr>
          <w:p>
            <w:pPr>
              <w:pStyle w:val="TableContents"/>
              <w:spacing w:before="0" w:after="283"/>
              <w:rPr/>
            </w:pPr>
            <w:r>
              <w:rPr/>
              <w:t>% </w:t>
            </w:r>
          </w:p>
        </w:tc>
      </w:tr>
      <w:tr>
        <w:trPr/>
        <w:tc>
          <w:tcPr>
            <w:tcW w:w="1933" w:type="dxa"/>
            <w:tcBorders/>
            <w:shd w:fill="auto" w:val="clear"/>
          </w:tcPr>
          <w:p>
            <w:pPr>
              <w:pStyle w:val="TableContents"/>
              <w:spacing w:before="0" w:after="0"/>
              <w:rPr>
                <w:rFonts w:ascii="Times New Roman" w:hAnsi="Times New Roman"/>
                <w:sz w:val="18"/>
              </w:rPr>
            </w:pPr>
            <w:r>
              <w:rPr>
                <w:rFonts w:ascii="Times New Roman" w:hAnsi="Times New Roman"/>
                <w:sz w:val="18"/>
              </w:rPr>
              <w:t>Total</w:t>
            </w:r>
          </w:p>
        </w:tc>
        <w:tc>
          <w:tcPr>
            <w:tcW w:w="30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531" w:type="dxa"/>
            <w:tcBorders/>
            <w:shd w:fill="auto" w:val="clear"/>
            <w:vAlign w:val="bottom"/>
          </w:tcPr>
          <w:p>
            <w:pPr>
              <w:pStyle w:val="TableContents"/>
              <w:spacing w:before="0" w:after="283"/>
              <w:jc w:val="right"/>
              <w:rPr/>
            </w:pPr>
            <w:r>
              <w:rPr/>
              <w:t>1,593,104,000</w:t>
            </w:r>
          </w:p>
        </w:tc>
        <w:tc>
          <w:tcPr>
            <w:tcW w:w="27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w:t>
            </w:r>
          </w:p>
        </w:tc>
        <w:tc>
          <w:tcPr>
            <w:tcW w:w="1533" w:type="dxa"/>
            <w:tcBorders/>
            <w:shd w:fill="auto" w:val="clear"/>
            <w:vAlign w:val="bottom"/>
          </w:tcPr>
          <w:p>
            <w:pPr>
              <w:pStyle w:val="TableContents"/>
              <w:spacing w:before="0" w:after="283"/>
              <w:jc w:val="right"/>
              <w:rPr/>
            </w:pPr>
            <w:r>
              <w:rPr/>
              <w:t>12,000,000</w:t>
            </w:r>
          </w:p>
        </w:tc>
        <w:tc>
          <w:tcPr>
            <w:tcW w:w="27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531" w:type="dxa"/>
            <w:tcBorders/>
            <w:shd w:fill="auto" w:val="clear"/>
            <w:vAlign w:val="bottom"/>
          </w:tcPr>
          <w:p>
            <w:pPr>
              <w:pStyle w:val="TableContents"/>
              <w:spacing w:before="0" w:after="283"/>
              <w:jc w:val="right"/>
              <w:rPr/>
            </w:pPr>
            <w:r>
              <w:rPr/>
              <w:t>1,581,104,000</w:t>
            </w:r>
          </w:p>
        </w:tc>
        <w:tc>
          <w:tcPr>
            <w:tcW w:w="282" w:type="dxa"/>
            <w:tcBorders/>
            <w:shd w:fill="auto" w:val="clear"/>
            <w:vAlign w:val="bottom"/>
          </w:tcPr>
          <w:p>
            <w:pPr>
              <w:pStyle w:val="TableContents"/>
              <w:spacing w:before="0" w:after="283"/>
              <w:rPr/>
            </w:pPr>
            <w:r>
              <w:rPr/>
              <w:t> </w:t>
            </w:r>
          </w:p>
        </w:tc>
      </w:tr>
      <w:tr>
        <w:trPr/>
        <w:tc>
          <w:tcPr>
            <w:tcW w:w="1933" w:type="dxa"/>
            <w:tcBorders/>
            <w:shd w:fill="CCEEFF" w:val="clear"/>
          </w:tcPr>
          <w:p>
            <w:pPr>
              <w:pStyle w:val="TableContents"/>
              <w:spacing w:before="0" w:after="0"/>
              <w:rPr>
                <w:rFonts w:ascii="Times New Roman" w:hAnsi="Times New Roman"/>
                <w:sz w:val="18"/>
              </w:rPr>
            </w:pPr>
            <w:r>
              <w:rPr>
                <w:rFonts w:ascii="Times New Roman" w:hAnsi="Times New Roman"/>
                <w:sz w:val="18"/>
              </w:rPr>
              <w:t>Per note due 2064 (1)</w:t>
            </w:r>
          </w:p>
        </w:tc>
        <w:tc>
          <w:tcPr>
            <w:tcW w:w="305"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531" w:type="dxa"/>
            <w:tcBorders/>
            <w:shd w:fill="CCEEFF" w:val="clear"/>
            <w:vAlign w:val="bottom"/>
          </w:tcPr>
          <w:p>
            <w:pPr>
              <w:pStyle w:val="TableContents"/>
              <w:spacing w:before="0" w:after="283"/>
              <w:jc w:val="right"/>
              <w:rPr/>
            </w:pPr>
            <w:r>
              <w:rPr/>
              <w:t>99.530</w:t>
            </w:r>
          </w:p>
        </w:tc>
        <w:tc>
          <w:tcPr>
            <w:tcW w:w="27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89" w:type="dxa"/>
            <w:tcBorders/>
            <w:shd w:fill="CCEEFF" w:val="clear"/>
            <w:vAlign w:val="bottom"/>
          </w:tcPr>
          <w:p>
            <w:pPr>
              <w:pStyle w:val="TableContents"/>
              <w:spacing w:before="0" w:after="283"/>
              <w:rPr/>
            </w:pPr>
            <w:r>
              <w:rPr/>
              <w:t> </w:t>
            </w:r>
          </w:p>
        </w:tc>
        <w:tc>
          <w:tcPr>
            <w:tcW w:w="1533" w:type="dxa"/>
            <w:tcBorders/>
            <w:shd w:fill="CCEEFF" w:val="clear"/>
            <w:vAlign w:val="bottom"/>
          </w:tcPr>
          <w:p>
            <w:pPr>
              <w:pStyle w:val="TableContents"/>
              <w:spacing w:before="0" w:after="283"/>
              <w:jc w:val="right"/>
              <w:rPr/>
            </w:pPr>
            <w:r>
              <w:rPr/>
              <w:t>0.800</w:t>
            </w:r>
          </w:p>
        </w:tc>
        <w:tc>
          <w:tcPr>
            <w:tcW w:w="275" w:type="dxa"/>
            <w:tcBorders/>
            <w:shd w:fill="CCEEFF" w:val="clear"/>
            <w:vAlign w:val="bottom"/>
          </w:tcPr>
          <w:p>
            <w:pPr>
              <w:pStyle w:val="TableContents"/>
              <w:spacing w:before="0" w:after="283"/>
              <w:rPr/>
            </w:pPr>
            <w:r>
              <w:rPr/>
              <w:t>% </w:t>
            </w:r>
          </w:p>
        </w:tc>
        <w:tc>
          <w:tcPr>
            <w:tcW w:w="219"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531" w:type="dxa"/>
            <w:tcBorders/>
            <w:shd w:fill="CCEEFF" w:val="clear"/>
            <w:vAlign w:val="bottom"/>
          </w:tcPr>
          <w:p>
            <w:pPr>
              <w:pStyle w:val="TableContents"/>
              <w:spacing w:before="0" w:after="283"/>
              <w:jc w:val="right"/>
              <w:rPr/>
            </w:pPr>
            <w:r>
              <w:rPr/>
              <w:t>98.730</w:t>
            </w:r>
          </w:p>
        </w:tc>
        <w:tc>
          <w:tcPr>
            <w:tcW w:w="282" w:type="dxa"/>
            <w:tcBorders/>
            <w:shd w:fill="CCEEFF" w:val="clear"/>
            <w:vAlign w:val="bottom"/>
          </w:tcPr>
          <w:p>
            <w:pPr>
              <w:pStyle w:val="TableContents"/>
              <w:spacing w:before="0" w:after="283"/>
              <w:rPr/>
            </w:pPr>
            <w:r>
              <w:rPr/>
              <w:t>% </w:t>
            </w:r>
          </w:p>
        </w:tc>
      </w:tr>
      <w:tr>
        <w:trPr/>
        <w:tc>
          <w:tcPr>
            <w:tcW w:w="1933" w:type="dxa"/>
            <w:tcBorders/>
            <w:shd w:fill="auto" w:val="clear"/>
          </w:tcPr>
          <w:p>
            <w:pPr>
              <w:pStyle w:val="TableContents"/>
              <w:spacing w:before="0" w:after="0"/>
              <w:rPr>
                <w:rFonts w:ascii="Times New Roman" w:hAnsi="Times New Roman"/>
                <w:sz w:val="18"/>
              </w:rPr>
            </w:pPr>
            <w:r>
              <w:rPr>
                <w:rFonts w:ascii="Times New Roman" w:hAnsi="Times New Roman"/>
                <w:sz w:val="18"/>
              </w:rPr>
              <w:t>Total</w:t>
            </w:r>
          </w:p>
        </w:tc>
        <w:tc>
          <w:tcPr>
            <w:tcW w:w="305"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531" w:type="dxa"/>
            <w:tcBorders/>
            <w:shd w:fill="auto" w:val="clear"/>
            <w:vAlign w:val="bottom"/>
          </w:tcPr>
          <w:p>
            <w:pPr>
              <w:pStyle w:val="TableContents"/>
              <w:spacing w:before="0" w:after="283"/>
              <w:jc w:val="right"/>
              <w:rPr/>
            </w:pPr>
            <w:r>
              <w:rPr/>
              <w:t>1,393,420,000</w:t>
            </w:r>
          </w:p>
        </w:tc>
        <w:tc>
          <w:tcPr>
            <w:tcW w:w="27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89" w:type="dxa"/>
            <w:tcBorders/>
            <w:shd w:fill="auto" w:val="clear"/>
            <w:vAlign w:val="bottom"/>
          </w:tcPr>
          <w:p>
            <w:pPr>
              <w:pStyle w:val="TableContents"/>
              <w:spacing w:before="0" w:after="283"/>
              <w:rPr/>
            </w:pPr>
            <w:r>
              <w:rPr/>
              <w:t>$</w:t>
            </w:r>
          </w:p>
        </w:tc>
        <w:tc>
          <w:tcPr>
            <w:tcW w:w="1533" w:type="dxa"/>
            <w:tcBorders/>
            <w:shd w:fill="auto" w:val="clear"/>
            <w:vAlign w:val="bottom"/>
          </w:tcPr>
          <w:p>
            <w:pPr>
              <w:pStyle w:val="TableContents"/>
              <w:spacing w:before="0" w:after="283"/>
              <w:jc w:val="right"/>
              <w:rPr/>
            </w:pPr>
            <w:r>
              <w:rPr/>
              <w:t>11,200,000</w:t>
            </w:r>
          </w:p>
        </w:tc>
        <w:tc>
          <w:tcPr>
            <w:tcW w:w="275" w:type="dxa"/>
            <w:tcBorders/>
            <w:shd w:fill="auto" w:val="clear"/>
            <w:vAlign w:val="bottom"/>
          </w:tcPr>
          <w:p>
            <w:pPr>
              <w:pStyle w:val="TableContents"/>
              <w:spacing w:before="0" w:after="283"/>
              <w:rPr/>
            </w:pPr>
            <w:r>
              <w:rPr/>
              <w:t> </w:t>
            </w:r>
          </w:p>
        </w:tc>
        <w:tc>
          <w:tcPr>
            <w:tcW w:w="219"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531" w:type="dxa"/>
            <w:tcBorders/>
            <w:shd w:fill="auto" w:val="clear"/>
            <w:vAlign w:val="bottom"/>
          </w:tcPr>
          <w:p>
            <w:pPr>
              <w:pStyle w:val="TableContents"/>
              <w:spacing w:before="0" w:after="283"/>
              <w:jc w:val="right"/>
              <w:rPr/>
            </w:pPr>
            <w:r>
              <w:rPr/>
              <w:t>1,382,220,000</w:t>
            </w:r>
          </w:p>
        </w:tc>
        <w:tc>
          <w:tcPr>
            <w:tcW w:w="282" w:type="dxa"/>
            <w:tcBorders/>
            <w:shd w:fill="auto" w:val="clear"/>
            <w:vAlign w:val="bottom"/>
          </w:tcPr>
          <w:p>
            <w:pPr>
              <w:pStyle w:val="TableContents"/>
              <w:spacing w:before="0" w:after="283"/>
              <w:rPr/>
            </w:pPr>
            <w:r>
              <w:rPr/>
              <w:t> </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18"/>
              </w:rPr>
            </w:pPr>
            <w:r>
              <w:rPr>
                <w:rFonts w:ascii="Times New Roman" w:hAnsi="Times New Roman"/>
                <w:sz w:val="18"/>
              </w:rPr>
              <w:t xml:space="preserve">Plus accrued interest, if any, from May 9, 2023, if settlement occurs after that date. </w:t>
            </w:r>
          </w:p>
        </w:tc>
      </w:tr>
    </w:tbl>
    <w:p>
      <w:pPr>
        <w:pStyle w:val="TextBody"/>
        <w:spacing w:before="120" w:after="0"/>
        <w:jc w:val="left"/>
        <w:rPr>
          <w:rFonts w:ascii="Times New Roman" w:hAnsi="Times New Roman"/>
          <w:b/>
          <w:sz w:val="18"/>
        </w:rPr>
      </w:pPr>
      <w:r>
        <w:rPr>
          <w:rFonts w:ascii="Times New Roman" w:hAnsi="Times New Roman"/>
          <w:b/>
          <w:sz w:val="18"/>
        </w:rPr>
        <w:t xml:space="preserve">Neither the Securities and Exchange Commission (the SEC or the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left"/>
        <w:rPr>
          <w:rFonts w:ascii="Times New Roman" w:hAnsi="Times New Roman"/>
          <w:sz w:val="18"/>
        </w:rPr>
      </w:pPr>
      <w:r>
        <w:rPr>
          <w:rFonts w:ascii="Times New Roman" w:hAnsi="Times New Roman"/>
          <w:sz w:val="18"/>
        </w:rPr>
        <w:t xml:space="preserve">The notes will be ready for delivery only through The Depository Trust Company and its participants, including Euroclear SA/NV (Euroclear) and Clearstream Banking SA (Clearstream), in book-entry form on or about May 9, 2023 which is the sixth business day following the date of this prospectus supplement. See Underwriting.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20" w:after="0"/>
        <w:jc w:val="center"/>
        <w:rPr>
          <w:rFonts w:ascii="Times New Roman" w:hAnsi="Times New Roman"/>
          <w:b/>
          <w:i/>
          <w:sz w:val="18"/>
        </w:rPr>
      </w:pPr>
      <w:r>
        <w:rPr>
          <w:rFonts w:ascii="Times New Roman" w:hAnsi="Times New Roman"/>
          <w:b/>
          <w:i/>
          <w:sz w:val="18"/>
        </w:rPr>
        <w:t xml:space="preserve">Joint Book-Running Managers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347"/>
        <w:gridCol w:w="102"/>
        <w:gridCol w:w="2551"/>
        <w:gridCol w:w="102"/>
        <w:gridCol w:w="2551"/>
        <w:gridCol w:w="102"/>
        <w:gridCol w:w="2450"/>
      </w:tblGrid>
      <w:tr>
        <w:trPr/>
        <w:tc>
          <w:tcPr>
            <w:tcW w:w="234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2551"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2551"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2450" w:type="dxa"/>
            <w:tcBorders/>
            <w:shd w:fill="auto" w:val="clear"/>
            <w:vAlign w:val="center"/>
          </w:tcPr>
          <w:p>
            <w:pPr>
              <w:pStyle w:val="TableContents"/>
              <w:spacing w:before="0" w:after="283"/>
              <w:rPr>
                <w:sz w:val="4"/>
                <w:szCs w:val="4"/>
              </w:rPr>
            </w:pPr>
            <w:r>
              <w:rPr>
                <w:sz w:val="4"/>
                <w:szCs w:val="4"/>
              </w:rPr>
            </w:r>
          </w:p>
        </w:tc>
      </w:tr>
      <w:tr>
        <w:trPr/>
        <w:tc>
          <w:tcPr>
            <w:tcW w:w="2347" w:type="dxa"/>
            <w:tcBorders/>
            <w:shd w:fill="auto" w:val="clear"/>
          </w:tcPr>
          <w:p>
            <w:pPr>
              <w:pStyle w:val="TableContents"/>
              <w:spacing w:before="0" w:after="283"/>
              <w:jc w:val="center"/>
              <w:rPr>
                <w:b/>
              </w:rPr>
            </w:pPr>
            <w:r>
              <w:rPr>
                <w:b/>
              </w:rPr>
              <w:t>Goldman Sachs &amp; Co. LLC</w:t>
            </w:r>
          </w:p>
        </w:tc>
        <w:tc>
          <w:tcPr>
            <w:tcW w:w="102" w:type="dxa"/>
            <w:tcBorders/>
            <w:shd w:fill="auto" w:val="clear"/>
            <w:vAlign w:val="bottom"/>
          </w:tcPr>
          <w:p>
            <w:pPr>
              <w:pStyle w:val="TableContents"/>
              <w:spacing w:before="0" w:after="283"/>
              <w:rPr/>
            </w:pPr>
            <w:r>
              <w:rPr/>
              <w:t> </w:t>
            </w:r>
          </w:p>
        </w:tc>
        <w:tc>
          <w:tcPr>
            <w:tcW w:w="2551" w:type="dxa"/>
            <w:tcBorders/>
            <w:shd w:fill="auto" w:val="clear"/>
          </w:tcPr>
          <w:p>
            <w:pPr>
              <w:pStyle w:val="TableContents"/>
              <w:spacing w:before="0" w:after="283"/>
              <w:jc w:val="center"/>
              <w:rPr>
                <w:b/>
              </w:rPr>
            </w:pPr>
            <w:r>
              <w:rPr>
                <w:b/>
              </w:rPr>
              <w:t>Morgan Stanley</w:t>
            </w:r>
          </w:p>
        </w:tc>
        <w:tc>
          <w:tcPr>
            <w:tcW w:w="102" w:type="dxa"/>
            <w:tcBorders/>
            <w:shd w:fill="auto" w:val="clear"/>
            <w:vAlign w:val="bottom"/>
          </w:tcPr>
          <w:p>
            <w:pPr>
              <w:pStyle w:val="TableContents"/>
              <w:spacing w:before="0" w:after="283"/>
              <w:rPr/>
            </w:pPr>
            <w:r>
              <w:rPr/>
              <w:t> </w:t>
            </w:r>
          </w:p>
        </w:tc>
        <w:tc>
          <w:tcPr>
            <w:tcW w:w="2551" w:type="dxa"/>
            <w:tcBorders/>
            <w:shd w:fill="auto" w:val="clear"/>
          </w:tcPr>
          <w:p>
            <w:pPr>
              <w:pStyle w:val="TableContents"/>
              <w:spacing w:before="0" w:after="283"/>
              <w:jc w:val="center"/>
              <w:rPr>
                <w:b/>
              </w:rPr>
            </w:pPr>
            <w:r>
              <w:rPr>
                <w:b/>
              </w:rPr>
              <w:t>SMBC Nikko</w:t>
            </w:r>
          </w:p>
        </w:tc>
        <w:tc>
          <w:tcPr>
            <w:tcW w:w="102" w:type="dxa"/>
            <w:tcBorders/>
            <w:shd w:fill="auto" w:val="clear"/>
            <w:vAlign w:val="bottom"/>
          </w:tcPr>
          <w:p>
            <w:pPr>
              <w:pStyle w:val="TableContents"/>
              <w:spacing w:before="0" w:after="283"/>
              <w:rPr/>
            </w:pPr>
            <w:r>
              <w:rPr/>
              <w:t> </w:t>
            </w:r>
          </w:p>
        </w:tc>
        <w:tc>
          <w:tcPr>
            <w:tcW w:w="2450" w:type="dxa"/>
            <w:tcBorders/>
            <w:shd w:fill="auto" w:val="clear"/>
          </w:tcPr>
          <w:p>
            <w:pPr>
              <w:pStyle w:val="TableContents"/>
              <w:spacing w:before="0" w:after="283"/>
              <w:jc w:val="center"/>
              <w:rPr>
                <w:b/>
              </w:rPr>
            </w:pPr>
            <w:r>
              <w:rPr>
                <w:b/>
              </w:rPr>
              <w:t>Wells Fargo Securities</w:t>
            </w:r>
          </w:p>
        </w:tc>
      </w:tr>
      <w:tr>
        <w:trPr>
          <w:trHeight w:val="120" w:hRule="atLeast"/>
        </w:trPr>
        <w:tc>
          <w:tcPr>
            <w:tcW w:w="5000" w:type="dxa"/>
            <w:gridSpan w:val="3"/>
            <w:tcBorders/>
            <w:shd w:fill="auto" w:val="clear"/>
            <w:vAlign w:val="center"/>
          </w:tcPr>
          <w:p>
            <w:pPr>
              <w:pStyle w:val="TableContents"/>
              <w:spacing w:before="0" w:after="283"/>
              <w:rPr>
                <w:sz w:val="4"/>
                <w:szCs w:val="4"/>
              </w:rPr>
            </w:pPr>
            <w:r>
              <w:rPr>
                <w:sz w:val="4"/>
                <w:szCs w:val="4"/>
              </w:rPr>
            </w:r>
          </w:p>
        </w:tc>
        <w:tc>
          <w:tcPr>
            <w:tcW w:w="5205" w:type="dxa"/>
            <w:gridSpan w:val="4"/>
            <w:tcBorders/>
            <w:shd w:fill="auto" w:val="clear"/>
            <w:vAlign w:val="center"/>
          </w:tcPr>
          <w:p>
            <w:pPr>
              <w:pStyle w:val="TableContents"/>
              <w:spacing w:before="0" w:after="283"/>
              <w:rPr>
                <w:sz w:val="4"/>
                <w:szCs w:val="4"/>
              </w:rPr>
            </w:pPr>
            <w:r>
              <w:rPr>
                <w:sz w:val="4"/>
                <w:szCs w:val="4"/>
              </w:rPr>
            </w:r>
          </w:p>
        </w:tc>
      </w:tr>
      <w:tr>
        <w:trPr/>
        <w:tc>
          <w:tcPr>
            <w:tcW w:w="5000" w:type="dxa"/>
            <w:gridSpan w:val="3"/>
            <w:tcBorders/>
            <w:shd w:fill="auto" w:val="clear"/>
          </w:tcPr>
          <w:p>
            <w:pPr>
              <w:pStyle w:val="TableContents"/>
              <w:spacing w:before="0" w:after="283"/>
              <w:jc w:val="center"/>
              <w:rPr>
                <w:b/>
              </w:rPr>
            </w:pPr>
            <w:r>
              <w:rPr>
                <w:b/>
              </w:rPr>
              <w:t>Mizuho</w:t>
            </w:r>
          </w:p>
        </w:tc>
        <w:tc>
          <w:tcPr>
            <w:tcW w:w="102" w:type="dxa"/>
            <w:tcBorders/>
            <w:shd w:fill="auto" w:val="clear"/>
            <w:vAlign w:val="bottom"/>
          </w:tcPr>
          <w:p>
            <w:pPr>
              <w:pStyle w:val="TableContents"/>
              <w:spacing w:before="0" w:after="283"/>
              <w:rPr/>
            </w:pPr>
            <w:r>
              <w:rPr/>
              <w:t> </w:t>
            </w:r>
          </w:p>
        </w:tc>
        <w:tc>
          <w:tcPr>
            <w:tcW w:w="5103" w:type="dxa"/>
            <w:gridSpan w:val="3"/>
            <w:tcBorders/>
            <w:shd w:fill="auto" w:val="clear"/>
          </w:tcPr>
          <w:p>
            <w:pPr>
              <w:pStyle w:val="TableContents"/>
              <w:spacing w:before="0" w:after="283"/>
              <w:jc w:val="center"/>
              <w:rPr>
                <w:b/>
              </w:rPr>
            </w:pPr>
            <w:r>
              <w:rPr>
                <w:b/>
              </w:rPr>
              <w:t>US Bancorp</w:t>
            </w:r>
          </w:p>
        </w:tc>
      </w:tr>
    </w:tbl>
    <w:p>
      <w:pPr>
        <w:pStyle w:val="TextBody"/>
        <w:spacing w:before="120" w:after="0"/>
        <w:jc w:val="center"/>
        <w:rPr>
          <w:rFonts w:ascii="Times New Roman" w:hAnsi="Times New Roman"/>
          <w:b/>
          <w:sz w:val="18"/>
        </w:rPr>
      </w:pPr>
      <w:r>
        <w:rPr>
          <w:rFonts w:ascii="Times New Roman" w:hAnsi="Times New Roman"/>
          <w:b/>
          <w:sz w:val="18"/>
        </w:rPr>
        <w:t xml:space="preserve">The date of this prospectus supplement is May 1, 2023.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453"/>
        <w:gridCol w:w="145"/>
        <w:gridCol w:w="60"/>
        <w:gridCol w:w="485"/>
        <w:gridCol w:w="62"/>
      </w:tblGrid>
      <w:tr>
        <w:trPr/>
        <w:tc>
          <w:tcPr>
            <w:tcW w:w="945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453"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545" w:type="dxa"/>
            <w:gridSpan w:val="2"/>
            <w:tcBorders>
              <w:bottom w:val="single" w:sz="8" w:space="0" w:color="000000"/>
            </w:tcBorders>
            <w:shd w:fill="auto" w:val="clear"/>
            <w:tcMar>
              <w:bottom w:w="28" w:type="dxa"/>
            </w:tcMar>
            <w:vAlign w:val="bottom"/>
          </w:tcPr>
          <w:p>
            <w:pPr>
              <w:pStyle w:val="TableContents"/>
              <w:spacing w:before="0" w:after="283"/>
              <w:jc w:val="center"/>
              <w:rPr/>
            </w:pPr>
            <w:r>
              <w:rPr/>
              <w:t>Page</w:t>
            </w:r>
          </w:p>
        </w:tc>
        <w:tc>
          <w:tcPr>
            <w:tcW w:w="62" w:type="dxa"/>
            <w:tcBorders/>
            <w:shd w:fill="auto" w:val="clear"/>
            <w:vAlign w:val="bottom"/>
          </w:tcPr>
          <w:p>
            <w:pPr>
              <w:pStyle w:val="TableContents"/>
              <w:spacing w:before="0" w:after="283"/>
              <w:rPr/>
            </w:pPr>
            <w:r>
              <w:rPr/>
              <w:t> </w:t>
            </w:r>
          </w:p>
        </w:tc>
      </w:tr>
      <w:tr>
        <w:trPr/>
        <w:tc>
          <w:tcPr>
            <w:tcW w:w="10143" w:type="dxa"/>
            <w:gridSpan w:val="4"/>
            <w:tcBorders/>
            <w:shd w:fill="auto" w:val="clear"/>
          </w:tcPr>
          <w:p>
            <w:pPr>
              <w:pStyle w:val="TableContents"/>
              <w:spacing w:before="0" w:after="283"/>
              <w:jc w:val="center"/>
              <w:rPr>
                <w:b/>
              </w:rPr>
            </w:pPr>
            <w:r>
              <w:rPr>
                <w:b/>
              </w:rPr>
              <w:t>Prospectus Supplement</w:t>
            </w:r>
          </w:p>
        </w:tc>
        <w:tc>
          <w:tcPr>
            <w:tcW w:w="62" w:type="dxa"/>
            <w:tcBorders/>
            <w:shd w:fill="auto" w:val="clear"/>
          </w:tcPr>
          <w:p>
            <w:pPr>
              <w:pStyle w:val="TableContents"/>
              <w:spacing w:before="0" w:after="0"/>
              <w:rPr/>
            </w:pPr>
            <w:r>
              <w:rPr/>
              <w:t> </w:t>
            </w:r>
          </w:p>
        </w:tc>
      </w:tr>
      <w:tr>
        <w:trPr>
          <w:trHeight w:val="120" w:hRule="atLeast"/>
        </w:trPr>
        <w:tc>
          <w:tcPr>
            <w:tcW w:w="9453" w:type="dxa"/>
            <w:tcBorders/>
            <w:shd w:fill="auto" w:val="clear"/>
            <w:vAlign w:val="center"/>
          </w:tcPr>
          <w:p>
            <w:pPr>
              <w:pStyle w:val="TableContents"/>
              <w:spacing w:before="0" w:after="283"/>
              <w:rPr>
                <w:sz w:val="4"/>
                <w:szCs w:val="4"/>
              </w:rPr>
            </w:pPr>
            <w:r>
              <w:rPr>
                <w:sz w:val="4"/>
                <w:szCs w:val="4"/>
              </w:rPr>
            </w:r>
          </w:p>
        </w:tc>
        <w:tc>
          <w:tcPr>
            <w:tcW w:w="752" w:type="dxa"/>
            <w:gridSpan w:val="4"/>
            <w:tcBorders/>
            <w:shd w:fill="auto" w:val="clear"/>
            <w:vAlign w:val="center"/>
          </w:tcPr>
          <w:p>
            <w:pPr>
              <w:pStyle w:val="TableContents"/>
              <w:spacing w:before="0" w:after="283"/>
              <w:rPr>
                <w:sz w:val="4"/>
                <w:szCs w:val="4"/>
              </w:rPr>
            </w:pPr>
            <w:r>
              <w:rPr>
                <w:sz w:val="4"/>
                <w:szCs w:val="4"/>
              </w:rPr>
            </w:r>
          </w:p>
        </w:tc>
      </w:tr>
      <w:tr>
        <w:trPr/>
        <w:tc>
          <w:tcPr>
            <w:tcW w:w="9453" w:type="dxa"/>
            <w:tcBorders/>
            <w:shd w:fill="auto" w:val="clear"/>
          </w:tcPr>
          <w:p>
            <w:pPr>
              <w:pStyle w:val="TableContents"/>
              <w:spacing w:before="0" w:after="0"/>
              <w:rPr/>
            </w:pPr>
            <w:hyperlink w:anchor="srom49739_1">
              <w:r>
                <w:rPr>
                  <w:rStyle w:val="InternetLink"/>
                  <w:rFonts w:ascii="Times New Roman" w:hAnsi="Times New Roman"/>
                  <w:sz w:val="20"/>
                </w:rPr>
                <w:t>Where You Can Find More Information</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ii</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srom49739_2">
              <w:r>
                <w:rPr>
                  <w:rStyle w:val="InternetLink"/>
                  <w:rFonts w:ascii="Times New Roman" w:hAnsi="Times New Roman"/>
                  <w:sz w:val="20"/>
                </w:rPr>
                <w:t>Prospectus Supplement Summary</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S-1</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srom49739_3">
              <w:r>
                <w:rPr>
                  <w:rStyle w:val="InternetLink"/>
                  <w:rFonts w:ascii="Times New Roman" w:hAnsi="Times New Roman"/>
                  <w:sz w:val="20"/>
                </w:rPr>
                <w:t>Use of Proceeds</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S-5</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srom49739_4">
              <w:r>
                <w:rPr>
                  <w:rStyle w:val="InternetLink"/>
                  <w:rFonts w:ascii="Times New Roman" w:hAnsi="Times New Roman"/>
                  <w:sz w:val="20"/>
                </w:rPr>
                <w:t>Description of the Notes</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S-6</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srom49739_5">
              <w:r>
                <w:rPr>
                  <w:rStyle w:val="InternetLink"/>
                  <w:rFonts w:ascii="Times New Roman" w:hAnsi="Times New Roman"/>
                  <w:sz w:val="20"/>
                </w:rPr>
                <w:t>Material U.S. Federal Income Tax Consequences for Non-U.S. Holders</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S-12</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srom49739_6">
              <w:r>
                <w:rPr>
                  <w:rStyle w:val="InternetLink"/>
                  <w:rFonts w:ascii="Times New Roman" w:hAnsi="Times New Roman"/>
                  <w:sz w:val="20"/>
                </w:rPr>
                <w:t>Underwriting</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S-15</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srom49739_7">
              <w:r>
                <w:rPr>
                  <w:rStyle w:val="InternetLink"/>
                  <w:rFonts w:ascii="Times New Roman" w:hAnsi="Times New Roman"/>
                  <w:sz w:val="20"/>
                </w:rPr>
                <w:t>Legal Matters</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S-22</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srom49739_8">
              <w:r>
                <w:rPr>
                  <w:rStyle w:val="InternetLink"/>
                  <w:rFonts w:ascii="Times New Roman" w:hAnsi="Times New Roman"/>
                  <w:sz w:val="20"/>
                </w:rPr>
                <w:t>Experts</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S-22</w:t>
            </w:r>
          </w:p>
        </w:tc>
        <w:tc>
          <w:tcPr>
            <w:tcW w:w="62" w:type="dxa"/>
            <w:tcBorders/>
            <w:shd w:fill="auto" w:val="clear"/>
            <w:vAlign w:val="bottom"/>
          </w:tcPr>
          <w:p>
            <w:pPr>
              <w:pStyle w:val="TableContents"/>
              <w:spacing w:before="0" w:after="283"/>
              <w:rPr/>
            </w:pPr>
            <w:r>
              <w:rPr/>
              <w:t> </w:t>
            </w:r>
          </w:p>
        </w:tc>
      </w:tr>
      <w:tr>
        <w:trPr>
          <w:trHeight w:val="120" w:hRule="atLeast"/>
        </w:trPr>
        <w:tc>
          <w:tcPr>
            <w:tcW w:w="10205" w:type="dxa"/>
            <w:gridSpan w:val="5"/>
            <w:tcBorders/>
            <w:shd w:fill="auto" w:val="clear"/>
            <w:vAlign w:val="center"/>
          </w:tcPr>
          <w:p>
            <w:pPr>
              <w:pStyle w:val="TableContents"/>
              <w:spacing w:before="0" w:after="283"/>
              <w:rPr>
                <w:sz w:val="4"/>
                <w:szCs w:val="4"/>
              </w:rPr>
            </w:pPr>
            <w:r>
              <w:rPr>
                <w:sz w:val="4"/>
                <w:szCs w:val="4"/>
              </w:rPr>
            </w:r>
          </w:p>
        </w:tc>
      </w:tr>
      <w:tr>
        <w:trPr/>
        <w:tc>
          <w:tcPr>
            <w:tcW w:w="10143" w:type="dxa"/>
            <w:gridSpan w:val="4"/>
            <w:tcBorders/>
            <w:shd w:fill="auto" w:val="clear"/>
          </w:tcPr>
          <w:p>
            <w:pPr>
              <w:pStyle w:val="TableContents"/>
              <w:spacing w:before="0" w:after="283"/>
              <w:jc w:val="center"/>
              <w:rPr>
                <w:b/>
              </w:rPr>
            </w:pPr>
            <w:r>
              <w:rPr>
                <w:b/>
              </w:rPr>
              <w:t>Prospectus</w:t>
            </w:r>
          </w:p>
        </w:tc>
        <w:tc>
          <w:tcPr>
            <w:tcW w:w="62" w:type="dxa"/>
            <w:tcBorders/>
            <w:shd w:fill="auto" w:val="clear"/>
          </w:tcPr>
          <w:p>
            <w:pPr>
              <w:pStyle w:val="TableContents"/>
              <w:spacing w:before="0" w:after="0"/>
              <w:rPr/>
            </w:pPr>
            <w:r>
              <w:rPr/>
              <w:t> </w:t>
            </w:r>
          </w:p>
        </w:tc>
      </w:tr>
      <w:tr>
        <w:trPr>
          <w:trHeight w:val="120" w:hRule="atLeast"/>
        </w:trPr>
        <w:tc>
          <w:tcPr>
            <w:tcW w:w="9453" w:type="dxa"/>
            <w:tcBorders/>
            <w:shd w:fill="auto" w:val="clear"/>
            <w:vAlign w:val="center"/>
          </w:tcPr>
          <w:p>
            <w:pPr>
              <w:pStyle w:val="TableContents"/>
              <w:spacing w:before="0" w:after="283"/>
              <w:rPr>
                <w:sz w:val="4"/>
                <w:szCs w:val="4"/>
              </w:rPr>
            </w:pPr>
            <w:r>
              <w:rPr>
                <w:sz w:val="4"/>
                <w:szCs w:val="4"/>
              </w:rPr>
            </w:r>
          </w:p>
        </w:tc>
        <w:tc>
          <w:tcPr>
            <w:tcW w:w="752" w:type="dxa"/>
            <w:gridSpan w:val="4"/>
            <w:tcBorders/>
            <w:shd w:fill="auto" w:val="clear"/>
            <w:vAlign w:val="center"/>
          </w:tcPr>
          <w:p>
            <w:pPr>
              <w:pStyle w:val="TableContents"/>
              <w:spacing w:before="0" w:after="283"/>
              <w:rPr>
                <w:sz w:val="4"/>
                <w:szCs w:val="4"/>
              </w:rPr>
            </w:pPr>
            <w:r>
              <w:rPr>
                <w:sz w:val="4"/>
                <w:szCs w:val="4"/>
              </w:rPr>
            </w:r>
          </w:p>
        </w:tc>
      </w:tr>
      <w:tr>
        <w:trPr/>
        <w:tc>
          <w:tcPr>
            <w:tcW w:w="9453" w:type="dxa"/>
            <w:tcBorders/>
            <w:shd w:fill="auto" w:val="clear"/>
          </w:tcPr>
          <w:p>
            <w:pPr>
              <w:pStyle w:val="TableContents"/>
              <w:spacing w:before="0" w:after="0"/>
              <w:rPr/>
            </w:pPr>
            <w:hyperlink w:anchor="toc49739_1">
              <w:r>
                <w:rPr>
                  <w:rStyle w:val="InternetLink"/>
                  <w:rFonts w:ascii="Times New Roman" w:hAnsi="Times New Roman"/>
                  <w:sz w:val="20"/>
                </w:rPr>
                <w:t>About This Prospectus</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1</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toc49739_2">
              <w:r>
                <w:rPr>
                  <w:rStyle w:val="InternetLink"/>
                  <w:rFonts w:ascii="Times New Roman" w:hAnsi="Times New Roman"/>
                  <w:sz w:val="20"/>
                </w:rPr>
                <w:t>The Companies</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2</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toc49739_3">
              <w:r>
                <w:rPr>
                  <w:rStyle w:val="InternetLink"/>
                  <w:rFonts w:ascii="Times New Roman" w:hAnsi="Times New Roman"/>
                  <w:sz w:val="20"/>
                </w:rPr>
                <w:t>Caution Concerning Forward-Looking Statements</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4</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toc49739_4">
              <w:r>
                <w:rPr>
                  <w:rStyle w:val="InternetLink"/>
                  <w:rFonts w:ascii="Times New Roman" w:hAnsi="Times New Roman"/>
                  <w:sz w:val="20"/>
                </w:rPr>
                <w:t>Use of Proceeds</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6</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toc49739_5">
              <w:r>
                <w:rPr>
                  <w:rStyle w:val="InternetLink"/>
                  <w:rFonts w:ascii="Times New Roman" w:hAnsi="Times New Roman"/>
                  <w:sz w:val="20"/>
                </w:rPr>
                <w:t>Dividend Policy</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6</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toc49739_6">
              <w:r>
                <w:rPr>
                  <w:rStyle w:val="InternetLink"/>
                  <w:rFonts w:ascii="Times New Roman" w:hAnsi="Times New Roman"/>
                  <w:sz w:val="20"/>
                </w:rPr>
                <w:t>Description of Debt Securities and Guarantees</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7</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toc49739_7">
              <w:r>
                <w:rPr>
                  <w:rStyle w:val="InternetLink"/>
                  <w:rFonts w:ascii="Times New Roman" w:hAnsi="Times New Roman"/>
                  <w:sz w:val="20"/>
                </w:rPr>
                <w:t>Global Securities</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20</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toc49739_8">
              <w:r>
                <w:rPr>
                  <w:rStyle w:val="InternetLink"/>
                  <w:rFonts w:ascii="Times New Roman" w:hAnsi="Times New Roman"/>
                  <w:sz w:val="20"/>
                </w:rPr>
                <w:t>Description of Capital Stock</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22</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toc49739_9">
              <w:r>
                <w:rPr>
                  <w:rStyle w:val="InternetLink"/>
                  <w:rFonts w:ascii="Times New Roman" w:hAnsi="Times New Roman"/>
                  <w:sz w:val="20"/>
                </w:rPr>
                <w:t>Plan of Distribution</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24</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toc49739_10">
              <w:r>
                <w:rPr>
                  <w:rStyle w:val="InternetLink"/>
                  <w:rFonts w:ascii="Times New Roman" w:hAnsi="Times New Roman"/>
                  <w:sz w:val="20"/>
                </w:rPr>
                <w:t>Legal Matters</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25</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toc49739_11">
              <w:r>
                <w:rPr>
                  <w:rStyle w:val="InternetLink"/>
                  <w:rFonts w:ascii="Times New Roman" w:hAnsi="Times New Roman"/>
                  <w:sz w:val="20"/>
                </w:rPr>
                <w:t>Experts</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25</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toc49739_12">
              <w:r>
                <w:rPr>
                  <w:rStyle w:val="InternetLink"/>
                  <w:rFonts w:ascii="Times New Roman" w:hAnsi="Times New Roman"/>
                  <w:sz w:val="20"/>
                </w:rPr>
                <w:t>Available Information</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25</w:t>
            </w:r>
          </w:p>
        </w:tc>
        <w:tc>
          <w:tcPr>
            <w:tcW w:w="62" w:type="dxa"/>
            <w:tcBorders/>
            <w:shd w:fill="auto" w:val="clear"/>
            <w:vAlign w:val="bottom"/>
          </w:tcPr>
          <w:p>
            <w:pPr>
              <w:pStyle w:val="TableContents"/>
              <w:spacing w:before="0" w:after="283"/>
              <w:rPr/>
            </w:pPr>
            <w:r>
              <w:rPr/>
              <w:t> </w:t>
            </w:r>
          </w:p>
        </w:tc>
      </w:tr>
      <w:tr>
        <w:trPr/>
        <w:tc>
          <w:tcPr>
            <w:tcW w:w="9453" w:type="dxa"/>
            <w:tcBorders/>
            <w:shd w:fill="auto" w:val="clear"/>
          </w:tcPr>
          <w:p>
            <w:pPr>
              <w:pStyle w:val="TableContents"/>
              <w:spacing w:before="0" w:after="0"/>
              <w:rPr/>
            </w:pPr>
            <w:hyperlink w:anchor="toc49739_13">
              <w:r>
                <w:rPr>
                  <w:rStyle w:val="InternetLink"/>
                  <w:rFonts w:ascii="Times New Roman" w:hAnsi="Times New Roman"/>
                  <w:sz w:val="20"/>
                </w:rPr>
                <w:t>Incorporation of Certain Documents by Reference</w:t>
              </w:r>
            </w:hyperlink>
          </w:p>
        </w:tc>
        <w:tc>
          <w:tcPr>
            <w:tcW w:w="14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85" w:type="dxa"/>
            <w:tcBorders/>
            <w:shd w:fill="auto" w:val="clear"/>
            <w:vAlign w:val="bottom"/>
          </w:tcPr>
          <w:p>
            <w:pPr>
              <w:pStyle w:val="TableContents"/>
              <w:spacing w:before="0" w:after="283"/>
              <w:jc w:val="right"/>
              <w:rPr/>
            </w:pPr>
            <w:r>
              <w:rPr/>
              <w:t>26</w:t>
            </w:r>
          </w:p>
        </w:tc>
        <w:tc>
          <w:tcPr>
            <w:tcW w:w="62"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We have not, and the underwriters have not, authorized anyone to provide any information other than that contained or incorporated by reference in this prospectus supplement, the accompanying prospectus or any free writing prospectus prepared by or on behalf of us or to which we have referred you. We and the underwriters take no responsibility for, and can provide no assurance as to the reliability of, any other information that others may give you. If information in this prospectus supplement is inconsistent with the accompanying prospectus, you should rely on this prospectus supplement. We are not, and the underwriters are not, making an offer to sell these securities in any jurisdiction where the offer or sale is not permitted. You should assume that the information appearing in this prospectus supplement, the accompanying prospectus, any related free writing prospectus and the documents incorporated by reference herein or therein is accurate only as of their respective dates. Our business, financial condition, results of operations and prospects may have changed since those dates. </w:t>
      </w:r>
    </w:p>
    <w:p>
      <w:pPr>
        <w:pStyle w:val="TextBody"/>
        <w:spacing w:before="240" w:after="0"/>
        <w:jc w:val="left"/>
        <w:rPr>
          <w:rFonts w:ascii="Times New Roman" w:hAnsi="Times New Roman"/>
          <w:sz w:val="20"/>
        </w:rPr>
      </w:pPr>
      <w:r>
        <w:rPr>
          <w:rFonts w:ascii="Times New Roman" w:hAnsi="Times New Roman"/>
          <w:sz w:val="20"/>
        </w:rPr>
        <w:t xml:space="preserve">We refer to Comcast Corporation in this prospectus supplement as Comcast, and Comcast and its consolidated subsidiaries as we, us, our or comparable terms and Sky Limited (formerly Sky plc) and its consolidated subsidiaries as Sky. We refer to Comcast Cable Communications, LLC and its consolidated subsidiaries as Comcast Cable, NBCUniversal Media, LLC and its consolidated subsidiaries as NBCUniversal, and both of them collectively as the guarantors.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srom49739_1"/>
      <w:bookmarkEnd w:id="3"/>
      <w:r>
        <w:rPr>
          <w:rFonts w:ascii="Times New Roman" w:hAnsi="Times New Roman"/>
          <w:b/>
          <w:sz w:val="20"/>
        </w:rPr>
        <w:t xml:space="preserve">WHERE YOU CAN FIND MORE INFORMATION </w:t>
      </w:r>
    </w:p>
    <w:p>
      <w:pPr>
        <w:pStyle w:val="TextBody"/>
        <w:spacing w:before="240" w:after="0"/>
        <w:jc w:val="left"/>
        <w:rPr>
          <w:rFonts w:ascii="Times New Roman" w:hAnsi="Times New Roman"/>
          <w:sz w:val="20"/>
        </w:rPr>
      </w:pPr>
      <w:r>
        <w:rPr>
          <w:rFonts w:ascii="Times New Roman" w:hAnsi="Times New Roman"/>
          <w:sz w:val="20"/>
        </w:rPr>
        <w:t xml:space="preserve">We file annual reports on Form 10-K, quarterly reports on Form 10-Q, current reports on Form 8-K, proxy statements and information statements and amendments to reports filed or furnished pursuant to the Securities Exchange Act of 1934, as amended (the Exchange Act), with the SEC. The SEC maintains an internet website at www.sec.gov that contains periodic and current reports, proxy and information statements, and other information regarding registrants that file electronically with the SEC. 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 </w:t>
      </w:r>
    </w:p>
    <w:p>
      <w:pPr>
        <w:pStyle w:val="TextBody"/>
        <w:spacing w:before="240" w:after="0"/>
        <w:jc w:val="left"/>
        <w:rPr>
          <w:rFonts w:ascii="Times New Roman" w:hAnsi="Times New Roman"/>
          <w:sz w:val="20"/>
        </w:rPr>
      </w:pPr>
      <w:r>
        <w:rPr>
          <w:rFonts w:ascii="Times New Roman" w:hAnsi="Times New Roman"/>
          <w:sz w:val="20"/>
        </w:rPr>
        <w:t xml:space="preserve">This prospectus supplement incorporates by reference the documents of Comcast set forth below that we have previously filed with the SEC: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Comcasts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2022, filed on February 3,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pPr>
            <w:r>
              <w:rPr>
                <w:rFonts w:ascii="Times New Roman" w:hAnsi="Times New Roman"/>
                <w:sz w:val="20"/>
              </w:rPr>
              <w:t xml:space="preserve">Comcasts Quarterly Report on </w:t>
            </w:r>
            <w:hyperlink r:id="rId4">
              <w:r>
                <w:rPr>
                  <w:rStyle w:val="InternetLink"/>
                  <w:rFonts w:ascii="Times New Roman" w:hAnsi="Times New Roman"/>
                  <w:sz w:val="20"/>
                </w:rPr>
                <w:t>Form 10-Q</w:t>
              </w:r>
            </w:hyperlink>
            <w:r>
              <w:rPr>
                <w:rFonts w:ascii="Times New Roman" w:hAnsi="Times New Roman"/>
                <w:sz w:val="20"/>
              </w:rPr>
              <w:t xml:space="preserve"> for the quarter ended March 31, 2023, filed on April 27, 2023.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pPr>
            <w:r>
              <w:rPr>
                <w:rFonts w:ascii="Times New Roman" w:hAnsi="Times New Roman"/>
                <w:sz w:val="20"/>
              </w:rPr>
              <w:t xml:space="preserve">Comcasts Current Reports on Form 8-K, filed on </w:t>
            </w:r>
            <w:hyperlink r:id="rId5">
              <w:r>
                <w:rPr>
                  <w:rStyle w:val="InternetLink"/>
                  <w:rFonts w:ascii="Times New Roman" w:hAnsi="Times New Roman"/>
                  <w:sz w:val="20"/>
                </w:rPr>
                <w:t>January  6, 2023</w:t>
              </w:r>
            </w:hyperlink>
            <w:r>
              <w:rPr>
                <w:rFonts w:ascii="Times New Roman" w:hAnsi="Times New Roman"/>
                <w:sz w:val="20"/>
              </w:rPr>
              <w:t xml:space="preserve">, </w:t>
            </w:r>
            <w:hyperlink r:id="rId6">
              <w:r>
                <w:rPr>
                  <w:rStyle w:val="InternetLink"/>
                  <w:rFonts w:ascii="Times New Roman" w:hAnsi="Times New Roman"/>
                  <w:sz w:val="20"/>
                </w:rPr>
                <w:t>February  9, 2023</w:t>
              </w:r>
            </w:hyperlink>
            <w:r>
              <w:rPr>
                <w:rFonts w:ascii="Times New Roman" w:hAnsi="Times New Roman"/>
                <w:sz w:val="20"/>
              </w:rPr>
              <w:t xml:space="preserve">, </w:t>
            </w:r>
            <w:hyperlink r:id="rId7">
              <w:r>
                <w:rPr>
                  <w:rStyle w:val="InternetLink"/>
                  <w:rFonts w:ascii="Times New Roman" w:hAnsi="Times New Roman"/>
                  <w:sz w:val="20"/>
                </w:rPr>
                <w:t>March  15, 2023</w:t>
              </w:r>
            </w:hyperlink>
            <w:r>
              <w:rPr>
                <w:rFonts w:ascii="Times New Roman" w:hAnsi="Times New Roman"/>
                <w:sz w:val="20"/>
              </w:rPr>
              <w:t xml:space="preserve">, </w:t>
            </w:r>
            <w:hyperlink r:id="rId8">
              <w:r>
                <w:rPr>
                  <w:rStyle w:val="InternetLink"/>
                  <w:rFonts w:ascii="Times New Roman" w:hAnsi="Times New Roman"/>
                  <w:sz w:val="20"/>
                </w:rPr>
                <w:t>April  21, 2023</w:t>
              </w:r>
            </w:hyperlink>
            <w:r>
              <w:rPr>
                <w:rFonts w:ascii="Times New Roman" w:hAnsi="Times New Roman"/>
                <w:sz w:val="20"/>
              </w:rPr>
              <w:t xml:space="preserve">, </w:t>
            </w:r>
            <w:hyperlink r:id="rId9">
              <w:r>
                <w:rPr>
                  <w:rStyle w:val="InternetLink"/>
                  <w:rFonts w:ascii="Times New Roman" w:hAnsi="Times New Roman"/>
                  <w:sz w:val="20"/>
                </w:rPr>
                <w:t>April  24, 2023</w:t>
              </w:r>
            </w:hyperlink>
            <w:r>
              <w:rPr>
                <w:rFonts w:ascii="Times New Roman" w:hAnsi="Times New Roman"/>
                <w:sz w:val="20"/>
              </w:rPr>
              <w:t xml:space="preserve"> and </w:t>
            </w:r>
            <w:hyperlink r:id="rId10">
              <w:r>
                <w:rPr>
                  <w:rStyle w:val="InternetLink"/>
                  <w:rFonts w:ascii="Times New Roman" w:hAnsi="Times New Roman"/>
                  <w:sz w:val="20"/>
                </w:rPr>
                <w:t>May 1, 2023</w:t>
              </w:r>
            </w:hyperlink>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The sections of Comcasts </w:t>
            </w:r>
            <w:hyperlink r:id="rId11">
              <w:r>
                <w:rPr>
                  <w:rStyle w:val="InternetLink"/>
                  <w:rFonts w:ascii="Times New Roman" w:hAnsi="Times New Roman"/>
                  <w:sz w:val="20"/>
                </w:rPr>
                <w:t>Definitive Proxy Statement</w:t>
              </w:r>
            </w:hyperlink>
            <w:r>
              <w:rPr>
                <w:rFonts w:ascii="Times New Roman" w:hAnsi="Times New Roman"/>
                <w:sz w:val="20"/>
              </w:rPr>
              <w:t xml:space="preserve"> on Schedule 14A for the 2023 annual meeting of shareholders incorporated by reference in Comcasts Annual Report on </w:t>
            </w:r>
            <w:hyperlink r:id="rId12">
              <w:r>
                <w:rPr>
                  <w:rStyle w:val="InternetLink"/>
                  <w:rFonts w:ascii="Times New Roman" w:hAnsi="Times New Roman"/>
                  <w:sz w:val="20"/>
                </w:rPr>
                <w:t>Form 10-K</w:t>
              </w:r>
            </w:hyperlink>
            <w:r>
              <w:rPr>
                <w:rFonts w:ascii="Times New Roman" w:hAnsi="Times New Roman"/>
                <w:sz w:val="20"/>
              </w:rPr>
              <w:t xml:space="preserve"> for the year ended December 31, 2022. </w:t>
            </w:r>
          </w:p>
        </w:tc>
      </w:tr>
    </w:tbl>
    <w:p>
      <w:pPr>
        <w:pStyle w:val="TextBody"/>
        <w:spacing w:before="240" w:after="0"/>
        <w:jc w:val="left"/>
        <w:rPr>
          <w:rFonts w:ascii="Times New Roman" w:hAnsi="Times New Roman"/>
          <w:sz w:val="20"/>
        </w:rPr>
      </w:pPr>
      <w:r>
        <w:rPr>
          <w:rFonts w:ascii="Times New Roman" w:hAnsi="Times New Roman"/>
          <w:sz w:val="20"/>
        </w:rPr>
        <w:t xml:space="preserve">We also incorporate by reference into this prospectus supplement and the accompanying prospectus additional documents that we may file with the SEC under Sections 13(a), 13(c), 14 or 15(d) of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4" w:name="srom49739_2"/>
      <w:bookmarkEnd w:id="4"/>
      <w:r>
        <w:rPr>
          <w:rFonts w:ascii="Times New Roman" w:hAnsi="Times New Roman"/>
          <w:b/>
          <w:sz w:val="20"/>
          <w:bdr w:val="single" w:sz="8" w:space="1" w:color="000000"/>
        </w:rPr>
        <w:t xml:space="preserve">PROSPECTUS SUPPLEMENT SUMMARY </w:t>
      </w:r>
    </w:p>
    <w:p>
      <w:pPr>
        <w:pStyle w:val="TextBody"/>
        <w:spacing w:before="24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Companies </w:t>
      </w:r>
    </w:p>
    <w:p>
      <w:pPr>
        <w:pStyle w:val="TextBody"/>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Comcast Corporation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global media and technology company with two primary businesses: Connectivity &amp; Platforms and Content &amp; Experiences. We present the operations of (1) our Connectivity &amp; Platforms business in two reportable business segments: Residential Connectivity &amp; Platforms and Business Services Connectivity and (2) our Content &amp; Experiences business in three reportable business segments: Media, Studios and Theme Parks.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Connectivity</w:t>
            </w:r>
            <w:r>
              <w:rPr>
                <w:rFonts w:ascii="Times New Roman" w:hAnsi="Times New Roman"/>
                <w:sz w:val="20"/>
              </w:rPr>
              <w:t> </w:t>
            </w:r>
            <w:r>
              <w:rPr>
                <w:rFonts w:ascii="Times New Roman" w:hAnsi="Times New Roman"/>
                <w:b/>
                <w:sz w:val="20"/>
              </w:rPr>
              <w:t>&amp; Platforms:</w:t>
            </w:r>
            <w:r>
              <w:rPr>
                <w:rFonts w:ascii="Times New Roman" w:hAnsi="Times New Roman"/>
                <w:sz w:val="20"/>
              </w:rPr>
              <w:t xml:space="preserve"> Contains our broadband and wireless connectivity businesses operated under the Xfinity and Comcast brands in the United States and under the Sky brand in certain territories in Europe (the Connectivity &amp; Platforms markets). Also includes our video services businesses and the operations of our Sky-branded entertainment television channels in the Connectivity &amp; Platforms markets. Our Connectivity &amp; Platforms business is reported in two reportable business segments: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020"/>
        <w:gridCol w:w="204"/>
        <w:gridCol w:w="101"/>
        <w:gridCol w:w="8880"/>
      </w:tblGrid>
      <w:tr>
        <w:trPr/>
        <w:tc>
          <w:tcPr>
            <w:tcW w:w="1020"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Residential Connectivity</w:t>
            </w:r>
            <w:r>
              <w:rPr>
                <w:rFonts w:ascii="Times New Roman" w:hAnsi="Times New Roman"/>
                <w:sz w:val="20"/>
              </w:rPr>
              <w:t> </w:t>
            </w:r>
            <w:r>
              <w:rPr>
                <w:rFonts w:ascii="Times New Roman" w:hAnsi="Times New Roman"/>
                <w:b/>
                <w:sz w:val="20"/>
              </w:rPr>
              <w:t>&amp; Platforms Segment:</w:t>
            </w:r>
            <w:r>
              <w:rPr>
                <w:rFonts w:ascii="Times New Roman" w:hAnsi="Times New Roman"/>
                <w:sz w:val="20"/>
              </w:rPr>
              <w:t xml:space="preserve"> Includes our residential broadband and wireless connectivity services, residential and business video services, advertising sales and Sky channels.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015"/>
        <w:gridCol w:w="210"/>
        <w:gridCol w:w="103"/>
        <w:gridCol w:w="8877"/>
      </w:tblGrid>
      <w:tr>
        <w:trPr/>
        <w:tc>
          <w:tcPr>
            <w:tcW w:w="1015"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7"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 xml:space="preserve">Business Services Connectivity Segment: </w:t>
            </w:r>
            <w:r>
              <w:rPr>
                <w:rFonts w:ascii="Times New Roman" w:hAnsi="Times New Roman"/>
                <w:sz w:val="20"/>
              </w:rPr>
              <w:t xml:space="preserve">Includes our connectivity services for small business locations in the United States, which include broadband, voice and wireless services, as well as our solutions for medium-sized customers and larger enterprises, and our small business connectivity service offerings for international locations.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Content</w:t>
            </w:r>
            <w:r>
              <w:rPr>
                <w:rFonts w:ascii="Times New Roman" w:hAnsi="Times New Roman"/>
                <w:sz w:val="20"/>
              </w:rPr>
              <w:t> </w:t>
            </w:r>
            <w:r>
              <w:rPr>
                <w:rFonts w:ascii="Times New Roman" w:hAnsi="Times New Roman"/>
                <w:b/>
                <w:sz w:val="20"/>
              </w:rPr>
              <w:t xml:space="preserve">&amp; Experiences: </w:t>
            </w:r>
            <w:r>
              <w:rPr>
                <w:rFonts w:ascii="Times New Roman" w:hAnsi="Times New Roman"/>
                <w:sz w:val="20"/>
              </w:rPr>
              <w:t xml:space="preserve">Contains our media and entertainment businesses that develop, produce, and distribute entertainment, news and information, sports, and other content for global audiences and that own and operate theme parks in the United States and Asia. Our Content &amp; Experiences business is reported in three reportable business segments: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016"/>
        <w:gridCol w:w="206"/>
        <w:gridCol w:w="102"/>
        <w:gridCol w:w="8881"/>
      </w:tblGrid>
      <w:tr>
        <w:trPr/>
        <w:tc>
          <w:tcPr>
            <w:tcW w:w="1016" w:type="dxa"/>
            <w:tcBorders/>
            <w:shd w:fill="auto" w:val="clear"/>
            <w:vAlign w:val="center"/>
          </w:tcPr>
          <w:p>
            <w:pPr>
              <w:pStyle w:val="TableContents"/>
              <w:spacing w:before="0" w:after="283"/>
              <w:rPr/>
            </w:pPr>
            <w:r>
              <w:rPr/>
              <w:t> </w:t>
            </w:r>
          </w:p>
        </w:tc>
        <w:tc>
          <w:tcPr>
            <w:tcW w:w="2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Media Segment:</w:t>
            </w:r>
            <w:r>
              <w:rPr>
                <w:rFonts w:ascii="Times New Roman" w:hAnsi="Times New Roman"/>
                <w:sz w:val="20"/>
              </w:rPr>
              <w:t xml:space="preserve"> Includes primarily NBCUniversals television and streaming business, including national and regional cable networks; the NBC and Telemundo broadcast networks; NBC and Telemundo owned local broadcast television stations; and Peacock, our direct-to-consumer streaming service. Also includes international networks, including most of the Sky Sports channels, and other digital properties.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019"/>
        <w:gridCol w:w="204"/>
        <w:gridCol w:w="102"/>
        <w:gridCol w:w="8880"/>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 xml:space="preserve">Studios Segment: </w:t>
            </w:r>
            <w:r>
              <w:rPr>
                <w:rFonts w:ascii="Times New Roman" w:hAnsi="Times New Roman"/>
                <w:sz w:val="20"/>
              </w:rPr>
              <w:t xml:space="preserve">Includes primarily our NBCUniversal and Sky film and television studio production and distribution operations.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015"/>
        <w:gridCol w:w="215"/>
        <w:gridCol w:w="104"/>
        <w:gridCol w:w="8871"/>
      </w:tblGrid>
      <w:tr>
        <w:trPr/>
        <w:tc>
          <w:tcPr>
            <w:tcW w:w="1015" w:type="dxa"/>
            <w:tcBorders/>
            <w:shd w:fill="auto" w:val="clear"/>
            <w:vAlign w:val="center"/>
          </w:tcPr>
          <w:p>
            <w:pPr>
              <w:pStyle w:val="TableContents"/>
              <w:spacing w:before="0" w:after="283"/>
              <w:rPr/>
            </w:pPr>
            <w:r>
              <w:rPr/>
              <w:t> </w:t>
            </w:r>
          </w:p>
        </w:tc>
        <w:tc>
          <w:tcPr>
            <w:tcW w:w="215" w:type="dxa"/>
            <w:tcBorders/>
            <w:shd w:fill="auto" w:val="clear"/>
          </w:tcPr>
          <w:p>
            <w:pPr>
              <w:pStyle w:val="TableContents"/>
              <w:spacing w:before="0" w:after="283"/>
              <w:jc w:val="left"/>
              <w:rPr/>
            </w:pPr>
            <w:r>
              <w:rPr/>
              <w:t></w:t>
            </w:r>
          </w:p>
        </w:tc>
        <w:tc>
          <w:tcPr>
            <w:tcW w:w="104" w:type="dxa"/>
            <w:tcBorders/>
            <w:shd w:fill="auto" w:val="clear"/>
          </w:tcPr>
          <w:p>
            <w:pPr>
              <w:pStyle w:val="TableContents"/>
              <w:spacing w:before="0" w:after="283"/>
              <w:rPr/>
            </w:pPr>
            <w:r>
              <w:rPr/>
              <w:t> </w:t>
            </w:r>
          </w:p>
        </w:tc>
        <w:tc>
          <w:tcPr>
            <w:tcW w:w="8871"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 xml:space="preserve">Theme Parks Segment: </w:t>
            </w:r>
            <w:r>
              <w:rPr>
                <w:rFonts w:ascii="Times New Roman" w:hAnsi="Times New Roman"/>
                <w:sz w:val="20"/>
              </w:rPr>
              <w:t xml:space="preserve">Includes primarily the operations of our Universal theme parks in Orlando, Florida; Hollywood, California; Osaka, Japan; and Beijing, China.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other business interests consist primarily of Sky operations outside of the Connectivity &amp; Platforms markets, the operations of Comcast Spectacor, which owns the Philadelphia Flyers and the Wells Fargo Center arena in Philadelphia, Pennsylvania, and the operations of Xumo, our consolidated streaming platform joint venture with Charter Communications formed in June 2022.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 description of our business, financial condition, results of operations and other important information regarding us, see our filings with the SEC incorporated by reference in this prospectus supplement. For instructions on how to find copies of these and our other filings incorporated by reference in this prospectus supplement, see Available Information in this prospectus supplement.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Comcasts principal executive offices are located at One Comcast Center, Philadelphia, Pennsylvania 19103-2838. Comcasts telephone number is (215) 286-1700. The address of our website is www.comcastcorporation.com. The information on, or accessible through, our website is not part of this prospectus supplement or the accompanying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b/>
          <w:sz w:val="20"/>
          <w:bdr w:val="single" w:sz="8" w:space="1" w:color="000000"/>
        </w:rPr>
      </w:pPr>
      <w:r>
        <w:rPr>
          <w:rFonts w:ascii="Times New Roman" w:hAnsi="Times New Roman"/>
          <w:b/>
          <w:sz w:val="20"/>
          <w:bdr w:val="single" w:sz="8" w:space="1" w:color="000000"/>
        </w:rPr>
        <w:t xml:space="preserve">The Guarantors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obligations, including the payment of principal, premium, if any, and interest on the notes will be fully and unconditionally guaranteed by each of Comcast Cable and NBCUniversal. In this prospectus supplement, we refer to these guarantors as the guarantors and to these guarantees as the guarantees.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guarantees will not contain any restrictions on the ability of any guarantor to: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pay dividends or distributions on, or redeem, purchase, acquire, or make a liquidation payment with respect to, any of that guarantors capital stock; or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make any payment of principal, interest or premium, if any, on or repay, repurchase or redeem any debt securities of that guarantor. </w:t>
            </w:r>
          </w:p>
        </w:tc>
      </w:tr>
    </w:tbl>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Comcast Cables principal place of business is One Comcast Center, Philadelphia, Pennsylvania 19103-2838. NBCUniversals principal executive offices are located at 30 Rockefeller Plaza, New York, New York 10112-0015.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Concurrent Tender Offers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May 1, 2023, we commenced tender offers (collectively, the Comcast Tender Offers) to purchase for cash any and all of our 3.700% Notes due 2024, our Floating Rate Notes due 2024 and our 3.375% Notes due 2025, and Sky commenced a tender offer (the Sky Tender Offer and, together with the Comcast Tender Offers, the Tender Offers) to purchase for cash any and all of its 3.750% Senior Unsecured Notes due 2024. As of the date hereof, there is $2.5 billion aggregate principal amount of our 3.700% Notes due 2024 outstanding, $500.0 million aggregate principal amount of our Floating Rate Notes due 2024 outstanding, $993.4 million aggregate principal amount of our 3.375% Notes due 2025 outstanding and $1.25 billion aggregate principal amount of Skys 3.750% Senior Unsecured Notes due 2024 outstanding.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Tender Offers will expire on May 5, 2023 at 5:00 p.m., unless extended. The offering to which this prospectus supplement relates is not conditioned upon the completion of any or all of the Tender Offers. However, the Tender Offers are subject to a number of conditions that may be waived or changed. We and Sky are permitted, subject to applicable law, to amend, extend, terminate or withdraw the Tender Offers, as applicable, and there can be no assurance that we or Sky will consummate the Tender Offers on the terms described herein or at all.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foregoing description of the Tender Offers is provided for informational purposes only and this prospectus supplement does not constitute an offer to buy or the solicitation of an offer to sell any securities subject to the Tender Offers.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intend to use the net proceeds from this offering to fund the purchase of the securities accepted pursuant to the Comcast Tender Offers and the payment of related accrued and unpaid interest, premiums, fees and expenses. In the event that the Comcast Tender Offers are not consummated, or the net proceeds from this offering exceed the amount needed to fund the purchase of the securities accepted pursuant to the Comcast Tender Offers, we intend to use such net proceeds from this offering for general corporate purposes, including the repayment of debt. See Use of Proceeds. Sky intends to fund the purchase of the securities accepted pursuant to the Sky Tender Offer with cash on hand.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Certain of the underwriters or their affiliates hold the securities that are subject to the Comcast Tender Offers and/or our other debt and may receive proceeds from this offering through the purchase of such securities in connection with the Comcast Tender Offers and/or the repayment of our other debt. Certain of the underwriters or their affiliates are acting as dealer managers in connection with the Tender Offers, for which they will receive customary fees. See Underwriting.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Offering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Issuer </w:t>
            </w:r>
          </w:p>
        </w:tc>
        <w:tc>
          <w:tcPr>
            <w:tcW w:w="6328" w:type="dxa"/>
            <w:tcBorders/>
            <w:shd w:fill="auto" w:val="clear"/>
          </w:tcPr>
          <w:p>
            <w:pPr>
              <w:pStyle w:val="TableContents"/>
              <w:spacing w:before="0" w:after="283"/>
              <w:rPr/>
            </w:pPr>
            <w:r>
              <w:rPr/>
              <w:t xml:space="preserve">Comcast Corporation.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Securities Offered </w:t>
            </w:r>
          </w:p>
        </w:tc>
        <w:tc>
          <w:tcPr>
            <w:tcW w:w="6326" w:type="dxa"/>
            <w:tcBorders/>
            <w:shd w:fill="auto" w:val="clear"/>
          </w:tcPr>
          <w:p>
            <w:pPr>
              <w:pStyle w:val="TableContents"/>
              <w:spacing w:before="0" w:after="283"/>
              <w:rPr/>
            </w:pPr>
            <w:r>
              <w:rPr/>
              <w:t xml:space="preserve">$1,000,000,000 aggregate principal amount of 4.550% Notes due 2029.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83"/>
              <w:jc w:val="left"/>
              <w:rPr/>
            </w:pPr>
            <w:r>
              <w:rPr/>
              <w:t xml:space="preserve">$1,000,000,000 aggregate principal amount of 4.800% Notes due 2033.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83"/>
              <w:jc w:val="left"/>
              <w:rPr/>
            </w:pPr>
            <w:r>
              <w:rPr/>
              <w:t xml:space="preserve">$1,600,000,000 aggregate principal amount of 5.350% Notes due 2053.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83"/>
              <w:jc w:val="left"/>
              <w:rPr/>
            </w:pPr>
            <w:r>
              <w:rPr/>
              <w:t xml:space="preserve">$1,400,000,000 aggregate principal amount of 5.500% Notes due 2064.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Maturity </w:t>
            </w:r>
          </w:p>
        </w:tc>
        <w:tc>
          <w:tcPr>
            <w:tcW w:w="6326" w:type="dxa"/>
            <w:tcBorders/>
            <w:shd w:fill="auto" w:val="clear"/>
          </w:tcPr>
          <w:p>
            <w:pPr>
              <w:pStyle w:val="TableContents"/>
              <w:spacing w:before="0" w:after="283"/>
              <w:rPr/>
            </w:pPr>
            <w:r>
              <w:rPr/>
              <w:t xml:space="preserve">The Notes due 2029 will mature on January 15, 2029.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83"/>
              <w:jc w:val="left"/>
              <w:rPr/>
            </w:pPr>
            <w:r>
              <w:rPr/>
              <w:t xml:space="preserve">The Notes due 2033 will mature on May 15, 2033.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83"/>
              <w:jc w:val="left"/>
              <w:rPr/>
            </w:pPr>
            <w:r>
              <w:rPr/>
              <w:t xml:space="preserve">The Notes due 2053 will mature on May 15, 2053.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83"/>
              <w:jc w:val="left"/>
              <w:rPr/>
            </w:pPr>
            <w:r>
              <w:rPr/>
              <w:t xml:space="preserve">The Notes due 2064 will mature on May 15, 2064.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Interest </w:t>
            </w:r>
          </w:p>
        </w:tc>
        <w:tc>
          <w:tcPr>
            <w:tcW w:w="6329" w:type="dxa"/>
            <w:tcBorders/>
            <w:shd w:fill="auto" w:val="clear"/>
          </w:tcPr>
          <w:p>
            <w:pPr>
              <w:pStyle w:val="TableContents"/>
              <w:spacing w:before="0" w:after="283"/>
              <w:rPr/>
            </w:pPr>
            <w:r>
              <w:rPr/>
              <w:t xml:space="preserve">Interest on the Notes due 2029 will accrue at the rate of 4.550% per year, payable semiannually in cash in arrears on each January 15 and July 15, beginning January 15, 2024.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83"/>
              <w:jc w:val="left"/>
              <w:rPr/>
            </w:pPr>
            <w:r>
              <w:rPr/>
              <w:t xml:space="preserve">Interest on the Notes due 2033 will accrue at the rate of 4.800% per year, payable semiannually in cash in arrears on each May 15 and November 15, beginning November 15, 2023.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83"/>
              <w:jc w:val="left"/>
              <w:rPr/>
            </w:pPr>
            <w:r>
              <w:rPr/>
              <w:t xml:space="preserve">Interest on the Notes due 2053 will accrue at the rate of 5.350% per year, payable semiannually in cash in arrears on each May 15 and November 15, beginning November 15, 2023.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83"/>
              <w:jc w:val="left"/>
              <w:rPr/>
            </w:pPr>
            <w:r>
              <w:rPr/>
              <w:t xml:space="preserve">Interest on the Notes due 2064 will accrue at the rate of 5.500% per year, payable semiannually in cash in arrears on each May 15 and November 15, beginning November 15, 2023.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Ranking </w:t>
            </w:r>
          </w:p>
        </w:tc>
        <w:tc>
          <w:tcPr>
            <w:tcW w:w="6329" w:type="dxa"/>
            <w:tcBorders/>
            <w:shd w:fill="auto" w:val="clear"/>
          </w:tcPr>
          <w:p>
            <w:pPr>
              <w:pStyle w:val="TableContents"/>
              <w:spacing w:before="0" w:after="283"/>
              <w:rPr/>
            </w:pPr>
            <w:r>
              <w:rPr/>
              <w:t xml:space="preserve">The notes will be unsecured and will rank equally with all of our and the guarantors unsecured and unsubordinated indebtedness.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Guarantors </w:t>
            </w:r>
          </w:p>
        </w:tc>
        <w:tc>
          <w:tcPr>
            <w:tcW w:w="6327" w:type="dxa"/>
            <w:tcBorders/>
            <w:shd w:fill="auto" w:val="clear"/>
          </w:tcPr>
          <w:p>
            <w:pPr>
              <w:pStyle w:val="TableContents"/>
              <w:spacing w:before="0" w:after="283"/>
              <w:rPr/>
            </w:pPr>
            <w:r>
              <w:rPr/>
              <w:t xml:space="preserve">Comcast Cable and NBCUniversal.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Guarantees </w:t>
            </w:r>
          </w:p>
        </w:tc>
        <w:tc>
          <w:tcPr>
            <w:tcW w:w="6327" w:type="dxa"/>
            <w:tcBorders/>
            <w:shd w:fill="auto" w:val="clear"/>
          </w:tcPr>
          <w:p>
            <w:pPr>
              <w:pStyle w:val="TableContents"/>
              <w:spacing w:before="0" w:after="283"/>
              <w:rPr/>
            </w:pPr>
            <w:r>
              <w:rPr/>
              <w:t xml:space="preserve">The guarantors will fully and unconditionally guarantee the notes, including the payment of principal, premium, if any, and interest. The guarantees will rank equally with all other general unsecured and unsubordinated obligations of the guarantors.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Optional Redemption </w:t>
            </w:r>
          </w:p>
        </w:tc>
        <w:tc>
          <w:tcPr>
            <w:tcW w:w="6327" w:type="dxa"/>
            <w:tcBorders/>
            <w:shd w:fill="auto" w:val="clear"/>
          </w:tcPr>
          <w:p>
            <w:pPr>
              <w:pStyle w:val="TableContents"/>
              <w:spacing w:before="0" w:after="283"/>
              <w:rPr/>
            </w:pPr>
            <w:r>
              <w:rPr/>
              <w:t xml:space="preserve">We may, at our option, redeem any series of notes, in whole or in part, at any time at the applicable redemption price determined as set forth under the heading Description of the NotesOptional Redemption.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Use of Proceeds </w:t>
            </w:r>
          </w:p>
        </w:tc>
        <w:tc>
          <w:tcPr>
            <w:tcW w:w="6329" w:type="dxa"/>
            <w:tcBorders/>
            <w:shd w:fill="auto" w:val="clear"/>
          </w:tcPr>
          <w:p>
            <w:pPr>
              <w:pStyle w:val="TableContents"/>
              <w:spacing w:before="0" w:after="283"/>
              <w:rPr/>
            </w:pPr>
            <w:r>
              <w:rPr/>
              <w:t xml:space="preserve">We intend to use the net proceeds from this offering to fund the purchase of the securities accepted pursuant to the Comcast Tender Offers and the payment of related accrued and unpaid interest, premiums, fees and expenses. In the event that the Comcast Tender Offers are not consummated, or the net proceeds from this offering exceed the amount needed to fund the purchase of the securities accepted pursuant to the Comcast Tender Offers, we intend to use such net proceeds from this offering for general corporate purposes, including the repayment of debt. See Concurrent Tender Offers and Use of Proceeds. Sky intends to fund the purchase of the securities accepted pursuant to the Sky Tender Offer with cash on hand.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83"/>
              <w:jc w:val="left"/>
              <w:rPr/>
            </w:pPr>
            <w:r>
              <w:rPr/>
              <w:t xml:space="preserve">Certain of the underwriters or their affiliates hold the securities that are subject to the Comcast Tender Offers and/or our other debt and may receive proceeds from this offering through the purchase of such securities in connection with the Comcast Tender Offers and/or the repayment of our other debt. Certain of the underwriters or their affiliates are acting as dealer managers in connection with the Tender Offers, for which they will receive customary fees. See Underwriting.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Book-Entry </w:t>
            </w:r>
          </w:p>
        </w:tc>
        <w:tc>
          <w:tcPr>
            <w:tcW w:w="6326" w:type="dxa"/>
            <w:tcBorders/>
            <w:shd w:fill="auto" w:val="clear"/>
          </w:tcPr>
          <w:p>
            <w:pPr>
              <w:pStyle w:val="TableContents"/>
              <w:spacing w:before="0" w:after="283"/>
              <w:rPr/>
            </w:pPr>
            <w:r>
              <w:rPr/>
              <w:t xml:space="preserve">The notes will be issued in book-entry form and will be represented by global notes deposited with, or on behalf of, DTC and registered in the name of DTC or its nominees. Beneficial interests in any of the notes will be shown on, and transfers will be effected only through, records maintained by DTC or its nominee or indirectly through organizations that have accounts with DTC, including Euroclear and Clearstream, and these beneficial interests may not be exchanged for certificated notes, except in limited circumstances. See Description of the NotesBook-Entry System in this prospectus supplement.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Additional Notes </w:t>
            </w:r>
          </w:p>
        </w:tc>
        <w:tc>
          <w:tcPr>
            <w:tcW w:w="6327" w:type="dxa"/>
            <w:tcBorders/>
            <w:shd w:fill="auto" w:val="clear"/>
          </w:tcPr>
          <w:p>
            <w:pPr>
              <w:pStyle w:val="TableContents"/>
              <w:spacing w:before="0" w:after="283"/>
              <w:rPr/>
            </w:pPr>
            <w:r>
              <w:rPr/>
              <w:t xml:space="preserve">We have the ability to reopen a series of these notes and issue additional notes of such series. Additional notes of such series will be consolidated with and form a single series with the notes then outstanding of such series; provided that if such additional notes are not fungible with the notes of the applicable series offered hereby for U.S. federal income tax purposes, such additional notes will have one or more separate CUSIP numbers.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sz w:val="20"/>
              </w:rPr>
            </w:pPr>
            <w:r>
              <w:rPr>
                <w:rFonts w:ascii="Times New Roman" w:hAnsi="Times New Roman"/>
                <w:sz w:val="20"/>
              </w:rPr>
              <w:t xml:space="preserve">Risk Factors </w:t>
            </w:r>
          </w:p>
        </w:tc>
        <w:tc>
          <w:tcPr>
            <w:tcW w:w="6329" w:type="dxa"/>
            <w:tcBorders/>
            <w:shd w:fill="auto" w:val="clear"/>
          </w:tcPr>
          <w:p>
            <w:pPr>
              <w:pStyle w:val="TableContents"/>
              <w:spacing w:before="0" w:after="283"/>
              <w:rPr/>
            </w:pPr>
            <w:r>
              <w:rPr/>
              <w:t xml:space="preserve">Investing in the notes involves certain risks. See Item 1ARisk Factors beginning on page 24 of our Annual Report on Form 10-K for the year ended December 31, 2022.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5" w:name="srom49739_3"/>
      <w:bookmarkEnd w:id="5"/>
      <w:r>
        <w:rPr>
          <w:rFonts w:ascii="Times New Roman" w:hAnsi="Times New Roman"/>
          <w:b/>
          <w:sz w:val="20"/>
        </w:rPr>
        <w:t xml:space="preserve">USE OF PROCEEDS </w:t>
      </w:r>
    </w:p>
    <w:p>
      <w:pPr>
        <w:pStyle w:val="TextBody"/>
        <w:spacing w:before="240" w:after="0"/>
        <w:jc w:val="left"/>
        <w:rPr>
          <w:rFonts w:ascii="Times New Roman" w:hAnsi="Times New Roman"/>
          <w:sz w:val="20"/>
        </w:rPr>
      </w:pPr>
      <w:r>
        <w:rPr>
          <w:rFonts w:ascii="Times New Roman" w:hAnsi="Times New Roman"/>
          <w:sz w:val="20"/>
        </w:rPr>
        <w:t xml:space="preserve">We intend to use the net proceeds from this offering, after deducting underwriting commissions, fees and expenses, to fund the purchase of the securities accepted pursuant to the Comcast Tender Offers, and the payment of related accrued and unpaid interest, premiums, fees and expenses. See Prospectus Supplement SummaryConcurrent Tender Offers. In the event that the Comcast Tender Offers are not consummated, or the net proceeds from this offering exceed the amount needed to fund the purchase of the securities accepted pursuant to the Comcast Tender Offers, we intend to use such net proceeds from this offering for general corporate purposes, including the repayment of debt. Sky intends to fund the purchase of the securities accepted pursuant to the Sky Tender Offer with cash on hand. The offering to which this prospectus supplement relates is not conditioned upon the completion of any or all of the Tender Offers, and there can be no assurance that we will consummate the Tender Offers on the terms described herein or at all. </w:t>
      </w:r>
    </w:p>
    <w:p>
      <w:pPr>
        <w:pStyle w:val="TextBody"/>
        <w:spacing w:before="240" w:after="0"/>
        <w:jc w:val="left"/>
        <w:rPr>
          <w:rFonts w:ascii="Times New Roman" w:hAnsi="Times New Roman"/>
          <w:sz w:val="20"/>
        </w:rPr>
      </w:pPr>
      <w:r>
        <w:rPr>
          <w:rFonts w:ascii="Times New Roman" w:hAnsi="Times New Roman"/>
          <w:sz w:val="20"/>
        </w:rPr>
        <w:t xml:space="preserve">This prospectus supplement does not constitute an offer to buy or the solicitation of an offer to sell any securities subject to the Tender Offers. </w:t>
      </w:r>
    </w:p>
    <w:p>
      <w:pPr>
        <w:pStyle w:val="TextBody"/>
        <w:spacing w:before="240" w:after="0"/>
        <w:jc w:val="left"/>
        <w:rPr>
          <w:rFonts w:ascii="Times New Roman" w:hAnsi="Times New Roman"/>
          <w:sz w:val="20"/>
        </w:rPr>
      </w:pPr>
      <w:r>
        <w:rPr>
          <w:rFonts w:ascii="Times New Roman" w:hAnsi="Times New Roman"/>
          <w:sz w:val="20"/>
        </w:rPr>
        <w:t xml:space="preserve">Certain of the underwriters or their affiliates hold the securities that are subject to the Comcast Tender Offers and/or our other debt and may receive proceeds from this offering through the purchase of such securities in connection with the Comcast Tender Offers and/or the repayment of our other debt. Certain of the underwriters or their affiliates are acting as dealer managers in connection with the Tender Offers, for which they will receive customary fees. See Underwriting.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srom49739_4"/>
      <w:bookmarkEnd w:id="6"/>
      <w:r>
        <w:rPr>
          <w:rFonts w:ascii="Times New Roman" w:hAnsi="Times New Roman"/>
          <w:b/>
          <w:sz w:val="20"/>
        </w:rPr>
        <w:t xml:space="preserve">DESCRIPTION OF THE NOTES </w:t>
      </w:r>
    </w:p>
    <w:p>
      <w:pPr>
        <w:pStyle w:val="TextBody"/>
        <w:spacing w:before="240" w:after="0"/>
        <w:jc w:val="left"/>
        <w:rPr>
          <w:rFonts w:ascii="Times New Roman" w:hAnsi="Times New Roman"/>
          <w:i/>
          <w:sz w:val="20"/>
        </w:rPr>
      </w:pPr>
      <w:r>
        <w:rPr>
          <w:rFonts w:ascii="Times New Roman" w:hAnsi="Times New Roman"/>
          <w:i/>
          <w:sz w:val="20"/>
        </w:rPr>
        <w:t xml:space="preserve">We are offering $1,000,000,000 aggregate principal amount of our 4.550% Notes due 2029, $1,000,000,000 aggregate principal amount of our 4.800% Notes due 2033, $1,600,000,000 aggregate principal amount of our 5.350% Notes due 2053 and $1,400,000,000 aggregate principal amount of our 5.500% Notes due 2064. The Notes due 2029, the Notes due 2033, the Notes due 2053 and the Notes due 2064 will each be a separate series of securities issued under a senior indenture dated September 18, 2013, entered into among us, the guarantors and The Bank of New York Mellon, as trustee, as amended by the first supplemental indenture dated as of November 17, 2015, entered into among us, the guarantors and The Bank of New York Mellon, as trustee, and as further amended by the second supplemental indenture dated as of July 29, 2022, entered into among us, the guarantors and The Bank of New York Mellon, as trustee (as amended, the indenture). The notes will be our direct unsecured and unsubordinated obligations and will be fully and unconditionally guaranteed by Comcast Cable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provided that if such additional notes are not fungible with the notes of the applicable series offered hereby for U.S. federal income tax purposes, such additional notes will have one or more separate CUSIP numbers. Copies of the indenture and the form of notes are available from us upon request. </w:t>
      </w:r>
    </w:p>
    <w:p>
      <w:pPr>
        <w:pStyle w:val="TextBody"/>
        <w:spacing w:before="240" w:after="0"/>
        <w:jc w:val="left"/>
        <w:rPr>
          <w:rFonts w:ascii="Times New Roman" w:hAnsi="Times New Roman"/>
          <w:i/>
          <w:sz w:val="20"/>
        </w:rPr>
      </w:pPr>
      <w:r>
        <w:rPr>
          <w:rFonts w:ascii="Times New Roman" w:hAnsi="Times New Roman"/>
          <w:i/>
          <w:sz w:val="20"/>
        </w:rPr>
        <w:t xml:space="preserve">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 </w:t>
      </w:r>
    </w:p>
    <w:p>
      <w:pPr>
        <w:pStyle w:val="TextBody"/>
        <w:spacing w:before="360" w:after="0"/>
        <w:jc w:val="left"/>
        <w:rPr>
          <w:rFonts w:ascii="Times New Roman" w:hAnsi="Times New Roman"/>
          <w:b/>
          <w:sz w:val="20"/>
        </w:rPr>
      </w:pPr>
      <w:r>
        <w:rPr>
          <w:rFonts w:ascii="Times New Roman" w:hAnsi="Times New Roman"/>
          <w:b/>
          <w:sz w:val="20"/>
        </w:rPr>
        <w:t xml:space="preserve">Basic Terms of the Notes </w:t>
      </w:r>
    </w:p>
    <w:p>
      <w:pPr>
        <w:pStyle w:val="TextBody"/>
        <w:spacing w:before="120" w:after="0"/>
        <w:jc w:val="left"/>
        <w:rPr>
          <w:rFonts w:ascii="Times New Roman" w:hAnsi="Times New Roman"/>
          <w:sz w:val="20"/>
        </w:rPr>
      </w:pPr>
      <w:r>
        <w:rPr>
          <w:rFonts w:ascii="Times New Roman" w:hAnsi="Times New Roman"/>
          <w:sz w:val="20"/>
        </w:rPr>
        <w:t xml:space="preserve">The notes: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will rank equally with all of our other unsecured and unsubordinated debt and will be entitled to the benefits of the guarantees described below;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will be issued in an initial aggregate principal amount of $5,000,000,000 comprised as follows: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204"/>
        <w:gridCol w:w="101"/>
        <w:gridCol w:w="8881"/>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$1,000,000,000 initial aggregate principal amount of 4.550% Notes due 2029, maturing on January 15, 2029, with interest payable semiannually on each January 15 and July 15, beginning January 15, 2024, to holders of record on the preceding January 1 and July 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204"/>
        <w:gridCol w:w="101"/>
        <w:gridCol w:w="8881"/>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$1,000,000,000 initial aggregate principal amount of 4.800% Notes due 2033, maturing on May 15, 2033, with interest payable semiannually on each May 15 and November 15, beginning November 15, 2023, to holders of record on the preceding May 1 and November 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204"/>
        <w:gridCol w:w="101"/>
        <w:gridCol w:w="8881"/>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$1,600,000,000 initial aggregate principal amount of 5.350% Notes due 2053, maturing on May 15, 2053, with interest payable semiannually on each May 15 and November 15, beginning November 15, 2023, to holders of record on the preceding May 1 and November 1;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1019"/>
        <w:gridCol w:w="204"/>
        <w:gridCol w:w="101"/>
        <w:gridCol w:w="8881"/>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$1,400,000,000 initial aggregate principal amount of 5.500% Notes due 2064, maturing on May 15, 2064, with interest payable semiannually on each May 15 and November 15, beginning November 15, 2023, to holders of record on the preceding May 1 and November 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are issuable in fully registered form, in denominations of $2,000 and in multiples of $1,000 in excess thereof. </w:t>
            </w:r>
          </w:p>
        </w:tc>
      </w:tr>
    </w:tbl>
    <w:p>
      <w:pPr>
        <w:pStyle w:val="TextBody"/>
        <w:spacing w:before="360" w:after="0"/>
        <w:jc w:val="left"/>
        <w:rPr>
          <w:rFonts w:ascii="Times New Roman" w:hAnsi="Times New Roman"/>
          <w:b/>
          <w:sz w:val="20"/>
        </w:rPr>
      </w:pPr>
      <w:r>
        <w:rPr>
          <w:rFonts w:ascii="Times New Roman" w:hAnsi="Times New Roman"/>
          <w:b/>
          <w:sz w:val="20"/>
        </w:rPr>
        <w:t xml:space="preserve">Interest Payments </w:t>
      </w:r>
    </w:p>
    <w:p>
      <w:pPr>
        <w:pStyle w:val="TextBody"/>
        <w:spacing w:before="120" w:after="0"/>
        <w:jc w:val="left"/>
        <w:rPr>
          <w:rFonts w:ascii="Times New Roman" w:hAnsi="Times New Roman"/>
          <w:sz w:val="20"/>
        </w:rPr>
      </w:pPr>
      <w:r>
        <w:rPr>
          <w:rFonts w:ascii="Times New Roman" w:hAnsi="Times New Roman"/>
          <w:sz w:val="20"/>
        </w:rPr>
        <w:t xml:space="preserve">Interest on the notes will be computed on the basis of a 360-day year consisting of twelve 30-day months.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Interest on the notes will accrue from (i) the earlier of May 9, 2023 and the date of original issuance or (ii) from the most recent interest payment date to which interest has been paid, and will be payable semiannually on the interest payment dates described for each year. </w:t>
      </w:r>
    </w:p>
    <w:p>
      <w:pPr>
        <w:pStyle w:val="TextBody"/>
        <w:spacing w:before="240" w:after="0"/>
        <w:jc w:val="left"/>
        <w:rPr>
          <w:rFonts w:ascii="Times New Roman" w:hAnsi="Times New Roman"/>
          <w:sz w:val="20"/>
        </w:rPr>
      </w:pPr>
      <w:r>
        <w:rPr>
          <w:rFonts w:ascii="Times New Roman" w:hAnsi="Times New Roman"/>
          <w:sz w:val="20"/>
        </w:rPr>
        <w:t xml:space="preserve">If any interest payment date, maturity date or redemption date falls on a day that is not a business day, the payment will be made on the next business day with the same force and effect as if made on the relevant interest payment date, maturity date or redemption date, and no interest will accrue in respect of the delay. </w:t>
      </w:r>
    </w:p>
    <w:p>
      <w:pPr>
        <w:pStyle w:val="TextBody"/>
        <w:spacing w:before="240" w:after="0"/>
        <w:jc w:val="left"/>
        <w:rPr>
          <w:rFonts w:ascii="Times New Roman" w:hAnsi="Times New Roman"/>
          <w:sz w:val="20"/>
        </w:rPr>
      </w:pPr>
      <w:r>
        <w:rPr>
          <w:rFonts w:ascii="Times New Roman" w:hAnsi="Times New Roman"/>
          <w:sz w:val="20"/>
        </w:rPr>
        <w:t xml:space="preserve">For more information on payment and transfer procedures for the notes, see Book-Entry System below. </w:t>
      </w:r>
    </w:p>
    <w:p>
      <w:pPr>
        <w:pStyle w:val="TextBody"/>
        <w:spacing w:before="360" w:after="0"/>
        <w:jc w:val="left"/>
        <w:rPr>
          <w:rFonts w:ascii="Times New Roman" w:hAnsi="Times New Roman"/>
          <w:b/>
          <w:sz w:val="20"/>
        </w:rPr>
      </w:pPr>
      <w:r>
        <w:rPr>
          <w:rFonts w:ascii="Times New Roman" w:hAnsi="Times New Roman"/>
          <w:b/>
          <w:sz w:val="20"/>
        </w:rPr>
        <w:t xml:space="preserve">Guarantees </w:t>
      </w:r>
    </w:p>
    <w:p>
      <w:pPr>
        <w:pStyle w:val="TextBody"/>
        <w:spacing w:before="120" w:after="0"/>
        <w:jc w:val="left"/>
        <w:rPr>
          <w:rFonts w:ascii="Times New Roman" w:hAnsi="Times New Roman"/>
          <w:sz w:val="20"/>
        </w:rPr>
      </w:pPr>
      <w:r>
        <w:rPr>
          <w:rFonts w:ascii="Times New Roman" w:hAnsi="Times New Roman"/>
          <w:sz w:val="20"/>
        </w:rPr>
        <w:t xml:space="preserve">Our obligations, including the payment of principal, premium, if any, and interest, will be fully and unconditionally guaranteed by each of the guarantors as described in the accompanying prospectus. </w:t>
      </w:r>
    </w:p>
    <w:p>
      <w:pPr>
        <w:pStyle w:val="TextBody"/>
        <w:spacing w:before="240" w:after="0"/>
        <w:jc w:val="left"/>
        <w:rPr>
          <w:rFonts w:ascii="Times New Roman" w:hAnsi="Times New Roman"/>
          <w:sz w:val="20"/>
        </w:rPr>
      </w:pPr>
      <w:r>
        <w:rPr>
          <w:rFonts w:ascii="Times New Roman" w:hAnsi="Times New Roman"/>
          <w:sz w:val="20"/>
        </w:rPr>
        <w:t xml:space="preserve">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 </w:t>
      </w:r>
    </w:p>
    <w:p>
      <w:pPr>
        <w:pStyle w:val="TextBody"/>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spacing w:before="120" w:after="0"/>
        <w:jc w:val="left"/>
        <w:rPr>
          <w:rFonts w:ascii="Times New Roman" w:hAnsi="Times New Roman"/>
          <w:sz w:val="20"/>
        </w:rPr>
      </w:pPr>
      <w:r>
        <w:rPr>
          <w:rFonts w:ascii="Times New Roman" w:hAnsi="Times New Roman"/>
          <w:sz w:val="20"/>
        </w:rPr>
        <w:t xml:space="preserve">Prior to December 15, 2028 (one (1) month prior to the maturity date of the Notes due 2029) with respect to the Notes due 2029 (the 2029 Notes Par Call Date), prior to February 15, 2033 (three (3) months prior to the maturity date of the Notes due 2033) with respect to the Notes due 2033 (the 2033 Notes Par Call Date), prior to November 15, 2052 (six (6) months prior to the maturity date of the Notes due 2053) with respect to the Notes due 2053 (the 2053 Notes Par Call Date) and prior to November 15, 2063 (six (6) months prior to the maturity date of the Notes due 2064) with respect to the Notes due 2064 (the 2064 Notes Par Call Date and, together with the 2029 Notes Par Call Date, the 2033 Notes Par Call Date and the 2053 Notes Par Call Date, each a Par Call Date), we may redeem such notes at our option, in whole or in part, at any time and from time to time, at a redemption price (expressed as a percentage of the principal amount and rounded to three decimal places) equal to the greater of: </w:t>
      </w:r>
    </w:p>
    <w:p>
      <w:pPr>
        <w:pStyle w:val="TextBody"/>
        <w:spacing w:before="12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for this purpose, that such notes mature on the applicable Par Call Date) on a semi-annual basis (assuming a 360-day year consisting of twelve 30-day months) at the Treasury Rate plus 15 basis points, in the case of the Notes due 2029, 20 basis points, in the case of the Notes due 2033, 25 basis points, in the case of the Notes due 2053, and 30 basis points, in the case of the Notes due 2064, as applicable, less (b) interest accrued to the date of redemption, and </w:t>
      </w:r>
    </w:p>
    <w:p>
      <w:pPr>
        <w:pStyle w:val="TextBody"/>
        <w:spacing w:before="120" w:after="0"/>
        <w:jc w:val="left"/>
        <w:rPr>
          <w:rFonts w:ascii="Times New Roman" w:hAnsi="Times New Roman"/>
          <w:sz w:val="20"/>
        </w:rPr>
      </w:pPr>
      <w:r>
        <w:rPr>
          <w:rFonts w:ascii="Times New Roman" w:hAnsi="Times New Roman"/>
          <w:sz w:val="20"/>
        </w:rPr>
        <w:t xml:space="preserve">(2)    100% of the principal amount of the notes of the applicable series to be redeemed, </w:t>
      </w:r>
    </w:p>
    <w:p>
      <w:pPr>
        <w:pStyle w:val="TextBody"/>
        <w:spacing w:before="240" w:after="0"/>
        <w:jc w:val="left"/>
        <w:rPr>
          <w:rFonts w:ascii="Times New Roman" w:hAnsi="Times New Roman"/>
          <w:sz w:val="20"/>
        </w:rPr>
      </w:pPr>
      <w:r>
        <w:rPr>
          <w:rFonts w:ascii="Times New Roman" w:hAnsi="Times New Roman"/>
          <w:sz w:val="20"/>
        </w:rPr>
        <w:t xml:space="preserve">plus, in either case, accrued and unpaid interest thereon to the redemption date. </w:t>
      </w:r>
    </w:p>
    <w:p>
      <w:pPr>
        <w:pStyle w:val="TextBody"/>
        <w:spacing w:before="240" w:after="0"/>
        <w:jc w:val="left"/>
        <w:rPr>
          <w:rFonts w:ascii="Times New Roman" w:hAnsi="Times New Roman"/>
          <w:sz w:val="20"/>
        </w:rPr>
      </w:pPr>
      <w:r>
        <w:rPr>
          <w:rFonts w:ascii="Times New Roman" w:hAnsi="Times New Roman"/>
          <w:sz w:val="20"/>
        </w:rPr>
        <w:t xml:space="preserve">On or after the 2029 Notes Par Call Date, in the case of the Notes due 2029, the 2033 Notes Par Call Date, in the case of the Notes due 2033, the 2053 Notes Par Call Date, in the case of the Notes due 2053, and the 2064 Notes Par Call Date, in the case of the Notes due 2064, as applicable, we may redeem such series of notes, in whole or in part, at any time and from time to time, at a redemption price equal to 100% of the principal amount of the notes being redeemed, plus accrued and unpaid interest thereon to the redemption date. </w:t>
      </w:r>
    </w:p>
    <w:p>
      <w:pPr>
        <w:pStyle w:val="TextBody"/>
        <w:spacing w:before="240" w:after="0"/>
        <w:jc w:val="left"/>
        <w:rPr>
          <w:rFonts w:ascii="Times New Roman" w:hAnsi="Times New Roman"/>
          <w:sz w:val="20"/>
        </w:rPr>
      </w:pPr>
      <w:r>
        <w:rPr>
          <w:rFonts w:ascii="Times New Roman" w:hAnsi="Times New Roman"/>
          <w:sz w:val="20"/>
        </w:rPr>
        <w:t xml:space="preserve">Treasury Rate means, with respect to any redemption date, the yield determined by us in accordance with the following two paragraphs.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Treasury Rate shall be determined by us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(H.15 TCM). In determining the Treasury Rate, we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we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relevant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such Par Call Date, and one with a maturity date following such Par Call Date, we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we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the principal amount) at 11:00 a.m., New York City time, of such United States Treasury security, and rounded to three decimal places. </w:t>
      </w:r>
    </w:p>
    <w:p>
      <w:pPr>
        <w:pStyle w:val="TextBody"/>
        <w:spacing w:before="240" w:after="0"/>
        <w:jc w:val="left"/>
        <w:rPr>
          <w:rFonts w:ascii="Times New Roman" w:hAnsi="Times New Roman"/>
          <w:sz w:val="20"/>
        </w:rPr>
      </w:pPr>
      <w:r>
        <w:rPr>
          <w:rFonts w:ascii="Times New Roman" w:hAnsi="Times New Roman"/>
          <w:sz w:val="20"/>
        </w:rPr>
        <w:t xml:space="preserve">Our actions and determinations in determining the redemption price shall be conclusive and binding for all purposes, absent manifest error. </w:t>
      </w:r>
    </w:p>
    <w:p>
      <w:pPr>
        <w:pStyle w:val="TextBody"/>
        <w:spacing w:before="240" w:after="0"/>
        <w:jc w:val="left"/>
        <w:rPr>
          <w:rFonts w:ascii="Times New Roman" w:hAnsi="Times New Roman"/>
          <w:sz w:val="20"/>
        </w:rPr>
      </w:pPr>
      <w:r>
        <w:rPr>
          <w:rFonts w:ascii="Times New Roman" w:hAnsi="Times New Roman"/>
          <w:sz w:val="20"/>
        </w:rPr>
        <w:t xml:space="preserve">Notice of any redemption will be mailed or electronically delivered (or otherwise transmitted in accordance with the depositarys procedures) at least 10 days but not more than 60 days before the redemption date to each holder of the applicable series of notes to be redeemed. </w:t>
      </w:r>
    </w:p>
    <w:p>
      <w:pPr>
        <w:pStyle w:val="TextBody"/>
        <w:spacing w:before="240" w:after="0"/>
        <w:jc w:val="left"/>
        <w:rPr>
          <w:rFonts w:ascii="Times New Roman" w:hAnsi="Times New Roman"/>
          <w:sz w:val="20"/>
        </w:rPr>
      </w:pPr>
      <w:r>
        <w:rPr>
          <w:rFonts w:ascii="Times New Roman" w:hAnsi="Times New Roman"/>
          <w:sz w:val="20"/>
        </w:rPr>
        <w:t xml:space="preserve">In the case of a partial redemption, selection of the applicable series of notes for redemption will be made, if such series of notes are in the form of one or more global securities, in accordance with the procedures of The Depository Trust Company (or another depositary) or, if such series of notes are not in the form of one or more global securities, by lot. No notes of any series of a principal amount of $2,000 or less will be redeemed in part. If any note of a series is to be redeemed in part only, the notice of redemption that relates to such note will state the portion of the principal amount of the applicable note to be redeemed. A new note of any series in a principal amount equal to the unredeemed portion of the applicable note will be issued in the name of the holder of such note upon surrender for cancellation of such original note. For so long as any series of notes are registered in the name of The Depository Trust Company (or another depositary) or such depositarys nominee, the redemption of such series of notes shall be done in accordance with the policies and procedures of the depositary.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Unless we default in payment of the redemption price, on and after the redemption date, interest will cease to accrue on the applicable series of notes or portions thereof called for redemption. </w:t>
      </w:r>
    </w:p>
    <w:p>
      <w:pPr>
        <w:pStyle w:val="TextBody"/>
        <w:spacing w:before="360" w:after="0"/>
        <w:jc w:val="left"/>
        <w:rPr>
          <w:rFonts w:ascii="Times New Roman" w:hAnsi="Times New Roman"/>
          <w:b/>
          <w:sz w:val="20"/>
        </w:rPr>
      </w:pPr>
      <w:r>
        <w:rPr>
          <w:rFonts w:ascii="Times New Roman" w:hAnsi="Times New Roman"/>
          <w:b/>
          <w:sz w:val="20"/>
        </w:rPr>
        <w:t xml:space="preserve">No Mandatory Redemption or Sinking Fund </w:t>
      </w:r>
    </w:p>
    <w:p>
      <w:pPr>
        <w:pStyle w:val="TextBody"/>
        <w:spacing w:before="120" w:after="0"/>
        <w:jc w:val="left"/>
        <w:rPr>
          <w:rFonts w:ascii="Times New Roman" w:hAnsi="Times New Roman"/>
          <w:sz w:val="20"/>
        </w:rPr>
      </w:pPr>
      <w:r>
        <w:rPr>
          <w:rFonts w:ascii="Times New Roman" w:hAnsi="Times New Roman"/>
          <w:sz w:val="20"/>
        </w:rPr>
        <w:t xml:space="preserve">There will be no mandatory redemption prior to maturity or sinking fund payments for the notes. </w:t>
      </w:r>
    </w:p>
    <w:p>
      <w:pPr>
        <w:pStyle w:val="TextBody"/>
        <w:spacing w:before="360" w:after="0"/>
        <w:jc w:val="left"/>
        <w:rPr>
          <w:rFonts w:ascii="Times New Roman" w:hAnsi="Times New Roman"/>
          <w:b/>
          <w:sz w:val="20"/>
        </w:rPr>
      </w:pPr>
      <w:r>
        <w:rPr>
          <w:rFonts w:ascii="Times New Roman" w:hAnsi="Times New Roman"/>
          <w:b/>
          <w:sz w:val="20"/>
        </w:rPr>
        <w:t xml:space="preserve">Additional Debt </w:t>
      </w:r>
    </w:p>
    <w:p>
      <w:pPr>
        <w:pStyle w:val="TextBody"/>
        <w:spacing w:before="120" w:after="0"/>
        <w:jc w:val="left"/>
        <w:rPr>
          <w:rFonts w:ascii="Times New Roman" w:hAnsi="Times New Roman"/>
          <w:sz w:val="20"/>
        </w:rPr>
      </w:pPr>
      <w:r>
        <w:rPr>
          <w:rFonts w:ascii="Times New Roman" w:hAnsi="Times New Roman"/>
          <w:sz w:val="20"/>
        </w:rPr>
        <w:t xml:space="preserve">The indenture does not limit the amount of debt we may issue under the indenture or otherwise. </w:t>
      </w:r>
    </w:p>
    <w:p>
      <w:pPr>
        <w:pStyle w:val="TextBody"/>
        <w:spacing w:before="360" w:after="0"/>
        <w:jc w:val="left"/>
        <w:rPr>
          <w:rFonts w:ascii="Times New Roman" w:hAnsi="Times New Roman"/>
          <w:b/>
          <w:sz w:val="20"/>
        </w:rPr>
      </w:pPr>
      <w:r>
        <w:rPr>
          <w:rFonts w:ascii="Times New Roman" w:hAnsi="Times New Roman"/>
          <w:b/>
          <w:sz w:val="20"/>
        </w:rPr>
        <w:t xml:space="preserve">Book-Entry System </w:t>
      </w:r>
    </w:p>
    <w:p>
      <w:pPr>
        <w:pStyle w:val="TextBody"/>
        <w:spacing w:before="120" w:after="0"/>
        <w:jc w:val="left"/>
        <w:rPr>
          <w:rFonts w:ascii="Times New Roman" w:hAnsi="Times New Roman"/>
          <w:sz w:val="20"/>
        </w:rPr>
      </w:pPr>
      <w:r>
        <w:rPr>
          <w:rFonts w:ascii="Times New Roman" w:hAnsi="Times New Roman"/>
          <w:sz w:val="20"/>
        </w:rPr>
        <w:t xml:space="preserve">We will initially issue the notes in the form of one or more global notes (the Global Notes). The Global Notes will be deposited with, or on behalf of, The Depository Trust Company (DTC) and registered in the name of DTC or its nominee. Except as set forth below, the Global Notes may be transferred, in whole and not in part, only to DTC or another nominee of DTC. A holder may hold beneficial interests in the Global Notes directly through DTC if such holder has an account with DTC or indirectly through organizations which have accounts with DTC, including Euroclear and Clearstream. </w:t>
      </w:r>
    </w:p>
    <w:p>
      <w:pPr>
        <w:pStyle w:val="TextBody"/>
        <w:spacing w:before="240" w:after="0"/>
        <w:jc w:val="left"/>
        <w:rPr>
          <w:rFonts w:ascii="Times New Roman" w:hAnsi="Times New Roman"/>
          <w:sz w:val="20"/>
        </w:rPr>
      </w:pPr>
      <w:r>
        <w:rPr>
          <w:rFonts w:ascii="Times New Roman" w:hAnsi="Times New Roman"/>
          <w:sz w:val="20"/>
        </w:rPr>
        <w:t xml:space="preserve">Holders may hold interests in the notes outside the United States through Euroclear or Clearstream if they are participants in those systems, or indirectly through organizations which are participants in those systems. </w:t>
      </w:r>
    </w:p>
    <w:p>
      <w:pPr>
        <w:pStyle w:val="TextBody"/>
        <w:spacing w:before="240" w:after="0"/>
        <w:jc w:val="left"/>
        <w:rPr>
          <w:rFonts w:ascii="Times New Roman" w:hAnsi="Times New Roman"/>
          <w:sz w:val="20"/>
        </w:rPr>
      </w:pPr>
      <w:r>
        <w:rPr>
          <w:rFonts w:ascii="Times New Roman" w:hAnsi="Times New Roman"/>
          <w:sz w:val="20"/>
        </w:rPr>
        <w:t xml:space="preserve">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 </w:t>
      </w:r>
    </w:p>
    <w:p>
      <w:pPr>
        <w:pStyle w:val="TextBody"/>
        <w:spacing w:before="360" w:after="0"/>
        <w:jc w:val="left"/>
        <w:rPr>
          <w:rFonts w:ascii="Times New Roman" w:hAnsi="Times New Roman"/>
          <w:b/>
          <w:i/>
          <w:sz w:val="20"/>
        </w:rPr>
      </w:pPr>
      <w:r>
        <w:rPr>
          <w:rFonts w:ascii="Times New Roman" w:hAnsi="Times New Roman"/>
          <w:b/>
          <w:i/>
          <w:sz w:val="20"/>
        </w:rPr>
        <w:t xml:space="preserve">DTC </w:t>
      </w:r>
    </w:p>
    <w:p>
      <w:pPr>
        <w:pStyle w:val="TextBody"/>
        <w:spacing w:before="120" w:after="0"/>
        <w:jc w:val="left"/>
        <w:rPr>
          <w:rFonts w:ascii="Times New Roman" w:hAnsi="Times New Roman"/>
          <w:sz w:val="20"/>
        </w:rPr>
      </w:pPr>
      <w:r>
        <w:rPr>
          <w:rFonts w:ascii="Times New Roman" w:hAnsi="Times New Roman"/>
          <w:sz w:val="20"/>
        </w:rPr>
        <w:t xml:space="preserve">DTC has advised us as follows: DTC is a limited purpose trust company organized under the laws of the State of New York,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banks, trust companies, clearing corporations and certain other organizations. Access to DTCs book-entry system is also available to others such as banks, brokers, dealers and trust companies (collectively, the indirect participants) that clear through or maintain a custodial relationship with a participant, whether directly or indirectly. </w:t>
      </w:r>
    </w:p>
    <w:p>
      <w:pPr>
        <w:pStyle w:val="TextBody"/>
        <w:spacing w:before="240" w:after="0"/>
        <w:jc w:val="left"/>
        <w:rPr>
          <w:rFonts w:ascii="Times New Roman" w:hAnsi="Times New Roman"/>
          <w:sz w:val="20"/>
        </w:rPr>
      </w:pPr>
      <w:r>
        <w:rPr>
          <w:rFonts w:ascii="Times New Roman" w:hAnsi="Times New Roman"/>
          <w:sz w:val="20"/>
        </w:rPr>
        <w:t xml:space="preserve">We expect that pursuant to procedures established by DTC, upon the deposit of the Global Notes with DTC, DTC will credit on its book-entry registration and transfer system the principal amount of notes represented by such Global Notes to the accounts of participants. Ownership of beneficial interests in the Global Notes will be limited to participants or persons that may hold interests through participants. Ownership of beneficial interests in the Global Notes will be shown on and the transfer of those ownership interests will be effected only through, records maintained by DTC (with respect to participants interests), the participants and the indirect participants (with respect to the owners of beneficial interests in the Global Note other than participants). All interests in a Global Note deposited with DTC are subject to the procedures and requirements of DTC.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The laws of some jurisdictions may require that certain purchasers of securities take physical delivery of such securities in definitive form. Such limits and laws may impair the ability to transfer or pledge beneficial interests in the Global Notes. </w:t>
      </w:r>
    </w:p>
    <w:p>
      <w:pPr>
        <w:pStyle w:val="TextBody"/>
        <w:spacing w:before="240" w:after="0"/>
        <w:jc w:val="left"/>
        <w:rPr>
          <w:rFonts w:ascii="Times New Roman" w:hAnsi="Times New Roman"/>
          <w:sz w:val="20"/>
        </w:rPr>
      </w:pPr>
      <w:r>
        <w:rPr>
          <w:rFonts w:ascii="Times New Roman" w:hAnsi="Times New Roman"/>
          <w:sz w:val="20"/>
        </w:rPr>
        <w:t xml:space="preserve">So long as DTC (or its nominee) is the registered holder and owner of a Global Note, DTC (or such nominee) will be considered the sole legal owner and holder of the notes evidenced by such Global Note for all purposes of such notes and the indenture. Except as set forth below under Certificated Notes, as an owner of a beneficial interest in a Global Note, you will not be entitled to have the notes represented by such Global Note registered in your name, will not receive or be entitled to receive physical delivery of certificated notes and will not be considered to be the owner or holder of any notes under such Global Note. We understand that under existing industry practice, in the event an owner of a beneficial interest in a Global Note desires to take any action that DTC, as the holder of such Global Note, is entitled to take, DTC would authorize the participants to take such action, and the participants would authorize beneficial owners owning through such participants to take such action or would otherwise act upon the instructions of beneficial owners owning through them. </w:t>
      </w:r>
    </w:p>
    <w:p>
      <w:pPr>
        <w:pStyle w:val="TextBody"/>
        <w:spacing w:before="240" w:after="0"/>
        <w:jc w:val="left"/>
        <w:rPr>
          <w:rFonts w:ascii="Times New Roman" w:hAnsi="Times New Roman"/>
          <w:sz w:val="20"/>
        </w:rPr>
      </w:pPr>
      <w:r>
        <w:rPr>
          <w:rFonts w:ascii="Times New Roman" w:hAnsi="Times New Roman"/>
          <w:sz w:val="20"/>
        </w:rPr>
        <w:t xml:space="preserve">We will make payments of principal of, premium, if any, and interest on the notes represented by the Global Notes registered in the name of and held by DTC or its nominee to DTC or its nominee, as the case may be, as the registered owner and holder of the Global Notes. </w:t>
      </w:r>
    </w:p>
    <w:p>
      <w:pPr>
        <w:pStyle w:val="TextBody"/>
        <w:spacing w:before="240" w:after="0"/>
        <w:jc w:val="left"/>
        <w:rPr>
          <w:rFonts w:ascii="Times New Roman" w:hAnsi="Times New Roman"/>
          <w:sz w:val="20"/>
        </w:rPr>
      </w:pPr>
      <w:r>
        <w:rPr>
          <w:rFonts w:ascii="Times New Roman" w:hAnsi="Times New Roman"/>
          <w:sz w:val="20"/>
        </w:rPr>
        <w:t xml:space="preserve">We expect that DTC (or its nominee), upon receipt of any payment of principal of, premium, if any, or interest on the Global Notes will credit the accounts of their relevant participants or account holders, as applicable, with payments in amounts proportionate to their respective beneficial interests in the principal amount of the applicable Global Note as shown on the records of DTC (or its nominee). We also expect that payments by participants or indirect participants or account holders, as applicable, to owners of beneficial interests in the Global Notes held through such participants or indirect participants or account holders will be governed by standing instructions and customary practices and will be the responsibility of such participants or indirect participants or account holders, as applicable. We will not have any responsibility or liability for any aspect of the records relating to, or payments made on account of, beneficial ownership interests in the Global Notes for any notes or for maintaining, supervising or reviewing any records relating to such beneficial ownership interests or for any other aspect of the relationship between DTC and its participants or indirect participants, or the relationship between such participants or indirect participants, and the owners of beneficial interests in the Global Notes owning through such participants. </w:t>
      </w:r>
    </w:p>
    <w:p>
      <w:pPr>
        <w:pStyle w:val="TextBody"/>
        <w:spacing w:before="240" w:after="0"/>
        <w:jc w:val="left"/>
        <w:rPr>
          <w:rFonts w:ascii="Times New Roman" w:hAnsi="Times New Roman"/>
          <w:sz w:val="20"/>
        </w:rPr>
      </w:pPr>
      <w:r>
        <w:rPr>
          <w:rFonts w:ascii="Times New Roman" w:hAnsi="Times New Roman"/>
          <w:sz w:val="20"/>
        </w:rPr>
        <w:t xml:space="preserve">All amounts payable under the notes will be payable in U.S. dollars, except as may otherwise be agreed between any applicable securities clearing system and any holders. Payments will be subject in all cases to any fiscal or other laws and regulations (including any regulations of any applicable securities clearing system) applicable thereto. None of the trustee, us, the guarantors or any of our or their respective agents shall be liable to any holder of a Global Note or other person for any commissions, costs, losses or expenses in relation to or resulting from any currency conversion or rounding effected in connection therewith. Investors may be subject to foreign exchange risks that may have important economic and tax consequences to them. </w:t>
      </w:r>
    </w:p>
    <w:p>
      <w:pPr>
        <w:pStyle w:val="TextBody"/>
        <w:spacing w:before="360" w:after="0"/>
        <w:jc w:val="left"/>
        <w:rPr>
          <w:rFonts w:ascii="Times New Roman" w:hAnsi="Times New Roman"/>
          <w:b/>
          <w:i/>
          <w:sz w:val="20"/>
        </w:rPr>
      </w:pPr>
      <w:r>
        <w:rPr>
          <w:rFonts w:ascii="Times New Roman" w:hAnsi="Times New Roman"/>
          <w:b/>
          <w:i/>
          <w:sz w:val="20"/>
        </w:rPr>
        <w:t xml:space="preserve">Certificated Notes </w:t>
      </w:r>
    </w:p>
    <w:p>
      <w:pPr>
        <w:pStyle w:val="TextBody"/>
        <w:spacing w:before="120" w:after="0"/>
        <w:jc w:val="left"/>
        <w:rPr>
          <w:rFonts w:ascii="Times New Roman" w:hAnsi="Times New Roman"/>
          <w:sz w:val="20"/>
        </w:rPr>
      </w:pPr>
      <w:r>
        <w:rPr>
          <w:rFonts w:ascii="Times New Roman" w:hAnsi="Times New Roman"/>
          <w:sz w:val="20"/>
        </w:rPr>
        <w:t xml:space="preserve">Subject to certain conditions, the notes represented by the Global Notes are exchangeable for certificated notes in definitive form of like tenor in minimum denominations of $2,000 principal amount and multiples of $1,000 in excess thereof if: </w:t>
      </w:r>
    </w:p>
    <w:p>
      <w:pPr>
        <w:pStyle w:val="TextBody"/>
        <w:spacing w:before="120" w:after="0"/>
        <w:jc w:val="left"/>
        <w:rPr>
          <w:rFonts w:ascii="Times New Roman" w:hAnsi="Times New Roman"/>
          <w:sz w:val="20"/>
        </w:rPr>
      </w:pPr>
      <w:r>
        <w:rPr>
          <w:rFonts w:ascii="Times New Roman" w:hAnsi="Times New Roman"/>
          <w:sz w:val="20"/>
        </w:rPr>
        <w:t xml:space="preserve">(1)    DTC provides notification that it is unwilling or unable to continue as depositary for the Global Notes or DTC ceases to be a clearing agency registered under the Exchange Act and, in either case, a successor is not appointed within 90 days; </w:t>
      </w:r>
    </w:p>
    <w:p>
      <w:pPr>
        <w:pStyle w:val="TextBody"/>
        <w:spacing w:before="120" w:after="0"/>
        <w:jc w:val="left"/>
        <w:rPr>
          <w:rFonts w:ascii="Times New Roman" w:hAnsi="Times New Roman"/>
          <w:sz w:val="20"/>
        </w:rPr>
      </w:pPr>
      <w:r>
        <w:rPr>
          <w:rFonts w:ascii="Times New Roman" w:hAnsi="Times New Roman"/>
          <w:sz w:val="20"/>
        </w:rPr>
        <w:t xml:space="preserve">(2)    we in our discretion at any time determine not to have all the notes represented by the Global Notes;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(3)    a default entitling the holders of the applicable notes to accelerate the maturity thereof has occurred and is continuing. </w:t>
      </w:r>
    </w:p>
    <w:p>
      <w:pPr>
        <w:pStyle w:val="TextBody"/>
        <w:spacing w:before="240" w:after="0"/>
        <w:jc w:val="left"/>
        <w:rPr>
          <w:rFonts w:ascii="Times New Roman" w:hAnsi="Times New Roman"/>
          <w:sz w:val="20"/>
        </w:rPr>
      </w:pPr>
      <w:r>
        <w:rPr>
          <w:rFonts w:ascii="Times New Roman" w:hAnsi="Times New Roman"/>
          <w:sz w:val="20"/>
        </w:rPr>
        <w:t xml:space="preserve">Any note that is exchangeable as above is exchangeable for certificated notes issuable in authorized denominations and registered in such names as DTC shall direct. Subject to the foregoing, a Global Note is not exchangeable, except for a Global Note of the same aggregate denomination to be registered in the name of DTC (or its nominee). </w:t>
      </w:r>
    </w:p>
    <w:p>
      <w:pPr>
        <w:pStyle w:val="TextBody"/>
        <w:spacing w:before="360" w:after="0"/>
        <w:jc w:val="left"/>
        <w:rPr>
          <w:rFonts w:ascii="Times New Roman" w:hAnsi="Times New Roman"/>
          <w:b/>
          <w:i/>
          <w:sz w:val="20"/>
        </w:rPr>
      </w:pPr>
      <w:r>
        <w:rPr>
          <w:rFonts w:ascii="Times New Roman" w:hAnsi="Times New Roman"/>
          <w:b/>
          <w:i/>
          <w:sz w:val="20"/>
        </w:rPr>
        <w:t xml:space="preserve">Same-Day Payment </w:t>
      </w:r>
    </w:p>
    <w:p>
      <w:pPr>
        <w:pStyle w:val="TextBody"/>
        <w:spacing w:before="120" w:after="0"/>
        <w:jc w:val="left"/>
        <w:rPr>
          <w:rFonts w:ascii="Times New Roman" w:hAnsi="Times New Roman"/>
          <w:sz w:val="20"/>
        </w:rPr>
      </w:pPr>
      <w:r>
        <w:rPr>
          <w:rFonts w:ascii="Times New Roman" w:hAnsi="Times New Roman"/>
          <w:sz w:val="20"/>
        </w:rPr>
        <w:t xml:space="preserve">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 </w:t>
      </w:r>
    </w:p>
    <w:p>
      <w:pPr>
        <w:pStyle w:val="TextBody"/>
        <w:spacing w:before="240" w:after="0"/>
        <w:jc w:val="left"/>
        <w:rPr>
          <w:rFonts w:ascii="Times New Roman" w:hAnsi="Times New Roman"/>
          <w:sz w:val="20"/>
        </w:rPr>
      </w:pPr>
      <w:r>
        <w:rPr>
          <w:rFonts w:ascii="Times New Roman" w:hAnsi="Times New Roman"/>
          <w:sz w:val="20"/>
        </w:rPr>
        <w:t xml:space="preserve">Payments (including principal, premium and interest) and transfers with respect to notes in certificated form may be executed at the office or agency maintained for such purpose within the City and State of New York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srom49739_5"/>
      <w:bookmarkEnd w:id="7"/>
      <w:r>
        <w:rPr>
          <w:rFonts w:ascii="Times New Roman" w:hAnsi="Times New Roman"/>
          <w:b/>
          <w:sz w:val="20"/>
        </w:rPr>
        <w:t xml:space="preserve">MATERIAL U.S. FEDERAL INCOME TAX CONSEQUENCES FOR NON-U.S. HOLDERS </w:t>
      </w:r>
    </w:p>
    <w:p>
      <w:pPr>
        <w:pStyle w:val="TextBody"/>
        <w:spacing w:before="240" w:after="0"/>
        <w:jc w:val="left"/>
        <w:rPr>
          <w:rFonts w:ascii="Times New Roman" w:hAnsi="Times New Roman"/>
          <w:sz w:val="20"/>
        </w:rPr>
      </w:pPr>
      <w:r>
        <w:rPr>
          <w:rFonts w:ascii="Times New Roman" w:hAnsi="Times New Roman"/>
          <w:sz w:val="20"/>
        </w:rPr>
        <w:t xml:space="preserve">The following are the material U.S. federal income tax consequences of ownership and disposition of the notes. This discussion only applies to notes that meet all of the following conditions: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they are held as capital assets;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they are beneficially owned by Non-U.S. Holders (as defined below). </w:t>
            </w:r>
          </w:p>
        </w:tc>
      </w:tr>
    </w:tbl>
    <w:p>
      <w:pPr>
        <w:pStyle w:val="TextBody"/>
        <w:spacing w:before="240" w:after="0"/>
        <w:jc w:val="left"/>
        <w:rPr>
          <w:rFonts w:ascii="Times New Roman" w:hAnsi="Times New Roman"/>
          <w:sz w:val="20"/>
        </w:rPr>
      </w:pPr>
      <w:r>
        <w:rPr>
          <w:rFonts w:ascii="Times New Roman" w:hAnsi="Times New Roman"/>
          <w:sz w:val="20"/>
        </w:rPr>
        <w:t xml:space="preserve">This discussion does not describe all of the tax consequences that may be relevant to beneficial owners of notes in light of their particular circumstances or to beneficial owners of notes subject to special rules, such as: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financial institutions;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tax-exempt entities;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persons liable for the alternative minimum tax;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dealers in securities or foreign currencies;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U.S. expatriates;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persons holding notes as part of a hedge, straddle or other integrated transaction;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partnerships or other arrangements or entities classified as partnerships for U.S. federal income tax purposes;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persons required for U.S. federal income tax purposes to conform the timing of income accruals with respect to the notes to their financial statements under Section 451 of the Internal Revenue Code of 1986, as amended (the Code). </w:t>
            </w:r>
          </w:p>
        </w:tc>
      </w:tr>
    </w:tbl>
    <w:p>
      <w:pPr>
        <w:pStyle w:val="TextBody"/>
        <w:spacing w:before="240" w:after="0"/>
        <w:jc w:val="left"/>
        <w:rPr>
          <w:rFonts w:ascii="Times New Roman" w:hAnsi="Times New Roman"/>
          <w:sz w:val="20"/>
        </w:rPr>
      </w:pPr>
      <w:r>
        <w:rPr>
          <w:rFonts w:ascii="Times New Roman" w:hAnsi="Times New Roman"/>
          <w:sz w:val="20"/>
        </w:rPr>
        <w:t xml:space="preserve">If a partnership or other arrangement or entity classified as a partnership for U.S. federal income tax purposes holds notes, the tax treatment of a partner will generally depend upon the status of the partner and the activities of the partnership. A partner of a partnership holding notes is urged to consult his, her or its tax advisor. </w:t>
      </w:r>
    </w:p>
    <w:p>
      <w:pPr>
        <w:pStyle w:val="TextBody"/>
        <w:spacing w:before="240" w:after="0"/>
        <w:jc w:val="left"/>
        <w:rPr>
          <w:rFonts w:ascii="Times New Roman" w:hAnsi="Times New Roman"/>
          <w:sz w:val="20"/>
        </w:rPr>
      </w:pPr>
      <w:r>
        <w:rPr>
          <w:rFonts w:ascii="Times New Roman" w:hAnsi="Times New Roman"/>
          <w:sz w:val="20"/>
        </w:rPr>
        <w:t xml:space="preserve">This summary is based on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non-U.S. taxing jurisdiction. </w:t>
      </w:r>
    </w:p>
    <w:p>
      <w:pPr>
        <w:pStyle w:val="TextBody"/>
        <w:spacing w:before="240" w:after="0"/>
        <w:jc w:val="left"/>
        <w:rPr>
          <w:rFonts w:ascii="Times New Roman" w:hAnsi="Times New Roman"/>
          <w:sz w:val="20"/>
        </w:rPr>
      </w:pPr>
      <w:r>
        <w:rPr>
          <w:rFonts w:ascii="Times New Roman" w:hAnsi="Times New Roman"/>
          <w:sz w:val="20"/>
        </w:rPr>
        <w:t xml:space="preserve">As used herein, the term Non-U.S. Holder means a beneficial owner of a note that is, for U.S. federal income tax purposes: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individual who is not a U.S. citizen and who is classified as a nonresident for U.S. federal income tax purposes;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foreign corporation;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foreign estate or trust.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Non-U.S. Holder does not include an individual present in the United States for 183 days or more in the taxable year of disposition or a former citizen or former resident of the United States. Such persons are urged to consult their tax advisors regarding the U.S. federal income tax consequences of the sale, exchange or other disposition of a note. </w:t>
      </w:r>
    </w:p>
    <w:p>
      <w:pPr>
        <w:pStyle w:val="TextBody"/>
        <w:spacing w:before="360" w:after="0"/>
        <w:jc w:val="left"/>
        <w:rPr>
          <w:rFonts w:ascii="Times New Roman" w:hAnsi="Times New Roman"/>
          <w:b/>
          <w:sz w:val="20"/>
        </w:rPr>
      </w:pPr>
      <w:r>
        <w:rPr>
          <w:rFonts w:ascii="Times New Roman" w:hAnsi="Times New Roman"/>
          <w:b/>
          <w:sz w:val="20"/>
        </w:rPr>
        <w:t xml:space="preserve">Payments on a Note </w:t>
      </w:r>
    </w:p>
    <w:p>
      <w:pPr>
        <w:pStyle w:val="TextBody"/>
        <w:spacing w:before="120" w:after="0"/>
        <w:jc w:val="left"/>
        <w:rPr>
          <w:rFonts w:ascii="Times New Roman" w:hAnsi="Times New Roman"/>
          <w:sz w:val="20"/>
        </w:rPr>
      </w:pPr>
      <w:r>
        <w:rPr>
          <w:rFonts w:ascii="Times New Roman" w:hAnsi="Times New Roman"/>
          <w:sz w:val="20"/>
        </w:rPr>
        <w:t xml:space="preserve">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holder does not own, actually or constructively, 10% or more of the total combined voting power of all classes of our stock entitled to vote and is not a controlled foreign corporation related, directly or indirectly, to us through stock ownership;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certification requirement described below has been fulfilled with respect to the beneficial owner, as discussed below. </w:t>
            </w:r>
          </w:p>
        </w:tc>
      </w:tr>
    </w:tbl>
    <w:p>
      <w:pPr>
        <w:pStyle w:val="TextBody"/>
        <w:spacing w:before="240" w:after="0"/>
        <w:jc w:val="left"/>
        <w:rPr>
          <w:rFonts w:ascii="Times New Roman" w:hAnsi="Times New Roman"/>
          <w:sz w:val="20"/>
        </w:rPr>
      </w:pPr>
      <w:r>
        <w:rPr>
          <w:rFonts w:ascii="Times New Roman" w:hAnsi="Times New Roman"/>
          <w:sz w:val="20"/>
        </w:rPr>
        <w:t xml:space="preserve">Interest on a note described above will not be exempt from withholding tax unless the beneficial owner of that note certifies on a properly executed Internal Revenue Service Form W-8BEN or W-8BEN-E (or successor form), as appropriate, under penalties of perjury, that it is not a U.S. person. </w:t>
      </w:r>
    </w:p>
    <w:p>
      <w:pPr>
        <w:pStyle w:val="TextBody"/>
        <w:spacing w:before="240" w:after="0"/>
        <w:jc w:val="left"/>
        <w:rPr>
          <w:rFonts w:ascii="Times New Roman" w:hAnsi="Times New Roman"/>
          <w:sz w:val="20"/>
        </w:rPr>
      </w:pPr>
      <w:r>
        <w:rPr>
          <w:rFonts w:ascii="Times New Roman" w:hAnsi="Times New Roman"/>
          <w:sz w:val="20"/>
        </w:rPr>
        <w:t xml:space="preserve">If a Non-U.S. Holder of a note is engaged in a trade or business in the United States, and if interest on the note is effectively connected with the conduct of such trade or business (and, if required by an applicable income tax treaty, is attributable to a U.S. permanent establishment or a fixed base of the Non-U.S. Holder), the Non-U.S. Holder will generally not be subject to the withholding discussed in the preceding paragraphs if a properly executed, applicable Form W-8 (generally an Internal Revenue Service Form W-8ECI) is provided to the applicable withholding agent. Such a Non-U.S. Holder will, however, generally be taxed on such interest in the same manner as a U.S. person, unless an applicable income tax treaty provides otherwise. These Non-U.S. Holders are urged to consult their tax advisors with respect to other U.S. tax consequences of the ownership and disposition of notes, including the possible imposition of an additional branch profits tax at a rate of 30% (or lower treaty rate). </w:t>
      </w:r>
    </w:p>
    <w:p>
      <w:pPr>
        <w:pStyle w:val="TextBody"/>
        <w:spacing w:before="360" w:after="0"/>
        <w:jc w:val="left"/>
        <w:rPr>
          <w:rFonts w:ascii="Times New Roman" w:hAnsi="Times New Roman"/>
          <w:b/>
          <w:sz w:val="20"/>
        </w:rPr>
      </w:pPr>
      <w:r>
        <w:rPr>
          <w:rFonts w:ascii="Times New Roman" w:hAnsi="Times New Roman"/>
          <w:b/>
          <w:sz w:val="20"/>
        </w:rPr>
        <w:t xml:space="preserve">Sale, Exchange, Redemption or Other Disposition of a Note </w:t>
      </w:r>
    </w:p>
    <w:p>
      <w:pPr>
        <w:pStyle w:val="TextBody"/>
        <w:spacing w:before="120" w:after="0"/>
        <w:jc w:val="left"/>
        <w:rPr>
          <w:rFonts w:ascii="Times New Roman" w:hAnsi="Times New Roman"/>
          <w:sz w:val="20"/>
        </w:rPr>
      </w:pPr>
      <w:r>
        <w:rPr>
          <w:rFonts w:ascii="Times New Roman" w:hAnsi="Times New Roman"/>
          <w:sz w:val="20"/>
        </w:rPr>
        <w:t xml:space="preserve">Subject to the discussions below concerning backup withholding and FATCA, a Non-U.S. Holder will not be subject to U.S. federal income tax on gain realized on the sale, exchange, redemption or other disposition of such note, unless the gain is effectively connected with the conduct by the holder of a trade or business in the United States (and, if required by an applicable income tax treaty, is attributable to a U.S. permanent establishment or a fixed base of the Non-U.S. Holder). </w:t>
      </w:r>
    </w:p>
    <w:p>
      <w:pPr>
        <w:pStyle w:val="TextBody"/>
        <w:spacing w:before="240" w:after="0"/>
        <w:jc w:val="left"/>
        <w:rPr>
          <w:rFonts w:ascii="Times New Roman" w:hAnsi="Times New Roman"/>
          <w:sz w:val="20"/>
        </w:rPr>
      </w:pPr>
      <w:r>
        <w:rPr>
          <w:rFonts w:ascii="Times New Roman" w:hAnsi="Times New Roman"/>
          <w:sz w:val="20"/>
        </w:rPr>
        <w:t xml:space="preserve">If a Non-U.S. Holder of a note is engaged in a trade or business in the United States, and if gain realized by the Non-U.S. Holder on a sale, exchange, redemption or other disposition of such note is effectively connected with the conduct of such trade or business, the Non-U.S. Holder will generally be taxed in the same manner as a U.S. person, subject to an applicable income tax treaty providing otherwise. These Non-U.S. Holders are urged to consult their tax advisors with respect to other U.S. tax consequences of the ownership and disposition of notes, including the possible imposition of an additional branch profits tax at a rate of 30% (or lower treaty rate). </w:t>
      </w:r>
    </w:p>
    <w:p>
      <w:pPr>
        <w:pStyle w:val="TextBody"/>
        <w:spacing w:before="360" w:after="0"/>
        <w:jc w:val="left"/>
        <w:rPr>
          <w:rFonts w:ascii="Times New Roman" w:hAnsi="Times New Roman"/>
          <w:b/>
          <w:sz w:val="20"/>
        </w:rPr>
      </w:pPr>
      <w:r>
        <w:rPr>
          <w:rFonts w:ascii="Times New Roman" w:hAnsi="Times New Roman"/>
          <w:b/>
          <w:sz w:val="20"/>
        </w:rPr>
        <w:t xml:space="preserve">Backup Withholding and Information Reporting </w:t>
      </w:r>
    </w:p>
    <w:p>
      <w:pPr>
        <w:pStyle w:val="TextBody"/>
        <w:spacing w:before="120" w:after="0"/>
        <w:jc w:val="left"/>
        <w:rPr>
          <w:rFonts w:ascii="Times New Roman" w:hAnsi="Times New Roman"/>
          <w:sz w:val="20"/>
        </w:rPr>
      </w:pPr>
      <w:r>
        <w:rPr>
          <w:rFonts w:ascii="Times New Roman" w:hAnsi="Times New Roman"/>
          <w:sz w:val="20"/>
        </w:rPr>
        <w:t xml:space="preserve">Information returns will be filed with the Internal Revenue Service in connection with interest payments on the notes. Unless a Non-U.S. Holder complies with certification procedures to establish that it is not a 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 </w:t>
      </w:r>
    </w:p>
    <w:p>
      <w:pPr>
        <w:pStyle w:val="TextBody"/>
        <w:spacing w:before="360" w:after="0"/>
        <w:jc w:val="left"/>
        <w:rPr>
          <w:rFonts w:ascii="Times New Roman" w:hAnsi="Times New Roman"/>
          <w:b/>
          <w:sz w:val="20"/>
        </w:rPr>
      </w:pPr>
      <w:r>
        <w:rPr>
          <w:rFonts w:ascii="Times New Roman" w:hAnsi="Times New Roman"/>
          <w:b/>
          <w:sz w:val="20"/>
        </w:rPr>
        <w:t xml:space="preserve">FATCA </w:t>
      </w:r>
    </w:p>
    <w:p>
      <w:pPr>
        <w:pStyle w:val="TextBody"/>
        <w:spacing w:before="120" w:after="0"/>
        <w:jc w:val="left"/>
        <w:rPr>
          <w:rFonts w:ascii="Times New Roman" w:hAnsi="Times New Roman"/>
          <w:sz w:val="20"/>
        </w:rPr>
      </w:pPr>
      <w:r>
        <w:rPr>
          <w:rFonts w:ascii="Times New Roman" w:hAnsi="Times New Roman"/>
          <w:sz w:val="20"/>
        </w:rPr>
        <w:t xml:space="preserve">Provisions commonly referred to as FATCA impose withholding of 30% on payments of U.S.-source interest and, subject to the discussion of certain proposed U.S. Treasury regulations below,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w:t>
      </w:r>
    </w:p>
    <w:p>
      <w:pPr>
        <w:pStyle w:val="TextBody"/>
        <w:spacing w:before="240" w:after="0"/>
        <w:jc w:val="left"/>
        <w:rPr>
          <w:rFonts w:ascii="Times New Roman" w:hAnsi="Times New Roman"/>
          <w:sz w:val="20"/>
        </w:rPr>
      </w:pPr>
      <w:r>
        <w:rPr>
          <w:rFonts w:ascii="Times New Roman" w:hAnsi="Times New Roman"/>
          <w:sz w:val="20"/>
        </w:rPr>
        <w:t xml:space="preserve">The U.S. Treasury Department has released proposed regulations which, if finalized in their present form, would eliminate FATCA withholding on the gross proceeds of a sale, exchange, redemption or other disposition of a note (other than amounts treated as interest). In the preamble to the proposed regulations, the U.S. Treasury Department indicated that taxpayers may rely on the proposed regulations until final regulations are issued. </w:t>
      </w:r>
    </w:p>
    <w:p>
      <w:pPr>
        <w:pStyle w:val="TextBody"/>
        <w:spacing w:before="240" w:after="0"/>
        <w:jc w:val="left"/>
        <w:rPr>
          <w:rFonts w:ascii="Times New Roman" w:hAnsi="Times New Roman"/>
          <w:sz w:val="20"/>
        </w:rPr>
      </w:pPr>
      <w:r>
        <w:rPr>
          <w:rFonts w:ascii="Times New Roman" w:hAnsi="Times New Roman"/>
          <w:sz w:val="20"/>
        </w:rPr>
        <w:t xml:space="preserve">Prospective investors should consult their tax advisors regarding the effects of FATCA on their investment in the notes. We will not pay additional amounts with respect to any withholding taxes imposed under FATCA.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srom49739_6"/>
      <w:bookmarkEnd w:id="8"/>
      <w:r>
        <w:rPr>
          <w:rFonts w:ascii="Times New Roman" w:hAnsi="Times New Roman"/>
          <w:b/>
          <w:sz w:val="20"/>
        </w:rPr>
        <w:t xml:space="preserve">UNDERWRITING </w:t>
      </w:r>
    </w:p>
    <w:p>
      <w:pPr>
        <w:pStyle w:val="TextBody"/>
        <w:spacing w:before="240" w:after="0"/>
        <w:jc w:val="left"/>
        <w:rPr>
          <w:rFonts w:ascii="Times New Roman" w:hAnsi="Times New Roman"/>
          <w:sz w:val="20"/>
        </w:rPr>
      </w:pPr>
      <w:r>
        <w:rPr>
          <w:rFonts w:ascii="Times New Roman" w:hAnsi="Times New Roman"/>
          <w:sz w:val="20"/>
        </w:rPr>
        <w:t xml:space="preserve">We intend to offer the notes through the underwriters named below. Subject to the terms and conditions contained in an underwriting agreement, we have agreed to sell to the underwriters and the underwriters severally, and not jointly, have agreed to purchase from us, the principal amount of the notes listed opposite their names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913"/>
        <w:gridCol w:w="173"/>
        <w:gridCol w:w="140"/>
        <w:gridCol w:w="1449"/>
        <w:gridCol w:w="60"/>
        <w:gridCol w:w="173"/>
        <w:gridCol w:w="140"/>
        <w:gridCol w:w="1449"/>
        <w:gridCol w:w="60"/>
        <w:gridCol w:w="173"/>
        <w:gridCol w:w="140"/>
        <w:gridCol w:w="1449"/>
        <w:gridCol w:w="60"/>
        <w:gridCol w:w="173"/>
        <w:gridCol w:w="140"/>
        <w:gridCol w:w="1448"/>
        <w:gridCol w:w="65"/>
      </w:tblGrid>
      <w:tr>
        <w:trPr/>
        <w:tc>
          <w:tcPr>
            <w:tcW w:w="2913"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4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48"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center"/>
          </w:tcPr>
          <w:p>
            <w:pPr>
              <w:pStyle w:val="TableContents"/>
              <w:spacing w:before="0" w:after="283"/>
              <w:rPr>
                <w:sz w:val="4"/>
                <w:szCs w:val="4"/>
              </w:rPr>
            </w:pPr>
            <w:r>
              <w:rPr>
                <w:sz w:val="4"/>
                <w:szCs w:val="4"/>
              </w:rPr>
            </w:r>
          </w:p>
        </w:tc>
      </w:tr>
      <w:tr>
        <w:trPr/>
        <w:tc>
          <w:tcPr>
            <w:tcW w:w="2913"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Underwriter</w:t>
            </w:r>
          </w:p>
        </w:tc>
        <w:tc>
          <w:tcPr>
            <w:tcW w:w="173" w:type="dxa"/>
            <w:tcBorders/>
            <w:shd w:fill="auto" w:val="clear"/>
            <w:vAlign w:val="bottom"/>
          </w:tcPr>
          <w:p>
            <w:pPr>
              <w:pStyle w:val="TableContents"/>
              <w:spacing w:before="0" w:after="283"/>
              <w:rPr/>
            </w:pPr>
            <w:r>
              <w:rPr/>
              <w:t>  </w:t>
            </w:r>
          </w:p>
        </w:tc>
        <w:tc>
          <w:tcPr>
            <w:tcW w:w="158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Principal</w:t>
              <w:br/>
              <w:t>Amount of</w:t>
              <w:br/>
              <w:t>Notes due 2029</w:t>
              <w:br/>
              <w:t>To Be</w:t>
              <w:br/>
              <w:t>Purchased</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58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Principal</w:t>
              <w:br/>
              <w:t>Amount of</w:t>
              <w:br/>
              <w:t>Notes due 2033</w:t>
              <w:br/>
              <w:t>To Be</w:t>
              <w:br/>
              <w:t>Purchased</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58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Principal</w:t>
              <w:br/>
              <w:t>Amount of</w:t>
              <w:br/>
              <w:t>Notes due 2053</w:t>
              <w:br/>
              <w:t>To Be</w:t>
              <w:br/>
              <w:t>Purchased</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58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Principal</w:t>
              <w:br/>
              <w:t>Amount of</w:t>
              <w:br/>
              <w:t>Notes due 2064</w:t>
              <w:br/>
              <w:t>To Be</w:t>
              <w:br/>
              <w:t>Purchased</w:t>
            </w:r>
          </w:p>
        </w:tc>
        <w:tc>
          <w:tcPr>
            <w:tcW w:w="65" w:type="dxa"/>
            <w:tcBorders/>
            <w:shd w:fill="auto" w:val="clear"/>
            <w:vAlign w:val="bottom"/>
          </w:tcPr>
          <w:p>
            <w:pPr>
              <w:pStyle w:val="TableContents"/>
              <w:spacing w:before="0" w:after="283"/>
              <w:rPr/>
            </w:pPr>
            <w:r>
              <w:rPr/>
              <w:t> </w:t>
            </w:r>
          </w:p>
        </w:tc>
      </w:tr>
      <w:tr>
        <w:trPr/>
        <w:tc>
          <w:tcPr>
            <w:tcW w:w="2913" w:type="dxa"/>
            <w:tcBorders/>
            <w:shd w:fill="CCEEFF" w:val="clear"/>
          </w:tcPr>
          <w:p>
            <w:pPr>
              <w:pStyle w:val="TableContents"/>
              <w:spacing w:before="0" w:after="0"/>
              <w:rPr>
                <w:rFonts w:ascii="Times New Roman" w:hAnsi="Times New Roman"/>
                <w:sz w:val="20"/>
              </w:rPr>
            </w:pPr>
            <w:r>
              <w:rPr>
                <w:rFonts w:ascii="Times New Roman" w:hAnsi="Times New Roman"/>
                <w:sz w:val="20"/>
              </w:rPr>
              <w:t>Goldman Sachs &amp; Co. LLC</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449" w:type="dxa"/>
            <w:tcBorders/>
            <w:shd w:fill="CCEEFF" w:val="clear"/>
            <w:vAlign w:val="bottom"/>
          </w:tcPr>
          <w:p>
            <w:pPr>
              <w:pStyle w:val="TableContents"/>
              <w:spacing w:before="0" w:after="283"/>
              <w:jc w:val="right"/>
              <w:rPr/>
            </w:pPr>
            <w:r>
              <w:rPr/>
              <w:t>120,000,000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449" w:type="dxa"/>
            <w:tcBorders/>
            <w:shd w:fill="CCEEFF" w:val="clear"/>
            <w:vAlign w:val="bottom"/>
          </w:tcPr>
          <w:p>
            <w:pPr>
              <w:pStyle w:val="TableContents"/>
              <w:spacing w:before="0" w:after="283"/>
              <w:jc w:val="right"/>
              <w:rPr/>
            </w:pPr>
            <w:r>
              <w:rPr/>
              <w:t>120,000,000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449" w:type="dxa"/>
            <w:tcBorders/>
            <w:shd w:fill="CCEEFF" w:val="clear"/>
            <w:vAlign w:val="bottom"/>
          </w:tcPr>
          <w:p>
            <w:pPr>
              <w:pStyle w:val="TableContents"/>
              <w:spacing w:before="0" w:after="283"/>
              <w:jc w:val="right"/>
              <w:rPr/>
            </w:pPr>
            <w:r>
              <w:rPr/>
              <w:t>192,000,000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448" w:type="dxa"/>
            <w:tcBorders/>
            <w:shd w:fill="CCEEFF" w:val="clear"/>
            <w:vAlign w:val="bottom"/>
          </w:tcPr>
          <w:p>
            <w:pPr>
              <w:pStyle w:val="TableContents"/>
              <w:spacing w:before="0" w:after="283"/>
              <w:jc w:val="right"/>
              <w:rPr/>
            </w:pPr>
            <w:r>
              <w:rPr/>
              <w:t>168,000,000</w:t>
            </w:r>
          </w:p>
        </w:tc>
        <w:tc>
          <w:tcPr>
            <w:tcW w:w="65" w:type="dxa"/>
            <w:tcBorders/>
            <w:shd w:fill="CCEEFF" w:val="clear"/>
            <w:vAlign w:val="bottom"/>
          </w:tcPr>
          <w:p>
            <w:pPr>
              <w:pStyle w:val="TableContents"/>
              <w:spacing w:before="0" w:after="283"/>
              <w:rPr/>
            </w:pPr>
            <w:r>
              <w:rPr/>
              <w:t> </w:t>
            </w:r>
          </w:p>
        </w:tc>
      </w:tr>
      <w:tr>
        <w:trPr/>
        <w:tc>
          <w:tcPr>
            <w:tcW w:w="2913" w:type="dxa"/>
            <w:tcBorders/>
            <w:shd w:fill="auto" w:val="clear"/>
          </w:tcPr>
          <w:p>
            <w:pPr>
              <w:pStyle w:val="TableContents"/>
              <w:spacing w:before="0" w:after="0"/>
              <w:rPr>
                <w:rFonts w:ascii="Times New Roman" w:hAnsi="Times New Roman"/>
                <w:sz w:val="20"/>
              </w:rPr>
            </w:pPr>
            <w:r>
              <w:rPr>
                <w:rFonts w:ascii="Times New Roman" w:hAnsi="Times New Roman"/>
                <w:sz w:val="20"/>
              </w:rPr>
              <w:t>Morgan Stanley &amp; Co. LLC</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120,000,000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120,000,000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192,000,000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168,000,000</w:t>
            </w:r>
          </w:p>
        </w:tc>
        <w:tc>
          <w:tcPr>
            <w:tcW w:w="65" w:type="dxa"/>
            <w:tcBorders/>
            <w:shd w:fill="auto" w:val="clear"/>
            <w:vAlign w:val="bottom"/>
          </w:tcPr>
          <w:p>
            <w:pPr>
              <w:pStyle w:val="TableContents"/>
              <w:spacing w:before="0" w:after="283"/>
              <w:rPr/>
            </w:pPr>
            <w:r>
              <w:rPr/>
              <w:t> </w:t>
            </w:r>
          </w:p>
        </w:tc>
      </w:tr>
      <w:tr>
        <w:trPr/>
        <w:tc>
          <w:tcPr>
            <w:tcW w:w="2913" w:type="dxa"/>
            <w:tcBorders/>
            <w:shd w:fill="CCEEFF" w:val="clear"/>
          </w:tcPr>
          <w:p>
            <w:pPr>
              <w:pStyle w:val="TableContents"/>
              <w:spacing w:before="0" w:after="0"/>
              <w:rPr>
                <w:rFonts w:ascii="Times New Roman" w:hAnsi="Times New Roman"/>
                <w:sz w:val="20"/>
              </w:rPr>
            </w:pPr>
            <w:r>
              <w:rPr>
                <w:rFonts w:ascii="Times New Roman" w:hAnsi="Times New Roman"/>
                <w:sz w:val="20"/>
              </w:rPr>
              <w:t>SMBC Nikko Securities America, Inc.</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120,000,000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120,000,000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192,000,000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168,000,000</w:t>
            </w:r>
          </w:p>
        </w:tc>
        <w:tc>
          <w:tcPr>
            <w:tcW w:w="65" w:type="dxa"/>
            <w:tcBorders/>
            <w:shd w:fill="CCEEFF" w:val="clear"/>
            <w:vAlign w:val="bottom"/>
          </w:tcPr>
          <w:p>
            <w:pPr>
              <w:pStyle w:val="TableContents"/>
              <w:spacing w:before="0" w:after="283"/>
              <w:rPr/>
            </w:pPr>
            <w:r>
              <w:rPr/>
              <w:t> </w:t>
            </w:r>
          </w:p>
        </w:tc>
      </w:tr>
      <w:tr>
        <w:trPr/>
        <w:tc>
          <w:tcPr>
            <w:tcW w:w="2913" w:type="dxa"/>
            <w:tcBorders/>
            <w:shd w:fill="auto" w:val="clear"/>
          </w:tcPr>
          <w:p>
            <w:pPr>
              <w:pStyle w:val="TableContents"/>
              <w:spacing w:before="0" w:after="0"/>
              <w:rPr>
                <w:rFonts w:ascii="Times New Roman" w:hAnsi="Times New Roman"/>
                <w:sz w:val="20"/>
              </w:rPr>
            </w:pPr>
            <w:r>
              <w:rPr>
                <w:rFonts w:ascii="Times New Roman" w:hAnsi="Times New Roman"/>
                <w:sz w:val="20"/>
              </w:rPr>
              <w:t>Wells Fargo Securities, LLC</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120,000,000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120,000,000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192,000,000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168,000,000</w:t>
            </w:r>
          </w:p>
        </w:tc>
        <w:tc>
          <w:tcPr>
            <w:tcW w:w="65" w:type="dxa"/>
            <w:tcBorders/>
            <w:shd w:fill="auto" w:val="clear"/>
            <w:vAlign w:val="bottom"/>
          </w:tcPr>
          <w:p>
            <w:pPr>
              <w:pStyle w:val="TableContents"/>
              <w:spacing w:before="0" w:after="283"/>
              <w:rPr/>
            </w:pPr>
            <w:r>
              <w:rPr/>
              <w:t> </w:t>
            </w:r>
          </w:p>
        </w:tc>
      </w:tr>
      <w:tr>
        <w:trPr/>
        <w:tc>
          <w:tcPr>
            <w:tcW w:w="2913" w:type="dxa"/>
            <w:tcBorders/>
            <w:shd w:fill="CCEEFF" w:val="clear"/>
          </w:tcPr>
          <w:p>
            <w:pPr>
              <w:pStyle w:val="TableContents"/>
              <w:spacing w:before="0" w:after="0"/>
              <w:rPr>
                <w:rFonts w:ascii="Times New Roman" w:hAnsi="Times New Roman"/>
                <w:sz w:val="20"/>
              </w:rPr>
            </w:pPr>
            <w:r>
              <w:rPr>
                <w:rFonts w:ascii="Times New Roman" w:hAnsi="Times New Roman"/>
                <w:sz w:val="20"/>
              </w:rPr>
              <w:t>Mizuho Securities USA LLC</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75,000,000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75,000,000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120,000,000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105,000,000</w:t>
            </w:r>
          </w:p>
        </w:tc>
        <w:tc>
          <w:tcPr>
            <w:tcW w:w="65" w:type="dxa"/>
            <w:tcBorders/>
            <w:shd w:fill="CCEEFF" w:val="clear"/>
            <w:vAlign w:val="bottom"/>
          </w:tcPr>
          <w:p>
            <w:pPr>
              <w:pStyle w:val="TableContents"/>
              <w:spacing w:before="0" w:after="283"/>
              <w:rPr/>
            </w:pPr>
            <w:r>
              <w:rPr/>
              <w:t> </w:t>
            </w:r>
          </w:p>
        </w:tc>
      </w:tr>
      <w:tr>
        <w:trPr/>
        <w:tc>
          <w:tcPr>
            <w:tcW w:w="2913" w:type="dxa"/>
            <w:tcBorders/>
            <w:shd w:fill="auto" w:val="clear"/>
          </w:tcPr>
          <w:p>
            <w:pPr>
              <w:pStyle w:val="TableContents"/>
              <w:spacing w:before="0" w:after="0"/>
              <w:rPr>
                <w:rFonts w:ascii="Times New Roman" w:hAnsi="Times New Roman"/>
                <w:sz w:val="20"/>
              </w:rPr>
            </w:pPr>
            <w:r>
              <w:rPr>
                <w:rFonts w:ascii="Times New Roman" w:hAnsi="Times New Roman"/>
                <w:sz w:val="20"/>
              </w:rPr>
              <w:t>U.S. Bancorp Investments, Inc.</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75,000,000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75,000,000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120,000,000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105,000,000</w:t>
            </w:r>
          </w:p>
        </w:tc>
        <w:tc>
          <w:tcPr>
            <w:tcW w:w="65" w:type="dxa"/>
            <w:tcBorders/>
            <w:shd w:fill="auto" w:val="clear"/>
            <w:vAlign w:val="bottom"/>
          </w:tcPr>
          <w:p>
            <w:pPr>
              <w:pStyle w:val="TableContents"/>
              <w:spacing w:before="0" w:after="283"/>
              <w:rPr/>
            </w:pPr>
            <w:r>
              <w:rPr/>
              <w:t> </w:t>
            </w:r>
          </w:p>
        </w:tc>
      </w:tr>
      <w:tr>
        <w:trPr/>
        <w:tc>
          <w:tcPr>
            <w:tcW w:w="2913" w:type="dxa"/>
            <w:tcBorders/>
            <w:shd w:fill="CCEEFF" w:val="clear"/>
          </w:tcPr>
          <w:p>
            <w:pPr>
              <w:pStyle w:val="TableContents"/>
              <w:spacing w:before="0" w:after="0"/>
              <w:rPr>
                <w:rFonts w:ascii="Times New Roman" w:hAnsi="Times New Roman"/>
                <w:sz w:val="20"/>
              </w:rPr>
            </w:pPr>
            <w:r>
              <w:rPr>
                <w:rFonts w:ascii="Times New Roman" w:hAnsi="Times New Roman"/>
                <w:sz w:val="20"/>
              </w:rPr>
              <w:t>Barclays Capital Inc.</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21,500,000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21,500,000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34,400,000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30,100,000</w:t>
            </w:r>
          </w:p>
        </w:tc>
        <w:tc>
          <w:tcPr>
            <w:tcW w:w="65" w:type="dxa"/>
            <w:tcBorders/>
            <w:shd w:fill="CCEEFF" w:val="clear"/>
            <w:vAlign w:val="bottom"/>
          </w:tcPr>
          <w:p>
            <w:pPr>
              <w:pStyle w:val="TableContents"/>
              <w:spacing w:before="0" w:after="283"/>
              <w:rPr/>
            </w:pPr>
            <w:r>
              <w:rPr/>
              <w:t> </w:t>
            </w:r>
          </w:p>
        </w:tc>
      </w:tr>
      <w:tr>
        <w:trPr/>
        <w:tc>
          <w:tcPr>
            <w:tcW w:w="2913" w:type="dxa"/>
            <w:tcBorders/>
            <w:shd w:fill="auto" w:val="clear"/>
          </w:tcPr>
          <w:p>
            <w:pPr>
              <w:pStyle w:val="TableContents"/>
              <w:spacing w:before="0" w:after="0"/>
              <w:rPr>
                <w:rFonts w:ascii="Times New Roman" w:hAnsi="Times New Roman"/>
                <w:sz w:val="20"/>
              </w:rPr>
            </w:pPr>
            <w:r>
              <w:rPr>
                <w:rFonts w:ascii="Times New Roman" w:hAnsi="Times New Roman"/>
                <w:sz w:val="20"/>
              </w:rPr>
              <w:t>BofA Securities, Inc.</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21,500,000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21,500,000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34,400,000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30,100,000</w:t>
            </w:r>
          </w:p>
        </w:tc>
        <w:tc>
          <w:tcPr>
            <w:tcW w:w="65" w:type="dxa"/>
            <w:tcBorders/>
            <w:shd w:fill="auto" w:val="clear"/>
            <w:vAlign w:val="bottom"/>
          </w:tcPr>
          <w:p>
            <w:pPr>
              <w:pStyle w:val="TableContents"/>
              <w:spacing w:before="0" w:after="283"/>
              <w:rPr/>
            </w:pPr>
            <w:r>
              <w:rPr/>
              <w:t> </w:t>
            </w:r>
          </w:p>
        </w:tc>
      </w:tr>
      <w:tr>
        <w:trPr/>
        <w:tc>
          <w:tcPr>
            <w:tcW w:w="2913" w:type="dxa"/>
            <w:tcBorders/>
            <w:shd w:fill="CCEEFF" w:val="clear"/>
          </w:tcPr>
          <w:p>
            <w:pPr>
              <w:pStyle w:val="TableContents"/>
              <w:spacing w:before="0" w:after="0"/>
              <w:rPr>
                <w:rFonts w:ascii="Times New Roman" w:hAnsi="Times New Roman"/>
                <w:sz w:val="20"/>
              </w:rPr>
            </w:pPr>
            <w:r>
              <w:rPr>
                <w:rFonts w:ascii="Times New Roman" w:hAnsi="Times New Roman"/>
                <w:sz w:val="20"/>
              </w:rPr>
              <w:t>BNP Paribas Securities Corp.</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21,500,000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21,500,000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34,400,000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30,100,000</w:t>
            </w:r>
          </w:p>
        </w:tc>
        <w:tc>
          <w:tcPr>
            <w:tcW w:w="65" w:type="dxa"/>
            <w:tcBorders/>
            <w:shd w:fill="CCEEFF" w:val="clear"/>
            <w:vAlign w:val="bottom"/>
          </w:tcPr>
          <w:p>
            <w:pPr>
              <w:pStyle w:val="TableContents"/>
              <w:spacing w:before="0" w:after="283"/>
              <w:rPr/>
            </w:pPr>
            <w:r>
              <w:rPr/>
              <w:t> </w:t>
            </w:r>
          </w:p>
        </w:tc>
      </w:tr>
      <w:tr>
        <w:trPr/>
        <w:tc>
          <w:tcPr>
            <w:tcW w:w="2913" w:type="dxa"/>
            <w:tcBorders/>
            <w:shd w:fill="auto" w:val="clear"/>
          </w:tcPr>
          <w:p>
            <w:pPr>
              <w:pStyle w:val="TableContents"/>
              <w:spacing w:before="0" w:after="0"/>
              <w:rPr>
                <w:rFonts w:ascii="Times New Roman" w:hAnsi="Times New Roman"/>
                <w:sz w:val="20"/>
              </w:rPr>
            </w:pPr>
            <w:r>
              <w:rPr>
                <w:rFonts w:ascii="Times New Roman" w:hAnsi="Times New Roman"/>
                <w:sz w:val="20"/>
              </w:rPr>
              <w:t>Citigroup Global Markets Inc.</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21,500,000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21,500,000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34,400,000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30,100,000</w:t>
            </w:r>
          </w:p>
        </w:tc>
        <w:tc>
          <w:tcPr>
            <w:tcW w:w="65" w:type="dxa"/>
            <w:tcBorders/>
            <w:shd w:fill="auto" w:val="clear"/>
            <w:vAlign w:val="bottom"/>
          </w:tcPr>
          <w:p>
            <w:pPr>
              <w:pStyle w:val="TableContents"/>
              <w:spacing w:before="0" w:after="283"/>
              <w:rPr/>
            </w:pPr>
            <w:r>
              <w:rPr/>
              <w:t> </w:t>
            </w:r>
          </w:p>
        </w:tc>
      </w:tr>
      <w:tr>
        <w:trPr/>
        <w:tc>
          <w:tcPr>
            <w:tcW w:w="2913" w:type="dxa"/>
            <w:tcBorders/>
            <w:shd w:fill="CCEEFF" w:val="clear"/>
          </w:tcPr>
          <w:p>
            <w:pPr>
              <w:pStyle w:val="TableContents"/>
              <w:spacing w:before="0" w:after="0"/>
              <w:rPr>
                <w:rFonts w:ascii="Times New Roman" w:hAnsi="Times New Roman"/>
                <w:sz w:val="20"/>
              </w:rPr>
            </w:pPr>
            <w:r>
              <w:rPr>
                <w:rFonts w:ascii="Times New Roman" w:hAnsi="Times New Roman"/>
                <w:sz w:val="20"/>
              </w:rPr>
              <w:t>Commerz Markets LLC</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21,500,000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21,500,000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34,400,000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30,100,000</w:t>
            </w:r>
          </w:p>
        </w:tc>
        <w:tc>
          <w:tcPr>
            <w:tcW w:w="65" w:type="dxa"/>
            <w:tcBorders/>
            <w:shd w:fill="CCEEFF" w:val="clear"/>
            <w:vAlign w:val="bottom"/>
          </w:tcPr>
          <w:p>
            <w:pPr>
              <w:pStyle w:val="TableContents"/>
              <w:spacing w:before="0" w:after="283"/>
              <w:rPr/>
            </w:pPr>
            <w:r>
              <w:rPr/>
              <w:t> </w:t>
            </w:r>
          </w:p>
        </w:tc>
      </w:tr>
      <w:tr>
        <w:trPr/>
        <w:tc>
          <w:tcPr>
            <w:tcW w:w="2913" w:type="dxa"/>
            <w:tcBorders/>
            <w:shd w:fill="auto" w:val="clear"/>
          </w:tcPr>
          <w:p>
            <w:pPr>
              <w:pStyle w:val="TableContents"/>
              <w:spacing w:before="0" w:after="0"/>
              <w:rPr>
                <w:rFonts w:ascii="Times New Roman" w:hAnsi="Times New Roman"/>
                <w:sz w:val="20"/>
              </w:rPr>
            </w:pPr>
            <w:r>
              <w:rPr>
                <w:rFonts w:ascii="Times New Roman" w:hAnsi="Times New Roman"/>
                <w:sz w:val="20"/>
              </w:rPr>
              <w:t>Credit Suisse Securities (USA) LLC</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21,500,000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21,500,000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34,400,000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30,100,000</w:t>
            </w:r>
          </w:p>
        </w:tc>
        <w:tc>
          <w:tcPr>
            <w:tcW w:w="65" w:type="dxa"/>
            <w:tcBorders/>
            <w:shd w:fill="auto" w:val="clear"/>
            <w:vAlign w:val="bottom"/>
          </w:tcPr>
          <w:p>
            <w:pPr>
              <w:pStyle w:val="TableContents"/>
              <w:spacing w:before="0" w:after="283"/>
              <w:rPr/>
            </w:pPr>
            <w:r>
              <w:rPr/>
              <w:t> </w:t>
            </w:r>
          </w:p>
        </w:tc>
      </w:tr>
      <w:tr>
        <w:trPr/>
        <w:tc>
          <w:tcPr>
            <w:tcW w:w="2913" w:type="dxa"/>
            <w:tcBorders/>
            <w:shd w:fill="CCEEFF" w:val="clear"/>
          </w:tcPr>
          <w:p>
            <w:pPr>
              <w:pStyle w:val="TableContents"/>
              <w:spacing w:before="0" w:after="0"/>
              <w:rPr>
                <w:rFonts w:ascii="Times New Roman" w:hAnsi="Times New Roman"/>
                <w:sz w:val="20"/>
              </w:rPr>
            </w:pPr>
            <w:r>
              <w:rPr>
                <w:rFonts w:ascii="Times New Roman" w:hAnsi="Times New Roman"/>
                <w:sz w:val="20"/>
              </w:rPr>
              <w:t>Deutsche Bank Securities Inc.</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21,500,000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21,500,000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34,400,000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30,100,000</w:t>
            </w:r>
          </w:p>
        </w:tc>
        <w:tc>
          <w:tcPr>
            <w:tcW w:w="65" w:type="dxa"/>
            <w:tcBorders/>
            <w:shd w:fill="CCEEFF" w:val="clear"/>
            <w:vAlign w:val="bottom"/>
          </w:tcPr>
          <w:p>
            <w:pPr>
              <w:pStyle w:val="TableContents"/>
              <w:spacing w:before="0" w:after="283"/>
              <w:rPr/>
            </w:pPr>
            <w:r>
              <w:rPr/>
              <w:t> </w:t>
            </w:r>
          </w:p>
        </w:tc>
      </w:tr>
      <w:tr>
        <w:trPr/>
        <w:tc>
          <w:tcPr>
            <w:tcW w:w="2913" w:type="dxa"/>
            <w:tcBorders/>
            <w:shd w:fill="auto" w:val="clear"/>
          </w:tcPr>
          <w:p>
            <w:pPr>
              <w:pStyle w:val="TableContents"/>
              <w:spacing w:before="0" w:after="0"/>
              <w:rPr>
                <w:rFonts w:ascii="Times New Roman" w:hAnsi="Times New Roman"/>
                <w:sz w:val="20"/>
              </w:rPr>
            </w:pPr>
            <w:r>
              <w:rPr>
                <w:rFonts w:ascii="Times New Roman" w:hAnsi="Times New Roman"/>
                <w:sz w:val="20"/>
              </w:rPr>
              <w:t>J.P. Morgan Securities LLC</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21,500,000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21,500,000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34,400,000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30,100,000</w:t>
            </w:r>
          </w:p>
        </w:tc>
        <w:tc>
          <w:tcPr>
            <w:tcW w:w="65" w:type="dxa"/>
            <w:tcBorders/>
            <w:shd w:fill="auto" w:val="clear"/>
            <w:vAlign w:val="bottom"/>
          </w:tcPr>
          <w:p>
            <w:pPr>
              <w:pStyle w:val="TableContents"/>
              <w:spacing w:before="0" w:after="283"/>
              <w:rPr/>
            </w:pPr>
            <w:r>
              <w:rPr/>
              <w:t> </w:t>
            </w:r>
          </w:p>
        </w:tc>
      </w:tr>
      <w:tr>
        <w:trPr/>
        <w:tc>
          <w:tcPr>
            <w:tcW w:w="2913" w:type="dxa"/>
            <w:tcBorders/>
            <w:shd w:fill="CCEEFF" w:val="clear"/>
          </w:tcPr>
          <w:p>
            <w:pPr>
              <w:pStyle w:val="TableContents"/>
              <w:spacing w:before="0" w:after="0"/>
              <w:rPr>
                <w:rFonts w:ascii="Times New Roman" w:hAnsi="Times New Roman"/>
                <w:sz w:val="20"/>
              </w:rPr>
            </w:pPr>
            <w:r>
              <w:rPr>
                <w:rFonts w:ascii="Times New Roman" w:hAnsi="Times New Roman"/>
                <w:sz w:val="20"/>
              </w:rPr>
              <w:t>RBC Capital Markets, LLC</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21,500,000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21,500,000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34,400,000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30,100,000</w:t>
            </w:r>
          </w:p>
        </w:tc>
        <w:tc>
          <w:tcPr>
            <w:tcW w:w="65" w:type="dxa"/>
            <w:tcBorders/>
            <w:shd w:fill="CCEEFF" w:val="clear"/>
            <w:vAlign w:val="bottom"/>
          </w:tcPr>
          <w:p>
            <w:pPr>
              <w:pStyle w:val="TableContents"/>
              <w:spacing w:before="0" w:after="283"/>
              <w:rPr/>
            </w:pPr>
            <w:r>
              <w:rPr/>
              <w:t> </w:t>
            </w:r>
          </w:p>
        </w:tc>
      </w:tr>
      <w:tr>
        <w:trPr/>
        <w:tc>
          <w:tcPr>
            <w:tcW w:w="2913" w:type="dxa"/>
            <w:tcBorders/>
            <w:shd w:fill="auto" w:val="clear"/>
          </w:tcPr>
          <w:p>
            <w:pPr>
              <w:pStyle w:val="TableContents"/>
              <w:spacing w:before="0" w:after="0"/>
              <w:rPr>
                <w:rFonts w:ascii="Times New Roman" w:hAnsi="Times New Roman"/>
                <w:sz w:val="20"/>
              </w:rPr>
            </w:pPr>
            <w:r>
              <w:rPr>
                <w:rFonts w:ascii="Times New Roman" w:hAnsi="Times New Roman"/>
                <w:sz w:val="20"/>
              </w:rPr>
              <w:t>Santander US Capital Markets LLC</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21,500,000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21,500,000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34,400,000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30,100,000</w:t>
            </w:r>
          </w:p>
        </w:tc>
        <w:tc>
          <w:tcPr>
            <w:tcW w:w="65" w:type="dxa"/>
            <w:tcBorders/>
            <w:shd w:fill="auto" w:val="clear"/>
            <w:vAlign w:val="bottom"/>
          </w:tcPr>
          <w:p>
            <w:pPr>
              <w:pStyle w:val="TableContents"/>
              <w:spacing w:before="0" w:after="283"/>
              <w:rPr/>
            </w:pPr>
            <w:r>
              <w:rPr/>
              <w:t> </w:t>
            </w:r>
          </w:p>
        </w:tc>
      </w:tr>
      <w:tr>
        <w:trPr/>
        <w:tc>
          <w:tcPr>
            <w:tcW w:w="2913" w:type="dxa"/>
            <w:tcBorders/>
            <w:shd w:fill="CCEEFF" w:val="clear"/>
          </w:tcPr>
          <w:p>
            <w:pPr>
              <w:pStyle w:val="TableContents"/>
              <w:spacing w:before="0" w:after="0"/>
              <w:rPr>
                <w:rFonts w:ascii="Times New Roman" w:hAnsi="Times New Roman"/>
                <w:sz w:val="20"/>
              </w:rPr>
            </w:pPr>
            <w:r>
              <w:rPr>
                <w:rFonts w:ascii="Times New Roman" w:hAnsi="Times New Roman"/>
                <w:sz w:val="20"/>
              </w:rPr>
              <w:t>TD Securities (USA) LLC</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21,500,000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21,500,000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34,400,000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30,100,000</w:t>
            </w:r>
          </w:p>
        </w:tc>
        <w:tc>
          <w:tcPr>
            <w:tcW w:w="65" w:type="dxa"/>
            <w:tcBorders/>
            <w:shd w:fill="CCEEFF" w:val="clear"/>
            <w:vAlign w:val="bottom"/>
          </w:tcPr>
          <w:p>
            <w:pPr>
              <w:pStyle w:val="TableContents"/>
              <w:spacing w:before="0" w:after="283"/>
              <w:rPr/>
            </w:pPr>
            <w:r>
              <w:rPr/>
              <w:t> </w:t>
            </w:r>
          </w:p>
        </w:tc>
      </w:tr>
      <w:tr>
        <w:trPr/>
        <w:tc>
          <w:tcPr>
            <w:tcW w:w="2913" w:type="dxa"/>
            <w:tcBorders/>
            <w:shd w:fill="auto" w:val="clear"/>
          </w:tcPr>
          <w:p>
            <w:pPr>
              <w:pStyle w:val="TableContents"/>
              <w:spacing w:before="0" w:after="0"/>
              <w:rPr>
                <w:rFonts w:ascii="Times New Roman" w:hAnsi="Times New Roman"/>
                <w:sz w:val="20"/>
              </w:rPr>
            </w:pPr>
            <w:r>
              <w:rPr>
                <w:rFonts w:ascii="Times New Roman" w:hAnsi="Times New Roman"/>
                <w:sz w:val="20"/>
              </w:rPr>
              <w:t>DNB Markets, Inc.</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14,000,000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14,000,000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22,400,000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19,600,000</w:t>
            </w:r>
          </w:p>
        </w:tc>
        <w:tc>
          <w:tcPr>
            <w:tcW w:w="65" w:type="dxa"/>
            <w:tcBorders/>
            <w:shd w:fill="auto" w:val="clear"/>
            <w:vAlign w:val="bottom"/>
          </w:tcPr>
          <w:p>
            <w:pPr>
              <w:pStyle w:val="TableContents"/>
              <w:spacing w:before="0" w:after="283"/>
              <w:rPr/>
            </w:pPr>
            <w:r>
              <w:rPr/>
              <w:t> </w:t>
            </w:r>
          </w:p>
        </w:tc>
      </w:tr>
      <w:tr>
        <w:trPr/>
        <w:tc>
          <w:tcPr>
            <w:tcW w:w="2913" w:type="dxa"/>
            <w:tcBorders/>
            <w:shd w:fill="CCEEFF" w:val="clear"/>
          </w:tcPr>
          <w:p>
            <w:pPr>
              <w:pStyle w:val="TableContents"/>
              <w:spacing w:before="0" w:after="0"/>
              <w:rPr>
                <w:rFonts w:ascii="Times New Roman" w:hAnsi="Times New Roman"/>
                <w:sz w:val="20"/>
              </w:rPr>
            </w:pPr>
            <w:r>
              <w:rPr>
                <w:rFonts w:ascii="Times New Roman" w:hAnsi="Times New Roman"/>
                <w:sz w:val="20"/>
              </w:rPr>
              <w:t>ICBC Standard Bank Plc</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14,000,000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14,000,000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22,400,000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19,600,000</w:t>
            </w:r>
          </w:p>
        </w:tc>
        <w:tc>
          <w:tcPr>
            <w:tcW w:w="65" w:type="dxa"/>
            <w:tcBorders/>
            <w:shd w:fill="CCEEFF" w:val="clear"/>
            <w:vAlign w:val="bottom"/>
          </w:tcPr>
          <w:p>
            <w:pPr>
              <w:pStyle w:val="TableContents"/>
              <w:spacing w:before="0" w:after="283"/>
              <w:rPr/>
            </w:pPr>
            <w:r>
              <w:rPr/>
              <w:t> </w:t>
            </w:r>
          </w:p>
        </w:tc>
      </w:tr>
      <w:tr>
        <w:trPr/>
        <w:tc>
          <w:tcPr>
            <w:tcW w:w="2913" w:type="dxa"/>
            <w:tcBorders/>
            <w:shd w:fill="auto" w:val="clear"/>
          </w:tcPr>
          <w:p>
            <w:pPr>
              <w:pStyle w:val="TableContents"/>
              <w:spacing w:before="0" w:after="0"/>
              <w:rPr>
                <w:rFonts w:ascii="Times New Roman" w:hAnsi="Times New Roman"/>
                <w:sz w:val="20"/>
              </w:rPr>
            </w:pPr>
            <w:r>
              <w:rPr>
                <w:rFonts w:ascii="Times New Roman" w:hAnsi="Times New Roman"/>
                <w:sz w:val="20"/>
              </w:rPr>
              <w:t>PNC Capital Markets LLC</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14,000,000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14,000,000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22,400,000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19,600,000</w:t>
            </w:r>
          </w:p>
        </w:tc>
        <w:tc>
          <w:tcPr>
            <w:tcW w:w="65" w:type="dxa"/>
            <w:tcBorders/>
            <w:shd w:fill="auto" w:val="clear"/>
            <w:vAlign w:val="bottom"/>
          </w:tcPr>
          <w:p>
            <w:pPr>
              <w:pStyle w:val="TableContents"/>
              <w:spacing w:before="0" w:after="283"/>
              <w:rPr/>
            </w:pPr>
            <w:r>
              <w:rPr/>
              <w:t> </w:t>
            </w:r>
          </w:p>
        </w:tc>
      </w:tr>
      <w:tr>
        <w:trPr/>
        <w:tc>
          <w:tcPr>
            <w:tcW w:w="2913" w:type="dxa"/>
            <w:tcBorders/>
            <w:shd w:fill="CCEEFF" w:val="clear"/>
          </w:tcPr>
          <w:p>
            <w:pPr>
              <w:pStyle w:val="TableContents"/>
              <w:spacing w:before="0" w:after="0"/>
              <w:rPr>
                <w:rFonts w:ascii="Times New Roman" w:hAnsi="Times New Roman"/>
                <w:sz w:val="20"/>
              </w:rPr>
            </w:pPr>
            <w:r>
              <w:rPr>
                <w:rFonts w:ascii="Times New Roman" w:hAnsi="Times New Roman"/>
                <w:sz w:val="20"/>
              </w:rPr>
              <w:t>SG Americas Securities, LLC</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14,000,000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14,000,000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22,400,000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19,600,000</w:t>
            </w:r>
          </w:p>
        </w:tc>
        <w:tc>
          <w:tcPr>
            <w:tcW w:w="65" w:type="dxa"/>
            <w:tcBorders/>
            <w:shd w:fill="CCEEFF" w:val="clear"/>
            <w:vAlign w:val="bottom"/>
          </w:tcPr>
          <w:p>
            <w:pPr>
              <w:pStyle w:val="TableContents"/>
              <w:spacing w:before="0" w:after="283"/>
              <w:rPr/>
            </w:pPr>
            <w:r>
              <w:rPr/>
              <w:t> </w:t>
            </w:r>
          </w:p>
        </w:tc>
      </w:tr>
      <w:tr>
        <w:trPr/>
        <w:tc>
          <w:tcPr>
            <w:tcW w:w="2913" w:type="dxa"/>
            <w:tcBorders/>
            <w:shd w:fill="auto" w:val="clear"/>
          </w:tcPr>
          <w:p>
            <w:pPr>
              <w:pStyle w:val="TableContents"/>
              <w:spacing w:before="0" w:after="0"/>
              <w:rPr>
                <w:rFonts w:ascii="Times New Roman" w:hAnsi="Times New Roman"/>
                <w:sz w:val="20"/>
              </w:rPr>
            </w:pPr>
            <w:r>
              <w:rPr>
                <w:rFonts w:ascii="Times New Roman" w:hAnsi="Times New Roman"/>
                <w:sz w:val="20"/>
              </w:rPr>
              <w:t>Academy Securities, Inc.</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7,500,000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7,500,000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12,000,000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10,500,000</w:t>
            </w:r>
          </w:p>
        </w:tc>
        <w:tc>
          <w:tcPr>
            <w:tcW w:w="65" w:type="dxa"/>
            <w:tcBorders/>
            <w:shd w:fill="auto" w:val="clear"/>
            <w:vAlign w:val="bottom"/>
          </w:tcPr>
          <w:p>
            <w:pPr>
              <w:pStyle w:val="TableContents"/>
              <w:spacing w:before="0" w:after="283"/>
              <w:rPr/>
            </w:pPr>
            <w:r>
              <w:rPr/>
              <w:t> </w:t>
            </w:r>
          </w:p>
        </w:tc>
      </w:tr>
      <w:tr>
        <w:trPr/>
        <w:tc>
          <w:tcPr>
            <w:tcW w:w="2913" w:type="dxa"/>
            <w:tcBorders/>
            <w:shd w:fill="CCEEFF" w:val="clear"/>
          </w:tcPr>
          <w:p>
            <w:pPr>
              <w:pStyle w:val="TableContents"/>
              <w:spacing w:before="0" w:after="0"/>
              <w:rPr>
                <w:rFonts w:ascii="Times New Roman" w:hAnsi="Times New Roman"/>
                <w:sz w:val="20"/>
              </w:rPr>
            </w:pPr>
            <w:r>
              <w:rPr>
                <w:rFonts w:ascii="Times New Roman" w:hAnsi="Times New Roman"/>
                <w:sz w:val="20"/>
              </w:rPr>
              <w:t>BNY Mellon Capital Markets, LLC</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7,500,000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7,500,000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12,000,000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10,500,000</w:t>
            </w:r>
          </w:p>
        </w:tc>
        <w:tc>
          <w:tcPr>
            <w:tcW w:w="65" w:type="dxa"/>
            <w:tcBorders/>
            <w:shd w:fill="CCEEFF" w:val="clear"/>
            <w:vAlign w:val="bottom"/>
          </w:tcPr>
          <w:p>
            <w:pPr>
              <w:pStyle w:val="TableContents"/>
              <w:spacing w:before="0" w:after="283"/>
              <w:rPr/>
            </w:pPr>
            <w:r>
              <w:rPr/>
              <w:t> </w:t>
            </w:r>
          </w:p>
        </w:tc>
      </w:tr>
      <w:tr>
        <w:trPr/>
        <w:tc>
          <w:tcPr>
            <w:tcW w:w="2913" w:type="dxa"/>
            <w:tcBorders/>
            <w:shd w:fill="auto" w:val="clear"/>
          </w:tcPr>
          <w:p>
            <w:pPr>
              <w:pStyle w:val="TableContents"/>
              <w:spacing w:before="0" w:after="0"/>
              <w:rPr>
                <w:rFonts w:ascii="Times New Roman" w:hAnsi="Times New Roman"/>
                <w:sz w:val="20"/>
              </w:rPr>
            </w:pPr>
            <w:r>
              <w:rPr>
                <w:rFonts w:ascii="Times New Roman" w:hAnsi="Times New Roman"/>
                <w:sz w:val="20"/>
              </w:rPr>
              <w:t>ING Financial Markets LLC</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7,500,000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7,500,000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12,000,000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10,500,000</w:t>
            </w:r>
          </w:p>
        </w:tc>
        <w:tc>
          <w:tcPr>
            <w:tcW w:w="65" w:type="dxa"/>
            <w:tcBorders/>
            <w:shd w:fill="auto" w:val="clear"/>
            <w:vAlign w:val="bottom"/>
          </w:tcPr>
          <w:p>
            <w:pPr>
              <w:pStyle w:val="TableContents"/>
              <w:spacing w:before="0" w:after="283"/>
              <w:rPr/>
            </w:pPr>
            <w:r>
              <w:rPr/>
              <w:t> </w:t>
            </w:r>
          </w:p>
        </w:tc>
      </w:tr>
      <w:tr>
        <w:trPr/>
        <w:tc>
          <w:tcPr>
            <w:tcW w:w="2913" w:type="dxa"/>
            <w:tcBorders/>
            <w:shd w:fill="CCEEFF" w:val="clear"/>
          </w:tcPr>
          <w:p>
            <w:pPr>
              <w:pStyle w:val="TableContents"/>
              <w:spacing w:before="0" w:after="0"/>
              <w:rPr>
                <w:rFonts w:ascii="Times New Roman" w:hAnsi="Times New Roman"/>
                <w:sz w:val="20"/>
              </w:rPr>
            </w:pPr>
            <w:r>
              <w:rPr>
                <w:rFonts w:ascii="Times New Roman" w:hAnsi="Times New Roman"/>
                <w:sz w:val="20"/>
              </w:rPr>
              <w:t>Intesa Sanpaolo S.p.A.</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7,500,000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7,500,000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12,000,000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10,500,000</w:t>
            </w:r>
          </w:p>
        </w:tc>
        <w:tc>
          <w:tcPr>
            <w:tcW w:w="65" w:type="dxa"/>
            <w:tcBorders/>
            <w:shd w:fill="CCEEFF" w:val="clear"/>
            <w:vAlign w:val="bottom"/>
          </w:tcPr>
          <w:p>
            <w:pPr>
              <w:pStyle w:val="TableContents"/>
              <w:spacing w:before="0" w:after="283"/>
              <w:rPr/>
            </w:pPr>
            <w:r>
              <w:rPr/>
              <w:t> </w:t>
            </w:r>
          </w:p>
        </w:tc>
      </w:tr>
      <w:tr>
        <w:trPr/>
        <w:tc>
          <w:tcPr>
            <w:tcW w:w="2913" w:type="dxa"/>
            <w:tcBorders/>
            <w:shd w:fill="auto" w:val="clear"/>
          </w:tcPr>
          <w:p>
            <w:pPr>
              <w:pStyle w:val="TableContents"/>
              <w:spacing w:before="0" w:after="0"/>
              <w:rPr>
                <w:rFonts w:ascii="Times New Roman" w:hAnsi="Times New Roman"/>
                <w:sz w:val="20"/>
              </w:rPr>
            </w:pPr>
            <w:r>
              <w:rPr>
                <w:rFonts w:ascii="Times New Roman" w:hAnsi="Times New Roman"/>
                <w:sz w:val="20"/>
              </w:rPr>
              <w:t>Loop Capital Markets LLC</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7,500,000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7,500,000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12,000,000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10,500,000</w:t>
            </w:r>
          </w:p>
        </w:tc>
        <w:tc>
          <w:tcPr>
            <w:tcW w:w="65" w:type="dxa"/>
            <w:tcBorders/>
            <w:shd w:fill="auto" w:val="clear"/>
            <w:vAlign w:val="bottom"/>
          </w:tcPr>
          <w:p>
            <w:pPr>
              <w:pStyle w:val="TableContents"/>
              <w:spacing w:before="0" w:after="283"/>
              <w:rPr/>
            </w:pPr>
            <w:r>
              <w:rPr/>
              <w:t> </w:t>
            </w:r>
          </w:p>
        </w:tc>
      </w:tr>
      <w:tr>
        <w:trPr/>
        <w:tc>
          <w:tcPr>
            <w:tcW w:w="2913" w:type="dxa"/>
            <w:tcBorders/>
            <w:shd w:fill="CCEEFF" w:val="clear"/>
          </w:tcPr>
          <w:p>
            <w:pPr>
              <w:pStyle w:val="TableContents"/>
              <w:spacing w:before="0" w:after="0"/>
              <w:rPr>
                <w:rFonts w:ascii="Times New Roman" w:hAnsi="Times New Roman"/>
                <w:sz w:val="20"/>
              </w:rPr>
            </w:pPr>
            <w:r>
              <w:rPr>
                <w:rFonts w:ascii="Times New Roman" w:hAnsi="Times New Roman"/>
                <w:sz w:val="20"/>
              </w:rPr>
              <w:t>NatWest Markets Securities Inc.</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7,500,000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7,500,000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12,000,000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10,500,000</w:t>
            </w:r>
          </w:p>
        </w:tc>
        <w:tc>
          <w:tcPr>
            <w:tcW w:w="65" w:type="dxa"/>
            <w:tcBorders/>
            <w:shd w:fill="CCEEFF" w:val="clear"/>
            <w:vAlign w:val="bottom"/>
          </w:tcPr>
          <w:p>
            <w:pPr>
              <w:pStyle w:val="TableContents"/>
              <w:spacing w:before="0" w:after="283"/>
              <w:rPr/>
            </w:pPr>
            <w:r>
              <w:rPr/>
              <w:t> </w:t>
            </w:r>
          </w:p>
        </w:tc>
      </w:tr>
      <w:tr>
        <w:trPr/>
        <w:tc>
          <w:tcPr>
            <w:tcW w:w="2913" w:type="dxa"/>
            <w:tcBorders/>
            <w:shd w:fill="auto" w:val="clear"/>
          </w:tcPr>
          <w:p>
            <w:pPr>
              <w:pStyle w:val="TableContents"/>
              <w:spacing w:before="0" w:after="0"/>
              <w:rPr>
                <w:rFonts w:ascii="Times New Roman" w:hAnsi="Times New Roman"/>
                <w:sz w:val="20"/>
              </w:rPr>
            </w:pPr>
            <w:r>
              <w:rPr>
                <w:rFonts w:ascii="Times New Roman" w:hAnsi="Times New Roman"/>
                <w:sz w:val="20"/>
              </w:rPr>
              <w:t>Scotia Capital (USA) Inc.</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7,500,000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7,500,000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12,000,000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10,500,000</w:t>
            </w:r>
          </w:p>
        </w:tc>
        <w:tc>
          <w:tcPr>
            <w:tcW w:w="65" w:type="dxa"/>
            <w:tcBorders/>
            <w:shd w:fill="auto" w:val="clear"/>
            <w:vAlign w:val="bottom"/>
          </w:tcPr>
          <w:p>
            <w:pPr>
              <w:pStyle w:val="TableContents"/>
              <w:spacing w:before="0" w:after="283"/>
              <w:rPr/>
            </w:pPr>
            <w:r>
              <w:rPr/>
              <w:t> </w:t>
            </w:r>
          </w:p>
        </w:tc>
      </w:tr>
      <w:tr>
        <w:trPr/>
        <w:tc>
          <w:tcPr>
            <w:tcW w:w="2913" w:type="dxa"/>
            <w:tcBorders/>
            <w:shd w:fill="CCEEFF" w:val="clear"/>
          </w:tcPr>
          <w:p>
            <w:pPr>
              <w:pStyle w:val="TableContents"/>
              <w:spacing w:before="0" w:after="0"/>
              <w:rPr>
                <w:rFonts w:ascii="Times New Roman" w:hAnsi="Times New Roman"/>
                <w:sz w:val="20"/>
              </w:rPr>
            </w:pPr>
            <w:r>
              <w:rPr>
                <w:rFonts w:ascii="Times New Roman" w:hAnsi="Times New Roman"/>
                <w:sz w:val="20"/>
              </w:rPr>
              <w:t>Truist Securities, Inc.</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7,500,000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7,500,000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12,000,000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10,500,000</w:t>
            </w:r>
          </w:p>
        </w:tc>
        <w:tc>
          <w:tcPr>
            <w:tcW w:w="65" w:type="dxa"/>
            <w:tcBorders/>
            <w:shd w:fill="CCEEFF" w:val="clear"/>
            <w:vAlign w:val="bottom"/>
          </w:tcPr>
          <w:p>
            <w:pPr>
              <w:pStyle w:val="TableContents"/>
              <w:spacing w:before="0" w:after="283"/>
              <w:rPr/>
            </w:pPr>
            <w:r>
              <w:rPr/>
              <w:t> </w:t>
            </w:r>
          </w:p>
        </w:tc>
      </w:tr>
      <w:tr>
        <w:trPr/>
        <w:tc>
          <w:tcPr>
            <w:tcW w:w="2913" w:type="dxa"/>
            <w:tcBorders/>
            <w:shd w:fill="auto" w:val="clear"/>
          </w:tcPr>
          <w:p>
            <w:pPr>
              <w:pStyle w:val="TableContents"/>
              <w:spacing w:before="0" w:after="0"/>
              <w:rPr>
                <w:rFonts w:ascii="Times New Roman" w:hAnsi="Times New Roman"/>
                <w:sz w:val="20"/>
              </w:rPr>
            </w:pPr>
            <w:r>
              <w:rPr>
                <w:rFonts w:ascii="Times New Roman" w:hAnsi="Times New Roman"/>
                <w:sz w:val="20"/>
              </w:rPr>
              <w:t>AmeriVet Securities, Inc.</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3,500,000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3,500,000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5,600,000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4,900,000</w:t>
            </w:r>
          </w:p>
        </w:tc>
        <w:tc>
          <w:tcPr>
            <w:tcW w:w="65" w:type="dxa"/>
            <w:tcBorders/>
            <w:shd w:fill="auto" w:val="clear"/>
            <w:vAlign w:val="bottom"/>
          </w:tcPr>
          <w:p>
            <w:pPr>
              <w:pStyle w:val="TableContents"/>
              <w:spacing w:before="0" w:after="283"/>
              <w:rPr/>
            </w:pPr>
            <w:r>
              <w:rPr/>
              <w:t> </w:t>
            </w:r>
          </w:p>
        </w:tc>
      </w:tr>
      <w:tr>
        <w:trPr/>
        <w:tc>
          <w:tcPr>
            <w:tcW w:w="2913" w:type="dxa"/>
            <w:tcBorders/>
            <w:shd w:fill="CCEEFF" w:val="clear"/>
          </w:tcPr>
          <w:p>
            <w:pPr>
              <w:pStyle w:val="TableContents"/>
              <w:spacing w:before="0" w:after="0"/>
              <w:rPr>
                <w:rFonts w:ascii="Times New Roman" w:hAnsi="Times New Roman"/>
                <w:sz w:val="20"/>
              </w:rPr>
            </w:pPr>
            <w:r>
              <w:rPr>
                <w:rFonts w:ascii="Times New Roman" w:hAnsi="Times New Roman"/>
                <w:sz w:val="20"/>
              </w:rPr>
              <w:t>C.L. King &amp; Associates, Inc.</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3,500,000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3,500,000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5,600,000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4,900,000</w:t>
            </w:r>
          </w:p>
        </w:tc>
        <w:tc>
          <w:tcPr>
            <w:tcW w:w="65" w:type="dxa"/>
            <w:tcBorders/>
            <w:shd w:fill="CCEEFF" w:val="clear"/>
            <w:vAlign w:val="bottom"/>
          </w:tcPr>
          <w:p>
            <w:pPr>
              <w:pStyle w:val="TableContents"/>
              <w:spacing w:before="0" w:after="283"/>
              <w:rPr/>
            </w:pPr>
            <w:r>
              <w:rPr/>
              <w:t> </w:t>
            </w:r>
          </w:p>
        </w:tc>
      </w:tr>
      <w:tr>
        <w:trPr/>
        <w:tc>
          <w:tcPr>
            <w:tcW w:w="2913" w:type="dxa"/>
            <w:tcBorders/>
            <w:shd w:fill="auto" w:val="clear"/>
          </w:tcPr>
          <w:p>
            <w:pPr>
              <w:pStyle w:val="TableContents"/>
              <w:spacing w:before="0" w:after="0"/>
              <w:rPr>
                <w:rFonts w:ascii="Times New Roman" w:hAnsi="Times New Roman"/>
                <w:sz w:val="20"/>
              </w:rPr>
            </w:pPr>
            <w:r>
              <w:rPr>
                <w:rFonts w:ascii="Times New Roman" w:hAnsi="Times New Roman"/>
                <w:sz w:val="20"/>
              </w:rPr>
              <w:t>MFR Securities, Inc.</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3,500,000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3,500,000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5,600,000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4,900,000</w:t>
            </w:r>
          </w:p>
        </w:tc>
        <w:tc>
          <w:tcPr>
            <w:tcW w:w="65" w:type="dxa"/>
            <w:tcBorders/>
            <w:shd w:fill="auto" w:val="clear"/>
            <w:vAlign w:val="bottom"/>
          </w:tcPr>
          <w:p>
            <w:pPr>
              <w:pStyle w:val="TableContents"/>
              <w:spacing w:before="0" w:after="283"/>
              <w:rPr/>
            </w:pPr>
            <w:r>
              <w:rPr/>
              <w:t> </w:t>
            </w:r>
          </w:p>
        </w:tc>
      </w:tr>
      <w:tr>
        <w:trPr/>
        <w:tc>
          <w:tcPr>
            <w:tcW w:w="2913" w:type="dxa"/>
            <w:tcBorders/>
            <w:shd w:fill="CCEEFF" w:val="clear"/>
          </w:tcPr>
          <w:p>
            <w:pPr>
              <w:pStyle w:val="TableContents"/>
              <w:spacing w:before="0" w:after="0"/>
              <w:rPr>
                <w:rFonts w:ascii="Times New Roman" w:hAnsi="Times New Roman"/>
                <w:sz w:val="20"/>
              </w:rPr>
            </w:pPr>
            <w:r>
              <w:rPr>
                <w:rFonts w:ascii="Times New Roman" w:hAnsi="Times New Roman"/>
                <w:sz w:val="20"/>
              </w:rPr>
              <w:t>Multi-Bank Securities, Inc.</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3,500,000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3,500,000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9" w:type="dxa"/>
            <w:tcBorders/>
            <w:shd w:fill="CCEEFF" w:val="clear"/>
            <w:vAlign w:val="bottom"/>
          </w:tcPr>
          <w:p>
            <w:pPr>
              <w:pStyle w:val="TableContents"/>
              <w:spacing w:before="0" w:after="283"/>
              <w:jc w:val="right"/>
              <w:rPr/>
            </w:pPr>
            <w:r>
              <w:rPr/>
              <w:t>5,600,000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448" w:type="dxa"/>
            <w:tcBorders/>
            <w:shd w:fill="CCEEFF" w:val="clear"/>
            <w:vAlign w:val="bottom"/>
          </w:tcPr>
          <w:p>
            <w:pPr>
              <w:pStyle w:val="TableContents"/>
              <w:spacing w:before="0" w:after="283"/>
              <w:jc w:val="right"/>
              <w:rPr/>
            </w:pPr>
            <w:r>
              <w:rPr/>
              <w:t>4,900,000</w:t>
            </w:r>
          </w:p>
        </w:tc>
        <w:tc>
          <w:tcPr>
            <w:tcW w:w="65" w:type="dxa"/>
            <w:tcBorders/>
            <w:shd w:fill="CCEEFF" w:val="clear"/>
            <w:vAlign w:val="bottom"/>
          </w:tcPr>
          <w:p>
            <w:pPr>
              <w:pStyle w:val="TableContents"/>
              <w:spacing w:before="0" w:after="283"/>
              <w:rPr/>
            </w:pPr>
            <w:r>
              <w:rPr/>
              <w:t> </w:t>
            </w:r>
          </w:p>
        </w:tc>
      </w:tr>
      <w:tr>
        <w:trPr/>
        <w:tc>
          <w:tcPr>
            <w:tcW w:w="2913" w:type="dxa"/>
            <w:tcBorders/>
            <w:shd w:fill="auto" w:val="clear"/>
          </w:tcPr>
          <w:p>
            <w:pPr>
              <w:pStyle w:val="TableContents"/>
              <w:spacing w:before="0" w:after="0"/>
              <w:rPr>
                <w:rFonts w:ascii="Times New Roman" w:hAnsi="Times New Roman"/>
                <w:sz w:val="20"/>
              </w:rPr>
            </w:pPr>
            <w:r>
              <w:rPr>
                <w:rFonts w:ascii="Times New Roman" w:hAnsi="Times New Roman"/>
                <w:sz w:val="20"/>
              </w:rPr>
              <w:t>Stern Brothers &amp; Co.</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3,500,000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3,500,000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9" w:type="dxa"/>
            <w:tcBorders/>
            <w:shd w:fill="auto" w:val="clear"/>
            <w:vAlign w:val="bottom"/>
          </w:tcPr>
          <w:p>
            <w:pPr>
              <w:pStyle w:val="TableContents"/>
              <w:spacing w:before="0" w:after="283"/>
              <w:jc w:val="right"/>
              <w:rPr/>
            </w:pPr>
            <w:r>
              <w:rPr/>
              <w:t>5,600,000</w:t>
            </w:r>
          </w:p>
        </w:tc>
        <w:tc>
          <w:tcPr>
            <w:tcW w:w="60" w:type="dxa"/>
            <w:tcBorders/>
            <w:shd w:fill="auto" w:val="clear"/>
            <w:vAlign w:val="bottom"/>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448" w:type="dxa"/>
            <w:tcBorders/>
            <w:shd w:fill="auto" w:val="clear"/>
            <w:vAlign w:val="bottom"/>
          </w:tcPr>
          <w:p>
            <w:pPr>
              <w:pStyle w:val="TableContents"/>
              <w:spacing w:before="0" w:after="283"/>
              <w:jc w:val="right"/>
              <w:rPr/>
            </w:pPr>
            <w:r>
              <w:rPr/>
              <w:t>4,900,000</w:t>
            </w:r>
          </w:p>
        </w:tc>
        <w:tc>
          <w:tcPr>
            <w:tcW w:w="65" w:type="dxa"/>
            <w:tcBorders/>
            <w:shd w:fill="auto" w:val="clear"/>
            <w:vAlign w:val="bottom"/>
          </w:tcPr>
          <w:p>
            <w:pPr>
              <w:pStyle w:val="TableContents"/>
              <w:spacing w:before="0" w:after="283"/>
              <w:rPr/>
            </w:pPr>
            <w:r>
              <w:rPr/>
              <w:t> </w:t>
            </w:r>
          </w:p>
        </w:tc>
      </w:tr>
      <w:tr>
        <w:trPr/>
        <w:tc>
          <w:tcPr>
            <w:tcW w:w="2913"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44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44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44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1448" w:type="dxa"/>
            <w:tcBorders/>
            <w:shd w:fill="auto" w:val="clear"/>
            <w:vAlign w:val="bottom"/>
          </w:tcPr>
          <w:p>
            <w:pPr>
              <w:pStyle w:val="TableContents"/>
              <w:pBdr>
                <w:top w:val="single" w:sz="2"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r>
        <w:trPr/>
        <w:tc>
          <w:tcPr>
            <w:tcW w:w="2913" w:type="dxa"/>
            <w:tcBorders/>
            <w:shd w:fill="CCEEFF" w:val="clear"/>
          </w:tcPr>
          <w:p>
            <w:pPr>
              <w:pStyle w:val="TableContents"/>
              <w:spacing w:before="0" w:after="0"/>
              <w:rPr>
                <w:rFonts w:ascii="Times New Roman" w:hAnsi="Times New Roman"/>
                <w:sz w:val="20"/>
              </w:rPr>
            </w:pPr>
            <w:r>
              <w:rPr>
                <w:rFonts w:ascii="Times New Roman" w:hAnsi="Times New Roman"/>
                <w:sz w:val="20"/>
              </w:rPr>
              <w:t>Total</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449" w:type="dxa"/>
            <w:tcBorders/>
            <w:shd w:fill="CCEEFF" w:val="clear"/>
            <w:vAlign w:val="bottom"/>
          </w:tcPr>
          <w:p>
            <w:pPr>
              <w:pStyle w:val="TableContents"/>
              <w:spacing w:before="0" w:after="283"/>
              <w:jc w:val="right"/>
              <w:rPr/>
            </w:pPr>
            <w:r>
              <w:rPr/>
              <w:t>1,000,000,000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449" w:type="dxa"/>
            <w:tcBorders/>
            <w:shd w:fill="CCEEFF" w:val="clear"/>
            <w:vAlign w:val="bottom"/>
          </w:tcPr>
          <w:p>
            <w:pPr>
              <w:pStyle w:val="TableContents"/>
              <w:spacing w:before="0" w:after="283"/>
              <w:jc w:val="right"/>
              <w:rPr/>
            </w:pPr>
            <w:r>
              <w:rPr/>
              <w:t>1,000,000,000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449" w:type="dxa"/>
            <w:tcBorders/>
            <w:shd w:fill="CCEEFF" w:val="clear"/>
            <w:vAlign w:val="bottom"/>
          </w:tcPr>
          <w:p>
            <w:pPr>
              <w:pStyle w:val="TableContents"/>
              <w:spacing w:before="0" w:after="283"/>
              <w:jc w:val="right"/>
              <w:rPr/>
            </w:pPr>
            <w:r>
              <w:rPr/>
              <w:t>1,600,000,000</w:t>
            </w:r>
          </w:p>
        </w:tc>
        <w:tc>
          <w:tcPr>
            <w:tcW w:w="60" w:type="dxa"/>
            <w:tcBorders/>
            <w:shd w:fill="CCEEFF" w:val="clear"/>
            <w:vAlign w:val="bottom"/>
          </w:tcPr>
          <w:p>
            <w:pPr>
              <w:pStyle w:val="TableContents"/>
              <w:spacing w:before="0" w:after="283"/>
              <w:rPr/>
            </w:pPr>
            <w:r>
              <w:rPr/>
              <w:t> </w:t>
            </w:r>
          </w:p>
        </w:tc>
        <w:tc>
          <w:tcPr>
            <w:tcW w:w="173"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448" w:type="dxa"/>
            <w:tcBorders/>
            <w:shd w:fill="CCEEFF" w:val="clear"/>
            <w:vAlign w:val="bottom"/>
          </w:tcPr>
          <w:p>
            <w:pPr>
              <w:pStyle w:val="TableContents"/>
              <w:spacing w:before="0" w:after="283"/>
              <w:jc w:val="right"/>
              <w:rPr/>
            </w:pPr>
            <w:r>
              <w:rPr/>
              <w:t>1,400,000,000</w:t>
            </w:r>
          </w:p>
        </w:tc>
        <w:tc>
          <w:tcPr>
            <w:tcW w:w="65" w:type="dxa"/>
            <w:tcBorders/>
            <w:shd w:fill="CCEEFF" w:val="clear"/>
            <w:vAlign w:val="bottom"/>
          </w:tcPr>
          <w:p>
            <w:pPr>
              <w:pStyle w:val="TableContents"/>
              <w:spacing w:before="0" w:after="283"/>
              <w:rPr/>
            </w:pPr>
            <w:r>
              <w:rPr/>
              <w:t> </w:t>
            </w:r>
          </w:p>
        </w:tc>
      </w:tr>
      <w:tr>
        <w:trPr/>
        <w:tc>
          <w:tcPr>
            <w:tcW w:w="2913"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449"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449"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449"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73"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1448" w:type="dxa"/>
            <w:tcBorders/>
            <w:shd w:fill="auto" w:val="clear"/>
            <w:vAlign w:val="bottom"/>
          </w:tcPr>
          <w:p>
            <w:pPr>
              <w:pStyle w:val="TableContents"/>
              <w:pBdr>
                <w:top w:val="double" w:sz="6" w:space="1" w:color="000000"/>
              </w:pBdr>
              <w:spacing w:before="0" w:after="0"/>
              <w:rPr/>
            </w:pPr>
            <w:r>
              <w:rPr/>
              <w:t> </w:t>
            </w:r>
          </w:p>
        </w:tc>
        <w:tc>
          <w:tcPr>
            <w:tcW w:w="65"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We have agreed to indemnify the several underwriters against certain liabilities, including liabilities under the Securities Act of 1933, as amended, or to contribute to payments the several underwriters may be required to make in respect of those liabilities. </w:t>
      </w:r>
    </w:p>
    <w:p>
      <w:pPr>
        <w:pStyle w:val="TextBody"/>
        <w:spacing w:before="240" w:after="0"/>
        <w:jc w:val="left"/>
        <w:rPr>
          <w:rFonts w:ascii="Times New Roman" w:hAnsi="Times New Roman"/>
          <w:sz w:val="20"/>
        </w:rPr>
      </w:pPr>
      <w:r>
        <w:rPr>
          <w:rFonts w:ascii="Times New Roman" w:hAnsi="Times New Roman"/>
          <w:sz w:val="20"/>
        </w:rPr>
        <w:t xml:space="preserve">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spacing w:before="240" w:after="0"/>
        <w:jc w:val="left"/>
        <w:rPr>
          <w:rFonts w:ascii="Times New Roman" w:hAnsi="Times New Roman"/>
          <w:sz w:val="20"/>
        </w:rPr>
      </w:pPr>
      <w:r>
        <w:rPr>
          <w:rFonts w:ascii="Times New Roman" w:hAnsi="Times New Roman"/>
          <w:sz w:val="20"/>
        </w:rPr>
        <w:t xml:space="preserve">It is expected that delivery of the notes will be made against payment therefor on or about May 9, 2023, which is the sixth business day following the date hereof (such settlement cycle being referred to as T+6).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preceding the settlement date will be required, by virtue of the fact that the notes initially will settle in T+6, to specify an alternative settlement cycle at the time of any such trade to prevent failed settlement and should consult their own advisors. </w:t>
      </w:r>
    </w:p>
    <w:p>
      <w:pPr>
        <w:pStyle w:val="TextBody"/>
        <w:spacing w:before="360" w:after="0"/>
        <w:jc w:val="left"/>
        <w:rPr>
          <w:rFonts w:ascii="Times New Roman" w:hAnsi="Times New Roman"/>
          <w:b/>
          <w:sz w:val="20"/>
        </w:rPr>
      </w:pPr>
      <w:r>
        <w:rPr>
          <w:rFonts w:ascii="Times New Roman" w:hAnsi="Times New Roman"/>
          <w:b/>
          <w:sz w:val="20"/>
        </w:rPr>
        <w:t xml:space="preserve">Commissions and Discounts </w:t>
      </w:r>
    </w:p>
    <w:p>
      <w:pPr>
        <w:pStyle w:val="TextBody"/>
        <w:spacing w:before="120" w:after="0"/>
        <w:jc w:val="left"/>
        <w:rPr>
          <w:rFonts w:ascii="Times New Roman" w:hAnsi="Times New Roman"/>
          <w:sz w:val="20"/>
        </w:rPr>
      </w:pPr>
      <w:r>
        <w:rPr>
          <w:rFonts w:ascii="Times New Roman" w:hAnsi="Times New Roman"/>
          <w:sz w:val="20"/>
        </w:rPr>
        <w:t xml:space="preserve">The underwriters have advised us that they propose initially to offer the notes to the public at the public offering price on the cover page of this prospectus supplement, and to dealers at that price less a concession not in excess of 0.150%, 0.250%, 0.450% and 0.500% of the principal amount of the Notes due 2029, the Notes due 2033, the Notes due 2053 and the Notes due 2064, respectively. The underwriters may allow, and the dealers may reallow, a discount not in excess of 0.100%, 0.150%, 0.300% and 0.300% of the principal amount of the Notes due 2029, the Notes due 2033, the Notes due 2053 and the Notes due 2064, respectively, to other dealers. After the initial public offering, the public offering prices, concessions and discounts may be changed. </w:t>
      </w:r>
    </w:p>
    <w:p>
      <w:pPr>
        <w:pStyle w:val="TextBody"/>
        <w:spacing w:before="240" w:after="0"/>
        <w:jc w:val="left"/>
        <w:rPr>
          <w:rFonts w:ascii="Times New Roman" w:hAnsi="Times New Roman"/>
          <w:sz w:val="20"/>
        </w:rPr>
      </w:pPr>
      <w:r>
        <w:rPr>
          <w:rFonts w:ascii="Times New Roman" w:hAnsi="Times New Roman"/>
          <w:sz w:val="20"/>
        </w:rPr>
        <w:t xml:space="preserve">The expenses of the offering, not including the underwriting discount, are estimated to be $1.25 million. </w:t>
      </w:r>
    </w:p>
    <w:p>
      <w:pPr>
        <w:pStyle w:val="TextBody"/>
        <w:spacing w:before="360" w:after="0"/>
        <w:jc w:val="left"/>
        <w:rPr>
          <w:rFonts w:ascii="Times New Roman" w:hAnsi="Times New Roman"/>
          <w:b/>
          <w:sz w:val="20"/>
        </w:rPr>
      </w:pPr>
      <w:r>
        <w:rPr>
          <w:rFonts w:ascii="Times New Roman" w:hAnsi="Times New Roman"/>
          <w:b/>
          <w:sz w:val="20"/>
        </w:rPr>
        <w:t xml:space="preserve">New Issue of Notes </w:t>
      </w:r>
    </w:p>
    <w:p>
      <w:pPr>
        <w:pStyle w:val="TextBody"/>
        <w:spacing w:before="120" w:after="0"/>
        <w:jc w:val="left"/>
        <w:rPr>
          <w:rFonts w:ascii="Times New Roman" w:hAnsi="Times New Roman"/>
          <w:sz w:val="20"/>
        </w:rPr>
      </w:pPr>
      <w:r>
        <w:rPr>
          <w:rFonts w:ascii="Times New Roman" w:hAnsi="Times New Roman"/>
          <w:sz w:val="20"/>
        </w:rPr>
        <w:t xml:space="preserve">Each series of notes are a new issue of securities with no established trading market. We do not intend to apply for listing of the notes on any national securities exchange or for quotation of the notes on any automated dealer quotation system. We have 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 </w:t>
      </w:r>
    </w:p>
    <w:p>
      <w:pPr>
        <w:pStyle w:val="TextBody"/>
        <w:spacing w:before="360" w:after="0"/>
        <w:jc w:val="left"/>
        <w:rPr>
          <w:rFonts w:ascii="Times New Roman" w:hAnsi="Times New Roman"/>
          <w:b/>
          <w:sz w:val="20"/>
        </w:rPr>
      </w:pPr>
      <w:r>
        <w:rPr>
          <w:rFonts w:ascii="Times New Roman" w:hAnsi="Times New Roman"/>
          <w:b/>
          <w:sz w:val="20"/>
        </w:rPr>
        <w:t xml:space="preserve">Price Stabilization and Short Positions </w:t>
      </w:r>
    </w:p>
    <w:p>
      <w:pPr>
        <w:pStyle w:val="TextBody"/>
        <w:spacing w:before="120" w:after="0"/>
        <w:jc w:val="left"/>
        <w:rPr>
          <w:rFonts w:ascii="Times New Roman" w:hAnsi="Times New Roman"/>
          <w:sz w:val="20"/>
        </w:rPr>
      </w:pPr>
      <w:r>
        <w:rPr>
          <w:rFonts w:ascii="Times New Roman" w:hAnsi="Times New Roman"/>
          <w:sz w:val="20"/>
        </w:rPr>
        <w:t xml:space="preserve">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 The underwriters also may impose a penalty bid. This occurs when a particular underwriter repays to the underwriters a portion of the underwriting discount received by it because the representatives have repurchased notes sold by or for the account of such underwriter in stabilizing or short covering transactions.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 </w:t>
      </w:r>
    </w:p>
    <w:p>
      <w:pPr>
        <w:pStyle w:val="TextBody"/>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spacing w:before="12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 Furthermore, certain of the underwriters and their respective affiliates may, from time to time, enter into arms-length transactions with us in the ordinary course of their business. </w:t>
      </w:r>
    </w:p>
    <w:p>
      <w:pPr>
        <w:pStyle w:val="TextBody"/>
        <w:spacing w:before="24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Such investment and securities activities may involve our securities and instruments, including the securities that are subject to the Tender Offers and our other debt, and therefore, certain of the underwriters and/or their respective affiliates may receive proceeds from this offering through the purchase of such securities in connection with the Tender Offers and/or the repayment of our other debt. Certain of the underwriters or their affiliates are acting as dealer managers in connection with the Tender Offers, for which they will receive customary fees. In addition, certain of the underwriters or their affiliates that have a lending relationship with us routinely hedge, and certain other of those underwriters or their affiliates may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spacing w:before="240" w:after="0"/>
        <w:jc w:val="left"/>
        <w:rPr>
          <w:rFonts w:ascii="Times New Roman" w:hAnsi="Times New Roman"/>
          <w:sz w:val="20"/>
        </w:rPr>
      </w:pPr>
      <w:r>
        <w:rPr>
          <w:rFonts w:ascii="Times New Roman" w:hAnsi="Times New Roman"/>
          <w:sz w:val="20"/>
        </w:rPr>
        <w:t xml:space="preserve">BNY Mellon Capital Markets, LLC, one of the underwriters, is an affiliate of The Bank of New York Mellon, the trustee under the indenture that will govern the notes. </w:t>
      </w:r>
    </w:p>
    <w:p>
      <w:pPr>
        <w:pStyle w:val="TextBody"/>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spacing w:before="120" w:after="0"/>
        <w:jc w:val="left"/>
        <w:rPr>
          <w:rFonts w:ascii="Times New Roman" w:hAnsi="Times New Roman"/>
          <w:b/>
          <w:i/>
          <w:sz w:val="20"/>
        </w:rPr>
      </w:pPr>
      <w:r>
        <w:rPr>
          <w:rFonts w:ascii="Times New Roman" w:hAnsi="Times New Roman"/>
          <w:b/>
          <w:i/>
          <w:sz w:val="20"/>
        </w:rPr>
        <w:t xml:space="preserve">Canada </w:t>
      </w:r>
    </w:p>
    <w:p>
      <w:pPr>
        <w:pStyle w:val="TextBody"/>
        <w:spacing w:before="120" w:after="0"/>
        <w:jc w:val="left"/>
        <w:rPr>
          <w:rFonts w:ascii="Times New Roman" w:hAnsi="Times New Roman"/>
          <w:sz w:val="20"/>
        </w:rPr>
      </w:pPr>
      <w:r>
        <w:rPr>
          <w:rFonts w:ascii="Times New Roman" w:hAnsi="Times New Roman"/>
          <w:sz w:val="20"/>
        </w:rPr>
        <w:t xml:space="preserve">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 </w:t>
      </w:r>
    </w:p>
    <w:p>
      <w:pPr>
        <w:pStyle w:val="TextBody"/>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spacing w:before="360" w:after="0"/>
        <w:jc w:val="left"/>
        <w:rPr>
          <w:rFonts w:ascii="Times New Roman" w:hAnsi="Times New Roman"/>
          <w:b/>
          <w:i/>
          <w:sz w:val="20"/>
        </w:rPr>
      </w:pPr>
      <w:r>
        <w:rPr>
          <w:rFonts w:ascii="Times New Roman" w:hAnsi="Times New Roman"/>
          <w:b/>
          <w:i/>
          <w:sz w:val="20"/>
        </w:rPr>
        <w:t xml:space="preserve">European Economic Area </w:t>
      </w:r>
    </w:p>
    <w:p>
      <w:pPr>
        <w:pStyle w:val="TextBody"/>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European Economic Area (the EEA). For these purposes, a retail investor means a person who is one (or more) of: (i) a retail client as defined in point (11) of Article 4(1) of Directive 2014/65/EU (as amended, MiFID II);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w:t>
      </w:r>
    </w:p>
    <w:p>
      <w:pPr>
        <w:pStyle w:val="TextBody"/>
        <w:spacing w:before="240" w:after="0"/>
        <w:jc w:val="left"/>
        <w:rPr>
          <w:rFonts w:ascii="Times New Roman" w:hAnsi="Times New Roman"/>
          <w:sz w:val="20"/>
        </w:rPr>
      </w:pPr>
      <w:r>
        <w:rPr>
          <w:rFonts w:ascii="Times New Roman" w:hAnsi="Times New Roman"/>
          <w:sz w:val="20"/>
        </w:rPr>
        <w:t xml:space="preserve">This prospectus supplement has been prepared on the basis that any offer of notes in any member state of the EEA will be made pursuant to an exemption under the Prospectus Regulation from the requirement to publish a prospectus for offers of notes. This prospectus supplement is not a prospectus for the purposes of the Prospectus Regulation. </w:t>
      </w:r>
    </w:p>
    <w:p>
      <w:pPr>
        <w:pStyle w:val="TextBody"/>
        <w:spacing w:before="360" w:after="0"/>
        <w:jc w:val="left"/>
        <w:rPr>
          <w:rFonts w:ascii="Times New Roman" w:hAnsi="Times New Roman"/>
          <w:b/>
          <w:i/>
          <w:sz w:val="20"/>
        </w:rPr>
      </w:pPr>
      <w:r>
        <w:rPr>
          <w:rFonts w:ascii="Times New Roman" w:hAnsi="Times New Roman"/>
          <w:b/>
          <w:i/>
          <w:sz w:val="20"/>
        </w:rPr>
        <w:t xml:space="preserve">United Kingdom </w:t>
      </w:r>
    </w:p>
    <w:p>
      <w:pPr>
        <w:pStyle w:val="TextBody"/>
        <w:spacing w:before="120" w:after="0"/>
        <w:jc w:val="left"/>
        <w:rPr>
          <w:rFonts w:ascii="Times New Roman" w:hAnsi="Times New Roman"/>
          <w:sz w:val="20"/>
        </w:rPr>
      </w:pPr>
      <w:r>
        <w:rPr>
          <w:rFonts w:ascii="Times New Roman" w:hAnsi="Times New Roman"/>
          <w:sz w:val="20"/>
        </w:rPr>
        <w:t xml:space="preserve">The notes are not intended to be offered, sold or otherwise made available to and should not be offered, sold or otherwise made available to any retail investor in the United Kingdom (the UK). For these purposes, a retail investor means a person who is one (or more) of: (i) a retail client, as defined in point (8) of Article 2 of Regulation (EU) No 2017/565 as it forms part of domestic law by virtue of the European Union (Withdrawal) Act 2018 (as amended, EUWA); (ii) a customer within the meaning of the provisions of the Financial Services and Markets Act 2000 (as amended,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(the UK Prospectus Regulation) . 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w:t>
      </w:r>
    </w:p>
    <w:p>
      <w:pPr>
        <w:pStyle w:val="TextBody"/>
        <w:spacing w:before="240" w:after="0"/>
        <w:jc w:val="left"/>
        <w:rPr>
          <w:rFonts w:ascii="Times New Roman" w:hAnsi="Times New Roman"/>
          <w:sz w:val="20"/>
        </w:rPr>
      </w:pPr>
      <w:r>
        <w:rPr>
          <w:rFonts w:ascii="Times New Roman" w:hAnsi="Times New Roman"/>
          <w:sz w:val="20"/>
        </w:rPr>
        <w:t xml:space="preserve">This prospectus supplement has been prepared on the basis that any offer of notes in the UK will be made pursuant to an exemption under the UK Prospectus Regulation from the requirement to publish a prospectus for offers of notes. This prospectus supplement is not a prospectus for the purposes of the UK Prospectus Regulation. </w:t>
      </w:r>
    </w:p>
    <w:p>
      <w:pPr>
        <w:pStyle w:val="TextBody"/>
        <w:spacing w:before="360" w:after="0"/>
        <w:jc w:val="left"/>
        <w:rPr>
          <w:rFonts w:ascii="Times New Roman" w:hAnsi="Times New Roman"/>
          <w:b/>
          <w:i/>
          <w:sz w:val="20"/>
        </w:rPr>
      </w:pPr>
      <w:r>
        <w:rPr>
          <w:rFonts w:ascii="Times New Roman" w:hAnsi="Times New Roman"/>
          <w:b/>
          <w:i/>
          <w:sz w:val="20"/>
        </w:rPr>
        <w:t xml:space="preserve">Hong Kong </w:t>
      </w:r>
    </w:p>
    <w:p>
      <w:pPr>
        <w:pStyle w:val="TextBody"/>
        <w:spacing w:before="120" w:after="0"/>
        <w:jc w:val="left"/>
        <w:rPr>
          <w:rFonts w:ascii="Times New Roman" w:hAnsi="Times New Roman"/>
          <w:sz w:val="20"/>
        </w:rPr>
      </w:pPr>
      <w:r>
        <w:rPr>
          <w:rFonts w:ascii="Times New Roman" w:hAnsi="Times New Roman"/>
          <w:sz w:val="20"/>
        </w:rPr>
        <w:t xml:space="preserve">The notes may not be offered or sold by means of any document other than to persons whose ordinary business is to buy or sell shares or debentures, whether as principal or agent, or in circumstances that do not constitute an offer to the public within the meaning of the Companies Ordinance (Cap. 32) of Hong Kong, and no advertisement, invitation or document relating to the notes may be issued, whether in Hong Kong or elsewhere, that is directed at, or the contents of which are likely to be accessed or read by, the public in Hong Kong (except if permitted to do so under the securities laws of Hong Kong) other than with respect to notes that are or are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intended to be disposed of only to persons outside Hong Kong or only to professional investors within the meaning of the Securities and Futures Ordinance (Cap. 571) of Hong Kong and any rules made thereunder. </w:t>
      </w:r>
    </w:p>
    <w:p>
      <w:pPr>
        <w:pStyle w:val="TextBody"/>
        <w:spacing w:before="360" w:after="0"/>
        <w:jc w:val="left"/>
        <w:rPr>
          <w:rFonts w:ascii="Times New Roman" w:hAnsi="Times New Roman"/>
          <w:b/>
          <w:i/>
          <w:sz w:val="20"/>
        </w:rPr>
      </w:pPr>
      <w:r>
        <w:rPr>
          <w:rFonts w:ascii="Times New Roman" w:hAnsi="Times New Roman"/>
          <w:b/>
          <w:i/>
          <w:sz w:val="20"/>
        </w:rPr>
        <w:t xml:space="preserve">Japan </w:t>
      </w:r>
    </w:p>
    <w:p>
      <w:pPr>
        <w:pStyle w:val="TextBody"/>
        <w:spacing w:before="120" w:after="0"/>
        <w:jc w:val="left"/>
        <w:rPr>
          <w:rFonts w:ascii="Times New Roman" w:hAnsi="Times New Roman"/>
          <w:sz w:val="20"/>
        </w:rPr>
      </w:pPr>
      <w:r>
        <w:rPr>
          <w:rFonts w:ascii="Times New Roman" w:hAnsi="Times New Roman"/>
          <w:sz w:val="20"/>
        </w:rPr>
        <w:t xml:space="preserve">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 compliance with, the FIEL available thereunder and in compliance with the other relevant laws and regulations of Japan. </w:t>
      </w:r>
    </w:p>
    <w:p>
      <w:pPr>
        <w:pStyle w:val="TextBody"/>
        <w:spacing w:before="360" w:after="0"/>
        <w:jc w:val="left"/>
        <w:rPr>
          <w:rFonts w:ascii="Times New Roman" w:hAnsi="Times New Roman"/>
          <w:b/>
          <w:i/>
          <w:sz w:val="20"/>
        </w:rPr>
      </w:pPr>
      <w:r>
        <w:rPr>
          <w:rFonts w:ascii="Times New Roman" w:hAnsi="Times New Roman"/>
          <w:b/>
          <w:i/>
          <w:sz w:val="20"/>
        </w:rPr>
        <w:t xml:space="preserve">Korea </w:t>
      </w:r>
    </w:p>
    <w:p>
      <w:pPr>
        <w:pStyle w:val="TextBody"/>
        <w:spacing w:before="120" w:after="0"/>
        <w:jc w:val="left"/>
        <w:rPr>
          <w:rFonts w:ascii="Times New Roman" w:hAnsi="Times New Roman"/>
          <w:sz w:val="20"/>
        </w:rPr>
      </w:pPr>
      <w:r>
        <w:rPr>
          <w:rFonts w:ascii="Times New Roman" w:hAnsi="Times New Roman"/>
          <w:sz w:val="20"/>
        </w:rPr>
        <w:t xml:space="preserve">The notes may not be offered, sold and delivered directly or indirectly, or offered or sold to any person for reoffering or resale, directly or indirectly, in Korea or to any resident of Korea except pursuant to the applicable laws and regulations of Korea, including the Korea Securities and Exchange Act and the Foreign Exchange Transaction Law and the decrees and regulations thereunder. The notes have not been and will not be registered with the Financial Services Commission of Korea for public offering in Korea. Furthermore, the notes may not be resold to Korean residents unless the purchaser of the notes complies with all applicable regulatory requirements (including but not limited to government approval requirements under the Foreign Exchange Transaction Law and its subordinate decrees and regulations) in connection with the purchase of the notes. </w:t>
      </w:r>
    </w:p>
    <w:p>
      <w:pPr>
        <w:pStyle w:val="TextBody"/>
        <w:spacing w:before="360" w:after="0"/>
        <w:jc w:val="left"/>
        <w:rPr>
          <w:rFonts w:ascii="Times New Roman" w:hAnsi="Times New Roman"/>
          <w:b/>
          <w:i/>
          <w:sz w:val="20"/>
        </w:rPr>
      </w:pPr>
      <w:r>
        <w:rPr>
          <w:rFonts w:ascii="Times New Roman" w:hAnsi="Times New Roman"/>
          <w:b/>
          <w:i/>
          <w:sz w:val="20"/>
        </w:rPr>
        <w:t xml:space="preserve">Singapore </w:t>
      </w:r>
    </w:p>
    <w:p>
      <w:pPr>
        <w:pStyle w:val="TextBody"/>
        <w:spacing w:before="120" w:after="0"/>
        <w:jc w:val="left"/>
        <w:rPr>
          <w:rFonts w:ascii="Times New Roman" w:hAnsi="Times New Roman"/>
          <w:sz w:val="20"/>
        </w:rPr>
      </w:pPr>
      <w:r>
        <w:rPr>
          <w:rFonts w:ascii="Times New Roman" w:hAnsi="Times New Roman"/>
          <w:sz w:val="20"/>
        </w:rPr>
        <w:t xml:space="preserve">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w:t>
      </w:r>
    </w:p>
    <w:p>
      <w:pPr>
        <w:pStyle w:val="TextBody"/>
        <w:spacing w:before="120" w:after="0"/>
        <w:jc w:val="left"/>
        <w:rPr>
          <w:rFonts w:ascii="Times New Roman" w:hAnsi="Times New Roman"/>
          <w:sz w:val="20"/>
        </w:rPr>
      </w:pPr>
      <w:r>
        <w:rPr>
          <w:rFonts w:ascii="Times New Roman" w:hAnsi="Times New Roman"/>
          <w:sz w:val="20"/>
        </w:rPr>
        <w:t xml:space="preserve">(i)    to an institutional investor (as defined in Section 4A of the Securities and Futures Act (Chapter 289) of Singapore, as modified or amended from time to time (the SFA)) pursuant to Section 274 of the SFA; </w:t>
      </w:r>
    </w:p>
    <w:p>
      <w:pPr>
        <w:pStyle w:val="TextBody"/>
        <w:spacing w:before="120" w:after="0"/>
        <w:jc w:val="left"/>
        <w:rPr>
          <w:rFonts w:ascii="Times New Roman" w:hAnsi="Times New Roman"/>
          <w:sz w:val="20"/>
        </w:rPr>
      </w:pPr>
      <w:r>
        <w:rPr>
          <w:rFonts w:ascii="Times New Roman" w:hAnsi="Times New Roman"/>
          <w:sz w:val="20"/>
        </w:rPr>
        <w:t xml:space="preserve">(ii)    to a relevant person (as defined in Section 275(2) of the SFA) pursuant to Section 275(1) of the SFA, or any person pursuant to Section 275(1A) of the SFA, and in accordance with the conditions specified in Section 275 of the SFA; or </w:t>
      </w:r>
    </w:p>
    <w:p>
      <w:pPr>
        <w:pStyle w:val="TextBody"/>
        <w:spacing w:before="120" w:after="0"/>
        <w:jc w:val="left"/>
        <w:rPr>
          <w:rFonts w:ascii="Times New Roman" w:hAnsi="Times New Roman"/>
          <w:sz w:val="20"/>
        </w:rPr>
      </w:pPr>
      <w:r>
        <w:rPr>
          <w:rFonts w:ascii="Times New Roman" w:hAnsi="Times New Roman"/>
          <w:sz w:val="20"/>
        </w:rPr>
        <w:t xml:space="preserve">(iii)    otherwise pursuant to, and in accordance with the conditions of, any other applicable provision of the SFA. </w:t>
      </w:r>
    </w:p>
    <w:p>
      <w:pPr>
        <w:pStyle w:val="TextBody"/>
        <w:spacing w:before="240" w:after="0"/>
        <w:jc w:val="left"/>
        <w:rPr>
          <w:rFonts w:ascii="Times New Roman" w:hAnsi="Times New Roman"/>
          <w:sz w:val="20"/>
        </w:rPr>
      </w:pPr>
      <w:r>
        <w:rPr>
          <w:rFonts w:ascii="Times New Roman" w:hAnsi="Times New Roman"/>
          <w:sz w:val="20"/>
        </w:rPr>
        <w:t xml:space="preserve">Where the notes are subscribed or purchased under Section 275 of the SFA by a relevant person which is: </w:t>
      </w:r>
    </w:p>
    <w:p>
      <w:pPr>
        <w:pStyle w:val="TextBody"/>
        <w:spacing w:before="120" w:after="0"/>
        <w:jc w:val="left"/>
        <w:rPr>
          <w:rFonts w:ascii="Times New Roman" w:hAnsi="Times New Roman"/>
          <w:sz w:val="20"/>
        </w:rPr>
      </w:pPr>
      <w:r>
        <w:rPr>
          <w:rFonts w:ascii="Times New Roman" w:hAnsi="Times New Roman"/>
          <w:sz w:val="20"/>
        </w:rPr>
        <w:t xml:space="preserve">(a)    a corporation (which is not an accredited investor (as defined in Section 4A of the SFA)) the sole business of which is to hold investments and the entire share capital of which is owned by one or more individuals, each of whom is an accredited investor; or </w:t>
      </w:r>
    </w:p>
    <w:p>
      <w:pPr>
        <w:pStyle w:val="TextBody"/>
        <w:spacing w:before="120" w:after="0"/>
        <w:jc w:val="left"/>
        <w:rPr>
          <w:rFonts w:ascii="Times New Roman" w:hAnsi="Times New Roman"/>
          <w:sz w:val="20"/>
        </w:rPr>
      </w:pPr>
      <w:r>
        <w:rPr>
          <w:rFonts w:ascii="Times New Roman" w:hAnsi="Times New Roman"/>
          <w:sz w:val="20"/>
        </w:rPr>
        <w:t xml:space="preserve">(b)    a trust (where the trustee is not an accredited investor) whose sole purpose is to hold investments and each beneficiary of the trust is an individual who is an accredited investor, </w:t>
      </w:r>
    </w:p>
    <w:p>
      <w:pPr>
        <w:pStyle w:val="TextBody"/>
        <w:spacing w:before="120" w:after="0"/>
        <w:jc w:val="left"/>
        <w:rPr>
          <w:rFonts w:ascii="Times New Roman" w:hAnsi="Times New Roman"/>
          <w:sz w:val="20"/>
        </w:rPr>
      </w:pPr>
      <w:r>
        <w:rPr>
          <w:rFonts w:ascii="Times New Roman" w:hAnsi="Times New Roman"/>
          <w:sz w:val="20"/>
        </w:rPr>
        <w:t xml:space="preserve">securities or securities-based derivatives contracts (each term as defined in Section 2(1) of the SFA) of that corporation or the beneficiaries rights and interest (howsoever described) in that trust shall not be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transferred within six months after that corporation or that trust has acquired the notes pursuant to an offer made under Section 275 of the SFA except: </w:t>
      </w:r>
    </w:p>
    <w:p>
      <w:pPr>
        <w:pStyle w:val="TextBody"/>
        <w:spacing w:before="120" w:after="0"/>
        <w:jc w:val="left"/>
        <w:rPr>
          <w:rFonts w:ascii="Times New Roman" w:hAnsi="Times New Roman"/>
          <w:sz w:val="20"/>
        </w:rPr>
      </w:pPr>
      <w:r>
        <w:rPr>
          <w:rFonts w:ascii="Times New Roman" w:hAnsi="Times New Roman"/>
          <w:sz w:val="20"/>
        </w:rPr>
        <w:t xml:space="preserve">(i)    to an institutional investor or to a relevant person, or to any person arising from an offer referred to in Section 275(1A) or Section 276(4)(i)(B) of the SFA; </w:t>
      </w:r>
    </w:p>
    <w:p>
      <w:pPr>
        <w:pStyle w:val="TextBody"/>
        <w:spacing w:before="120" w:after="0"/>
        <w:jc w:val="left"/>
        <w:rPr>
          <w:rFonts w:ascii="Times New Roman" w:hAnsi="Times New Roman"/>
          <w:sz w:val="20"/>
        </w:rPr>
      </w:pPr>
      <w:r>
        <w:rPr>
          <w:rFonts w:ascii="Times New Roman" w:hAnsi="Times New Roman"/>
          <w:sz w:val="20"/>
        </w:rPr>
        <w:t xml:space="preserve">(ii)    where no consideration is or will be given for the transfer; </w:t>
      </w:r>
    </w:p>
    <w:p>
      <w:pPr>
        <w:pStyle w:val="TextBody"/>
        <w:spacing w:before="120" w:after="0"/>
        <w:jc w:val="left"/>
        <w:rPr>
          <w:rFonts w:ascii="Times New Roman" w:hAnsi="Times New Roman"/>
          <w:sz w:val="20"/>
        </w:rPr>
      </w:pPr>
      <w:r>
        <w:rPr>
          <w:rFonts w:ascii="Times New Roman" w:hAnsi="Times New Roman"/>
          <w:sz w:val="20"/>
        </w:rPr>
        <w:t xml:space="preserve">(iii)    where the transfer is by operation of law; </w:t>
      </w:r>
    </w:p>
    <w:p>
      <w:pPr>
        <w:pStyle w:val="TextBody"/>
        <w:spacing w:before="120" w:after="0"/>
        <w:jc w:val="left"/>
        <w:rPr>
          <w:rFonts w:ascii="Times New Roman" w:hAnsi="Times New Roman"/>
          <w:sz w:val="20"/>
        </w:rPr>
      </w:pPr>
      <w:r>
        <w:rPr>
          <w:rFonts w:ascii="Times New Roman" w:hAnsi="Times New Roman"/>
          <w:sz w:val="20"/>
        </w:rPr>
        <w:t xml:space="preserve">(iv)    as specified in Section 276(7) of the SFA; or </w:t>
      </w:r>
    </w:p>
    <w:p>
      <w:pPr>
        <w:pStyle w:val="TextBody"/>
        <w:spacing w:before="120" w:after="0"/>
        <w:jc w:val="left"/>
        <w:rPr>
          <w:rFonts w:ascii="Times New Roman" w:hAnsi="Times New Roman"/>
          <w:sz w:val="20"/>
        </w:rPr>
      </w:pPr>
      <w:r>
        <w:rPr>
          <w:rFonts w:ascii="Times New Roman" w:hAnsi="Times New Roman"/>
          <w:sz w:val="20"/>
        </w:rPr>
        <w:t xml:space="preserve">(v)    as specified in Regulation 37A of the Securities and Futures (Offers of Investments) (Securities and Securities-based Derivatives Contracts) Regulations 2018. </w:t>
      </w:r>
    </w:p>
    <w:p>
      <w:pPr>
        <w:pStyle w:val="TextBody"/>
        <w:spacing w:before="240" w:after="0"/>
        <w:jc w:val="left"/>
        <w:rPr>
          <w:rFonts w:ascii="Times New Roman" w:hAnsi="Times New Roman"/>
          <w:sz w:val="20"/>
        </w:rPr>
      </w:pPr>
      <w:r>
        <w:rPr>
          <w:rFonts w:ascii="Times New Roman" w:hAnsi="Times New Roman"/>
          <w:sz w:val="20"/>
        </w:rPr>
        <w:t xml:space="preserve">Singapore Securities and Futures Act Product ClassificationSolely for the purposes of our obligations pursuant to Sections 309(B)(1)(a) and 309(B)(1)(c) of the SFA, we have determined, and hereby notify all relevant persons (as defined in Section 309A(1) of the SFA) that the notes are prescribed capital markets products (as defined in the Securities and Futures (Capital Markets Products) Regulations 2018 of Singapore) and Excluded Investment Products (as defined in MAS Notice SFA 04-N12: Notice on the Sale of Investment Products and MAS Notice FAA-N16: Notice on Recommendations on Investment Products). Any reference to any term as defined in the SFA, or any provision in the SFA is a reference to that term as modified or amended from time to time including by such of its subsidiary legislation as may be applicable at the relevant time. </w:t>
      </w:r>
    </w:p>
    <w:p>
      <w:pPr>
        <w:pStyle w:val="TextBody"/>
        <w:spacing w:before="360" w:after="0"/>
        <w:jc w:val="left"/>
        <w:rPr>
          <w:rFonts w:ascii="Times New Roman" w:hAnsi="Times New Roman"/>
          <w:b/>
          <w:i/>
          <w:sz w:val="20"/>
        </w:rPr>
      </w:pPr>
      <w:r>
        <w:rPr>
          <w:rFonts w:ascii="Times New Roman" w:hAnsi="Times New Roman"/>
          <w:b/>
          <w:i/>
          <w:sz w:val="20"/>
        </w:rPr>
        <w:t xml:space="preserve">Switzerland </w:t>
      </w:r>
    </w:p>
    <w:p>
      <w:pPr>
        <w:pStyle w:val="TextBody"/>
        <w:spacing w:before="120" w:after="0"/>
        <w:jc w:val="left"/>
        <w:rPr>
          <w:rFonts w:ascii="Times New Roman" w:hAnsi="Times New Roman"/>
          <w:sz w:val="20"/>
        </w:rPr>
      </w:pPr>
      <w:r>
        <w:rPr>
          <w:rFonts w:ascii="Times New Roman" w:hAnsi="Times New Roman"/>
          <w:sz w:val="20"/>
        </w:rPr>
        <w:t xml:space="preserve">This prospectus supplement is not intended to constitute an offer or solicitation to purchase or invest in the notes described herein.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 Neither this prospectus supplement nor any other offering or marketing material relating to the notes constitutes a prospectus pursuant to the FinSA, and neither this prospectus supplement nor any other offering or marketing material relating to the notes may be publicly distributed or otherwise made publicly available in Switzerland. </w:t>
      </w:r>
    </w:p>
    <w:p>
      <w:pPr>
        <w:pStyle w:val="TextBody"/>
        <w:spacing w:before="360" w:after="0"/>
        <w:jc w:val="left"/>
        <w:rPr>
          <w:rFonts w:ascii="Times New Roman" w:hAnsi="Times New Roman"/>
          <w:b/>
          <w:i/>
          <w:sz w:val="20"/>
        </w:rPr>
      </w:pPr>
      <w:r>
        <w:rPr>
          <w:rFonts w:ascii="Times New Roman" w:hAnsi="Times New Roman"/>
          <w:b/>
          <w:i/>
          <w:sz w:val="20"/>
        </w:rPr>
        <w:t xml:space="preserve">United Arab Emirates </w:t>
      </w:r>
    </w:p>
    <w:p>
      <w:pPr>
        <w:pStyle w:val="TextBody"/>
        <w:spacing w:before="120" w:after="0"/>
        <w:jc w:val="left"/>
        <w:rPr>
          <w:rFonts w:ascii="Times New Roman" w:hAnsi="Times New Roman"/>
          <w:sz w:val="20"/>
        </w:rPr>
      </w:pPr>
      <w:r>
        <w:rPr>
          <w:rFonts w:ascii="Times New Roman" w:hAnsi="Times New Roman"/>
          <w:sz w:val="20"/>
        </w:rPr>
        <w:t xml:space="preserve">The offering of the notes has not been approved or licensed by the UAE Central Bank, the UAE Securities and Commodities Authority (SCA), the Dubai Financial Services Authority (DFSA) or any other relevant licensing authorities in the UAE, and the notes may not be offered to the public in the UAE (including the DIFC). This prospectus supplement is being issued to a limited number of institutional and individual investors: </w:t>
      </w:r>
    </w:p>
    <w:p>
      <w:pPr>
        <w:pStyle w:val="TextBody"/>
        <w:spacing w:before="120" w:after="0"/>
        <w:jc w:val="left"/>
        <w:rPr>
          <w:rFonts w:ascii="Times New Roman" w:hAnsi="Times New Roman"/>
          <w:sz w:val="20"/>
        </w:rPr>
      </w:pPr>
      <w:r>
        <w:rPr>
          <w:rFonts w:ascii="Times New Roman" w:hAnsi="Times New Roman"/>
          <w:sz w:val="20"/>
        </w:rPr>
        <w:t xml:space="preserve">(a)    who meet the criteria of a Qualified Investor as defined in the SCA Board of Directors Decision No. 3 R.M. of 2017 (but excluding subparagraph 1(d) in the Qualified Investor definition relating to natural persons); </w:t>
      </w:r>
    </w:p>
    <w:p>
      <w:pPr>
        <w:pStyle w:val="TextBody"/>
        <w:spacing w:before="120" w:after="0"/>
        <w:jc w:val="left"/>
        <w:rPr>
          <w:rFonts w:ascii="Times New Roman" w:hAnsi="Times New Roman"/>
          <w:sz w:val="20"/>
        </w:rPr>
      </w:pPr>
      <w:r>
        <w:rPr>
          <w:rFonts w:ascii="Times New Roman" w:hAnsi="Times New Roman"/>
          <w:sz w:val="20"/>
        </w:rPr>
        <w:t xml:space="preserve">(b)    upon their request and confirmation that they understand that the notes have not been approved or licensed by or registered with the UAE Central Bank, the SCA, DFSA or any other relevant licensing authorities or governmental agencies in the UAE; and </w:t>
      </w:r>
    </w:p>
    <w:p>
      <w:pPr>
        <w:pStyle w:val="TextBody"/>
        <w:spacing w:before="120" w:after="0"/>
        <w:jc w:val="left"/>
        <w:rPr>
          <w:rFonts w:ascii="Times New Roman" w:hAnsi="Times New Roman"/>
          <w:sz w:val="20"/>
        </w:rPr>
      </w:pPr>
      <w:r>
        <w:rPr>
          <w:rFonts w:ascii="Times New Roman" w:hAnsi="Times New Roman"/>
          <w:sz w:val="20"/>
        </w:rPr>
        <w:t xml:space="preserve">(c)    upon their confirmation that they understand that the prospectus supplement must not be provided to any person other than the original recipient, and may not be reproduced or used for any other purpose. </w:t>
      </w:r>
    </w:p>
    <w:p>
      <w:pPr>
        <w:pStyle w:val="TextBody"/>
        <w:spacing w:before="360" w:after="0"/>
        <w:jc w:val="left"/>
        <w:rPr>
          <w:rFonts w:ascii="Times New Roman" w:hAnsi="Times New Roman"/>
          <w:b/>
          <w:sz w:val="20"/>
        </w:rPr>
      </w:pPr>
      <w:r>
        <w:rPr>
          <w:rFonts w:ascii="Times New Roman" w:hAnsi="Times New Roman"/>
          <w:b/>
          <w:sz w:val="20"/>
        </w:rPr>
        <w:t xml:space="preserve">Miscellaneous </w:t>
      </w:r>
    </w:p>
    <w:p>
      <w:pPr>
        <w:pStyle w:val="TextBody"/>
        <w:spacing w:before="120" w:after="0"/>
        <w:jc w:val="left"/>
        <w:rPr>
          <w:rFonts w:ascii="Times New Roman" w:hAnsi="Times New Roman"/>
          <w:sz w:val="20"/>
        </w:rPr>
      </w:pPr>
      <w:r>
        <w:rPr>
          <w:rFonts w:ascii="Times New Roman" w:hAnsi="Times New Roman"/>
          <w:sz w:val="20"/>
        </w:rPr>
        <w:t xml:space="preserve">ICBC Standard Bank Plc is restricted in its U.S. securities dealings under the United States Bank Holding Company Act and may not underwrite, subscribe, agree to purchase or procure purchasers to purchase notes that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notes constituting part of its allotment solely outside the United States. </w:t>
      </w:r>
    </w:p>
    <w:p>
      <w:pPr>
        <w:pStyle w:val="TextBody"/>
        <w:spacing w:before="240" w:after="0"/>
        <w:jc w:val="left"/>
        <w:rPr>
          <w:rFonts w:ascii="Times New Roman" w:hAnsi="Times New Roman"/>
          <w:sz w:val="20"/>
        </w:rPr>
      </w:pPr>
      <w:r>
        <w:rPr>
          <w:rFonts w:ascii="Times New Roman" w:hAnsi="Times New Roman"/>
          <w:sz w:val="20"/>
        </w:rPr>
        <w:t xml:space="preserve">Intesa Sanpaolo S.p.A. is not a U.S. registered broker-dealer, and will not effect any offers or sales of any notes in the United States unless it is through one or more U.S. registered broker-dealers as permitted by the regulations of the Financial Industry Regulatory Authority, Inc. </w:t>
      </w:r>
    </w:p>
    <w:p>
      <w:pPr>
        <w:pStyle w:val="TextBody"/>
        <w:spacing w:before="360" w:after="0"/>
        <w:jc w:val="left"/>
        <w:rPr>
          <w:rFonts w:ascii="Times New Roman" w:hAnsi="Times New Roman"/>
          <w:b/>
          <w:sz w:val="20"/>
        </w:rPr>
      </w:pPr>
      <w:r>
        <w:rPr>
          <w:rFonts w:ascii="Times New Roman" w:hAnsi="Times New Roman"/>
          <w:b/>
          <w:sz w:val="20"/>
        </w:rPr>
        <w:t xml:space="preserve">Notice to Investors </w:t>
      </w:r>
    </w:p>
    <w:p>
      <w:pPr>
        <w:pStyle w:val="TextBody"/>
        <w:spacing w:before="120" w:after="0"/>
        <w:jc w:val="left"/>
        <w:rPr>
          <w:rFonts w:ascii="Times New Roman" w:hAnsi="Times New Roman"/>
          <w:sz w:val="20"/>
        </w:rPr>
      </w:pPr>
      <w:r>
        <w:rPr>
          <w:rFonts w:ascii="Times New Roman" w:hAnsi="Times New Roman"/>
          <w:sz w:val="20"/>
        </w:rPr>
        <w:t xml:space="preserve">Each purchaser and holder of the notes (or any interest therein) will be deemed to have represented by its purchase or holding of the notes that either (a) it is not, and its purchase and holding of the notes is not made on behalf of or with assets of, (i) an employee benefit plan that is subject to Title I of the Employee Retirement Income Security Act of 1974, as amended (ERISA), (ii) a plan, account or other arrangement that is subject to Section 4975 of the Internal Revenue Code of 1986, as amended (the Code), (iii) an entity whose underlying assets include the assets of any such employee benefit plan, plan, account or arrangement or (iv) a governmental, church or non-U.S. plan that is subject to any state, local or other federal law or non-U.S. law that is substantially similar to the provisions of Title I of ERISA or Section 4975 of the Code (Similar Law), or (b) its purchase, holding and subsequent disposition of the notes will not constitute or result in a non-exempt prohibited transaction under Section 406 of ERISA or Section 4975 of the Code or violate any Similar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srom49739_7"/>
      <w:bookmarkEnd w:id="9"/>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Various legal matters relating to the offering will be passed upon for us by Elizabeth Wideman, Esquire, Senior Vice President, Senior Deputy General Counsel and Assistant Secretary, Francis M. Buono, Esquire, Executive Vice President, Legal Regulatory Affairs and Senior Deputy General Counsel of Comcast Corporation, and by Davis Polk &amp; Wardwell LLP, New York, New York. Cahill Gordon &amp; Reindel LLP, New York, New York, is representing the underwriters. </w:t>
      </w:r>
    </w:p>
    <w:p>
      <w:pPr>
        <w:pStyle w:val="TextBody"/>
        <w:spacing w:before="480" w:after="0"/>
        <w:jc w:val="center"/>
        <w:rPr>
          <w:rFonts w:ascii="Times New Roman" w:hAnsi="Times New Roman"/>
          <w:b/>
          <w:sz w:val="20"/>
        </w:rPr>
      </w:pPr>
      <w:bookmarkStart w:id="10" w:name="srom49739_8"/>
      <w:bookmarkEnd w:id="10"/>
      <w:r>
        <w:rPr>
          <w:rFonts w:ascii="Times New Roman" w:hAnsi="Times New Roman"/>
          <w:b/>
          <w:sz w:val="20"/>
        </w:rPr>
        <w:t xml:space="preserve">EXPERTS </w:t>
      </w:r>
    </w:p>
    <w:p>
      <w:pPr>
        <w:pStyle w:val="TextBody"/>
        <w:spacing w:before="240" w:after="0"/>
        <w:jc w:val="left"/>
        <w:rPr>
          <w:rFonts w:ascii="Times New Roman" w:hAnsi="Times New Roman"/>
          <w:sz w:val="20"/>
        </w:rPr>
      </w:pPr>
      <w:r>
        <w:rPr>
          <w:rFonts w:ascii="Times New Roman" w:hAnsi="Times New Roman"/>
          <w:sz w:val="20"/>
        </w:rPr>
        <w:t xml:space="preserve">The financial statements of Comcast Corporation as of December 31, 2022 and 2021, and for each of the three years in the period ended December 31, 2022, incorporated by reference in this Prospectus Supplement by reference to Comcast Corporations annual report on Form 10-K for the year ended December 31, 2022,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upon their authority as experts in accounting and auditing.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1552575" cy="5429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3"/>
                    <a:stretch>
                      <a:fillRect/>
                    </a:stretch>
                  </pic:blipFill>
                  <pic:spPr bwMode="auto">
                    <a:xfrm>
                      <a:off x="0" y="0"/>
                      <a:ext cx="1552575" cy="542925"/>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The following are types of securities that may be offered and sold from time to time by Comcast Corporation or by selling security holders under this prospectus: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4788"/>
        <w:gridCol w:w="280"/>
        <w:gridCol w:w="4320"/>
      </w:tblGrid>
      <w:tr>
        <w:trPr/>
        <w:tc>
          <w:tcPr>
            <w:tcW w:w="4788"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4320" w:type="dxa"/>
            <w:tcBorders/>
            <w:shd w:fill="auto" w:val="clear"/>
            <w:vAlign w:val="center"/>
          </w:tcPr>
          <w:p>
            <w:pPr>
              <w:pStyle w:val="TableContents"/>
              <w:spacing w:before="0" w:after="283"/>
              <w:rPr>
                <w:sz w:val="4"/>
                <w:szCs w:val="4"/>
              </w:rPr>
            </w:pPr>
            <w:r>
              <w:rPr>
                <w:sz w:val="4"/>
                <w:szCs w:val="4"/>
              </w:rPr>
            </w:r>
          </w:p>
        </w:tc>
      </w:tr>
      <w:tr>
        <w:trPr/>
        <w:tc>
          <w:tcPr>
            <w:tcW w:w="4788" w:type="dxa"/>
            <w:tcBorders/>
            <w:shd w:fill="auto" w:val="clear"/>
          </w:tcPr>
          <w:p>
            <w:pPr>
              <w:pStyle w:val="TableContents"/>
              <w:spacing w:before="0" w:after="0"/>
              <w:rPr>
                <w:rFonts w:ascii="Times New Roman" w:hAnsi="Times New Roman"/>
                <w:sz w:val="20"/>
              </w:rPr>
            </w:pPr>
            <w:r>
              <w:rPr>
                <w:rFonts w:ascii="Times New Roman" w:hAnsi="Times New Roman"/>
                <w:sz w:val="20"/>
              </w:rPr>
              <w:t>  Unsecured senior debt securities</w:t>
            </w:r>
          </w:p>
        </w:tc>
        <w:tc>
          <w:tcPr>
            <w:tcW w:w="280" w:type="dxa"/>
            <w:tcBorders/>
            <w:shd w:fill="auto" w:val="clear"/>
            <w:vAlign w:val="bottom"/>
          </w:tcPr>
          <w:p>
            <w:pPr>
              <w:pStyle w:val="TableContents"/>
              <w:spacing w:before="0" w:after="283"/>
              <w:rPr/>
            </w:pPr>
            <w:r>
              <w:rPr/>
              <w:t>  </w:t>
            </w:r>
          </w:p>
        </w:tc>
        <w:tc>
          <w:tcPr>
            <w:tcW w:w="432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  Purchase contracts</w:t>
            </w:r>
          </w:p>
        </w:tc>
      </w:tr>
      <w:tr>
        <w:trPr/>
        <w:tc>
          <w:tcPr>
            <w:tcW w:w="4788" w:type="dxa"/>
            <w:tcBorders/>
            <w:shd w:fill="auto" w:val="clear"/>
          </w:tcPr>
          <w:p>
            <w:pPr>
              <w:pStyle w:val="TableContents"/>
              <w:spacing w:before="0" w:after="0"/>
              <w:rPr>
                <w:rFonts w:ascii="Times New Roman" w:hAnsi="Times New Roman"/>
                <w:sz w:val="20"/>
              </w:rPr>
            </w:pPr>
            <w:r>
              <w:rPr>
                <w:rFonts w:ascii="Times New Roman" w:hAnsi="Times New Roman"/>
                <w:sz w:val="20"/>
              </w:rPr>
              <w:t>  Preferred stock</w:t>
            </w:r>
          </w:p>
        </w:tc>
        <w:tc>
          <w:tcPr>
            <w:tcW w:w="280" w:type="dxa"/>
            <w:tcBorders/>
            <w:shd w:fill="auto" w:val="clear"/>
            <w:vAlign w:val="bottom"/>
          </w:tcPr>
          <w:p>
            <w:pPr>
              <w:pStyle w:val="TableContents"/>
              <w:spacing w:before="0" w:after="283"/>
              <w:rPr/>
            </w:pPr>
            <w:r>
              <w:rPr/>
              <w:t>  </w:t>
            </w:r>
          </w:p>
        </w:tc>
        <w:tc>
          <w:tcPr>
            <w:tcW w:w="432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  Class A common stock</w:t>
            </w:r>
          </w:p>
        </w:tc>
      </w:tr>
      <w:tr>
        <w:trPr/>
        <w:tc>
          <w:tcPr>
            <w:tcW w:w="4788" w:type="dxa"/>
            <w:tcBorders/>
            <w:shd w:fill="auto" w:val="clear"/>
          </w:tcPr>
          <w:p>
            <w:pPr>
              <w:pStyle w:val="TableContents"/>
              <w:spacing w:before="0" w:after="0"/>
              <w:rPr>
                <w:rFonts w:ascii="Times New Roman" w:hAnsi="Times New Roman"/>
                <w:sz w:val="20"/>
              </w:rPr>
            </w:pPr>
            <w:r>
              <w:rPr>
                <w:rFonts w:ascii="Times New Roman" w:hAnsi="Times New Roman"/>
                <w:sz w:val="20"/>
              </w:rPr>
              <w:t>  Warrants</w:t>
            </w:r>
          </w:p>
        </w:tc>
        <w:tc>
          <w:tcPr>
            <w:tcW w:w="280" w:type="dxa"/>
            <w:tcBorders/>
            <w:shd w:fill="auto" w:val="clear"/>
            <w:vAlign w:val="bottom"/>
          </w:tcPr>
          <w:p>
            <w:pPr>
              <w:pStyle w:val="TableContents"/>
              <w:spacing w:before="0" w:after="283"/>
              <w:rPr/>
            </w:pPr>
            <w:r>
              <w:rPr/>
              <w:t>  </w:t>
            </w:r>
          </w:p>
        </w:tc>
        <w:tc>
          <w:tcPr>
            <w:tcW w:w="4320"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  Units</w:t>
            </w:r>
          </w:p>
        </w:tc>
      </w:tr>
      <w:tr>
        <w:trPr/>
        <w:tc>
          <w:tcPr>
            <w:tcW w:w="4788" w:type="dxa"/>
            <w:tcBorders/>
            <w:shd w:fill="auto" w:val="clear"/>
          </w:tcPr>
          <w:p>
            <w:pPr>
              <w:pStyle w:val="TableContents"/>
              <w:spacing w:before="0" w:after="0"/>
              <w:rPr>
                <w:rFonts w:ascii="Times New Roman" w:hAnsi="Times New Roman"/>
                <w:sz w:val="20"/>
              </w:rPr>
            </w:pPr>
            <w:r>
              <w:rPr>
                <w:rFonts w:ascii="Times New Roman" w:hAnsi="Times New Roman"/>
                <w:sz w:val="20"/>
              </w:rPr>
              <w:t>  Depositary shares</w:t>
            </w:r>
          </w:p>
        </w:tc>
        <w:tc>
          <w:tcPr>
            <w:tcW w:w="280" w:type="dxa"/>
            <w:tcBorders/>
            <w:shd w:fill="auto" w:val="clear"/>
            <w:vAlign w:val="bottom"/>
          </w:tcPr>
          <w:p>
            <w:pPr>
              <w:pStyle w:val="TableContents"/>
              <w:spacing w:before="0" w:after="283"/>
              <w:rPr/>
            </w:pPr>
            <w:r>
              <w:rPr/>
              <w:t>  </w:t>
            </w:r>
          </w:p>
        </w:tc>
        <w:tc>
          <w:tcPr>
            <w:tcW w:w="4320" w:type="dxa"/>
            <w:tcBorders/>
            <w:shd w:fill="auto" w:val="clear"/>
            <w:vAlign w:val="bottom"/>
          </w:tcPr>
          <w:p>
            <w:pPr>
              <w:pStyle w:val="TableContents"/>
              <w:spacing w:before="0" w:after="283"/>
              <w:rPr>
                <w:sz w:val="4"/>
                <w:szCs w:val="4"/>
              </w:rPr>
            </w:pPr>
            <w:r>
              <w:rPr>
                <w:sz w:val="4"/>
                <w:szCs w:val="4"/>
              </w:rPr>
            </w:r>
          </w:p>
        </w:tc>
      </w:tr>
    </w:tbl>
    <w:p>
      <w:pPr>
        <w:pStyle w:val="TextBody"/>
        <w:spacing w:before="240" w:after="0"/>
        <w:jc w:val="left"/>
        <w:rPr>
          <w:rFonts w:ascii="Times New Roman" w:hAnsi="Times New Roman"/>
          <w:sz w:val="20"/>
        </w:rPr>
      </w:pPr>
      <w:r>
        <w:rPr>
          <w:rFonts w:ascii="Times New Roman" w:hAnsi="Times New Roman"/>
          <w:sz w:val="20"/>
        </w:rPr>
        <w:t xml:space="preserve">If indicated in the relevant prospectus supplement, the securities may be fully and unconditionally guaranteed by a number of our wholly owned subsidiaries named in this prospectus. </w:t>
      </w:r>
    </w:p>
    <w:p>
      <w:pPr>
        <w:pStyle w:val="TextBody"/>
        <w:spacing w:before="240" w:after="0"/>
        <w:jc w:val="left"/>
        <w:rPr>
          <w:rFonts w:ascii="Times New Roman" w:hAnsi="Times New Roman"/>
          <w:sz w:val="20"/>
        </w:rPr>
      </w:pPr>
      <w:r>
        <w:rPr>
          <w:rFonts w:ascii="Times New Roman" w:hAnsi="Times New Roman"/>
          <w:sz w:val="20"/>
        </w:rPr>
        <w:t xml:space="preserve">Our Class A common stock is quoted on the Nasdaq Global Select Market under the ticker symbol CMCSA. On July 28, 2022, the reported last sale price on the Nasdaq Global Select Market for our Class A common stock was $39.41. </w:t>
      </w:r>
    </w:p>
    <w:p>
      <w:pPr>
        <w:pStyle w:val="TextBody"/>
        <w:spacing w:before="240" w:after="0"/>
        <w:jc w:val="left"/>
        <w:rPr>
          <w:rFonts w:ascii="Times New Roman" w:hAnsi="Times New Roman"/>
          <w:sz w:val="20"/>
        </w:rPr>
      </w:pPr>
      <w:r>
        <w:rPr>
          <w:rFonts w:ascii="Times New Roman" w:hAnsi="Times New Roman"/>
          <w:sz w:val="20"/>
        </w:rPr>
        <w:t xml:space="preserve">We will describe in a prospectus supplement, which must accompany this prospectus, the securities we are offering and selling, as well as the specific terms of the securities. Those terms may include: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3004"/>
        <w:gridCol w:w="94"/>
        <w:gridCol w:w="3285"/>
        <w:gridCol w:w="94"/>
        <w:gridCol w:w="2911"/>
      </w:tblGrid>
      <w:tr>
        <w:trPr/>
        <w:tc>
          <w:tcPr>
            <w:tcW w:w="3004"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sz w:val="4"/>
                <w:szCs w:val="4"/>
              </w:rPr>
            </w:pPr>
            <w:r>
              <w:rPr>
                <w:sz w:val="4"/>
                <w:szCs w:val="4"/>
              </w:rPr>
            </w:r>
          </w:p>
        </w:tc>
        <w:tc>
          <w:tcPr>
            <w:tcW w:w="3285"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bottom"/>
          </w:tcPr>
          <w:p>
            <w:pPr>
              <w:pStyle w:val="TableContents"/>
              <w:spacing w:before="0" w:after="283"/>
              <w:rPr>
                <w:sz w:val="4"/>
                <w:szCs w:val="4"/>
              </w:rPr>
            </w:pPr>
            <w:r>
              <w:rPr>
                <w:sz w:val="4"/>
                <w:szCs w:val="4"/>
              </w:rPr>
            </w:r>
          </w:p>
        </w:tc>
        <w:tc>
          <w:tcPr>
            <w:tcW w:w="2911" w:type="dxa"/>
            <w:tcBorders/>
            <w:shd w:fill="auto" w:val="clear"/>
            <w:vAlign w:val="center"/>
          </w:tcPr>
          <w:p>
            <w:pPr>
              <w:pStyle w:val="TableContents"/>
              <w:spacing w:before="0" w:after="283"/>
              <w:rPr>
                <w:sz w:val="4"/>
                <w:szCs w:val="4"/>
              </w:rPr>
            </w:pPr>
            <w:r>
              <w:rPr>
                <w:sz w:val="4"/>
                <w:szCs w:val="4"/>
              </w:rPr>
            </w:r>
          </w:p>
        </w:tc>
      </w:tr>
      <w:tr>
        <w:trPr/>
        <w:tc>
          <w:tcPr>
            <w:tcW w:w="3004" w:type="dxa"/>
            <w:tcBorders/>
            <w:shd w:fill="auto" w:val="clear"/>
          </w:tcPr>
          <w:p>
            <w:pPr>
              <w:pStyle w:val="TableContents"/>
              <w:spacing w:before="0" w:after="0"/>
              <w:rPr>
                <w:rFonts w:ascii="Times New Roman" w:hAnsi="Times New Roman"/>
                <w:sz w:val="20"/>
              </w:rPr>
            </w:pPr>
            <w:r>
              <w:rPr>
                <w:rFonts w:ascii="Times New Roman" w:hAnsi="Times New Roman"/>
                <w:sz w:val="20"/>
              </w:rPr>
              <w:t>  Maturity</w:t>
            </w:r>
          </w:p>
        </w:tc>
        <w:tc>
          <w:tcPr>
            <w:tcW w:w="94" w:type="dxa"/>
            <w:tcBorders/>
            <w:shd w:fill="auto" w:val="clear"/>
            <w:vAlign w:val="bottom"/>
          </w:tcPr>
          <w:p>
            <w:pPr>
              <w:pStyle w:val="TableContents"/>
              <w:spacing w:before="0" w:after="283"/>
              <w:rPr/>
            </w:pPr>
            <w:r>
              <w:rPr/>
              <w:t> </w:t>
            </w:r>
          </w:p>
        </w:tc>
        <w:tc>
          <w:tcPr>
            <w:tcW w:w="328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  Redemption terms</w:t>
            </w:r>
          </w:p>
        </w:tc>
        <w:tc>
          <w:tcPr>
            <w:tcW w:w="94" w:type="dxa"/>
            <w:tcBorders/>
            <w:shd w:fill="auto" w:val="clear"/>
            <w:vAlign w:val="bottom"/>
          </w:tcPr>
          <w:p>
            <w:pPr>
              <w:pStyle w:val="TableContents"/>
              <w:spacing w:before="0" w:after="283"/>
              <w:rPr/>
            </w:pPr>
            <w:r>
              <w:rPr/>
              <w:t> </w:t>
            </w:r>
          </w:p>
        </w:tc>
        <w:tc>
          <w:tcPr>
            <w:tcW w:w="291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  Subsidiary guarantees</w:t>
            </w:r>
          </w:p>
        </w:tc>
      </w:tr>
      <w:tr>
        <w:trPr/>
        <w:tc>
          <w:tcPr>
            <w:tcW w:w="3004" w:type="dxa"/>
            <w:tcBorders/>
            <w:shd w:fill="auto" w:val="clear"/>
          </w:tcPr>
          <w:p>
            <w:pPr>
              <w:pStyle w:val="TableContents"/>
              <w:spacing w:before="0" w:after="0"/>
              <w:rPr>
                <w:rFonts w:ascii="Times New Roman" w:hAnsi="Times New Roman"/>
                <w:sz w:val="20"/>
              </w:rPr>
            </w:pPr>
            <w:r>
              <w:rPr>
                <w:rFonts w:ascii="Times New Roman" w:hAnsi="Times New Roman"/>
                <w:sz w:val="20"/>
              </w:rPr>
              <w:t>  Dividends</w:t>
            </w:r>
          </w:p>
        </w:tc>
        <w:tc>
          <w:tcPr>
            <w:tcW w:w="94" w:type="dxa"/>
            <w:tcBorders/>
            <w:shd w:fill="auto" w:val="clear"/>
            <w:vAlign w:val="bottom"/>
          </w:tcPr>
          <w:p>
            <w:pPr>
              <w:pStyle w:val="TableContents"/>
              <w:spacing w:before="0" w:after="283"/>
              <w:rPr/>
            </w:pPr>
            <w:r>
              <w:rPr/>
              <w:t> </w:t>
            </w:r>
          </w:p>
        </w:tc>
        <w:tc>
          <w:tcPr>
            <w:tcW w:w="328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  Liquidation amount</w:t>
            </w:r>
          </w:p>
        </w:tc>
        <w:tc>
          <w:tcPr>
            <w:tcW w:w="94" w:type="dxa"/>
            <w:tcBorders/>
            <w:shd w:fill="auto" w:val="clear"/>
            <w:vAlign w:val="bottom"/>
          </w:tcPr>
          <w:p>
            <w:pPr>
              <w:pStyle w:val="TableContents"/>
              <w:spacing w:before="0" w:after="283"/>
              <w:rPr/>
            </w:pPr>
            <w:r>
              <w:rPr/>
              <w:t> </w:t>
            </w:r>
          </w:p>
        </w:tc>
        <w:tc>
          <w:tcPr>
            <w:tcW w:w="291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  Currency of payments</w:t>
            </w:r>
          </w:p>
        </w:tc>
      </w:tr>
      <w:tr>
        <w:trPr/>
        <w:tc>
          <w:tcPr>
            <w:tcW w:w="3004" w:type="dxa"/>
            <w:tcBorders/>
            <w:shd w:fill="auto" w:val="clear"/>
          </w:tcPr>
          <w:p>
            <w:pPr>
              <w:pStyle w:val="TableContents"/>
              <w:spacing w:before="0" w:after="0"/>
              <w:rPr>
                <w:rFonts w:ascii="Times New Roman" w:hAnsi="Times New Roman"/>
                <w:sz w:val="20"/>
              </w:rPr>
            </w:pPr>
            <w:r>
              <w:rPr>
                <w:rFonts w:ascii="Times New Roman" w:hAnsi="Times New Roman"/>
                <w:sz w:val="20"/>
              </w:rPr>
              <w:t>  Conversion or exchange rights</w:t>
            </w:r>
          </w:p>
        </w:tc>
        <w:tc>
          <w:tcPr>
            <w:tcW w:w="94" w:type="dxa"/>
            <w:tcBorders/>
            <w:shd w:fill="auto" w:val="clear"/>
            <w:vAlign w:val="bottom"/>
          </w:tcPr>
          <w:p>
            <w:pPr>
              <w:pStyle w:val="TableContents"/>
              <w:spacing w:before="0" w:after="283"/>
              <w:rPr/>
            </w:pPr>
            <w:r>
              <w:rPr/>
              <w:t> </w:t>
            </w:r>
          </w:p>
        </w:tc>
        <w:tc>
          <w:tcPr>
            <w:tcW w:w="328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  Sinking fund terms</w:t>
            </w:r>
          </w:p>
        </w:tc>
        <w:tc>
          <w:tcPr>
            <w:tcW w:w="94" w:type="dxa"/>
            <w:tcBorders/>
            <w:shd w:fill="auto" w:val="clear"/>
            <w:vAlign w:val="bottom"/>
          </w:tcPr>
          <w:p>
            <w:pPr>
              <w:pStyle w:val="TableContents"/>
              <w:spacing w:before="0" w:after="283"/>
              <w:rPr/>
            </w:pPr>
            <w:r>
              <w:rPr/>
              <w:t> </w:t>
            </w:r>
          </w:p>
        </w:tc>
        <w:tc>
          <w:tcPr>
            <w:tcW w:w="291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  Amount payable at maturity</w:t>
            </w:r>
          </w:p>
        </w:tc>
      </w:tr>
      <w:tr>
        <w:trPr/>
        <w:tc>
          <w:tcPr>
            <w:tcW w:w="3004" w:type="dxa"/>
            <w:tcBorders/>
            <w:shd w:fill="auto" w:val="clear"/>
          </w:tcPr>
          <w:p>
            <w:pPr>
              <w:pStyle w:val="TableContents"/>
              <w:spacing w:before="0" w:after="0"/>
              <w:rPr>
                <w:rFonts w:ascii="Times New Roman" w:hAnsi="Times New Roman"/>
                <w:sz w:val="20"/>
              </w:rPr>
            </w:pPr>
            <w:r>
              <w:rPr>
                <w:rFonts w:ascii="Times New Roman" w:hAnsi="Times New Roman"/>
                <w:sz w:val="20"/>
              </w:rPr>
              <w:t>  Interest rate</w:t>
            </w:r>
          </w:p>
        </w:tc>
        <w:tc>
          <w:tcPr>
            <w:tcW w:w="94" w:type="dxa"/>
            <w:tcBorders/>
            <w:shd w:fill="auto" w:val="clear"/>
            <w:vAlign w:val="bottom"/>
          </w:tcPr>
          <w:p>
            <w:pPr>
              <w:pStyle w:val="TableContents"/>
              <w:spacing w:before="0" w:after="283"/>
              <w:rPr/>
            </w:pPr>
            <w:r>
              <w:rPr/>
              <w:t> </w:t>
            </w:r>
          </w:p>
        </w:tc>
        <w:tc>
          <w:tcPr>
            <w:tcW w:w="328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  Listing on a securities exchange</w:t>
            </w:r>
          </w:p>
        </w:tc>
        <w:tc>
          <w:tcPr>
            <w:tcW w:w="94" w:type="dxa"/>
            <w:tcBorders/>
            <w:shd w:fill="auto" w:val="clear"/>
            <w:vAlign w:val="bottom"/>
          </w:tcPr>
          <w:p>
            <w:pPr>
              <w:pStyle w:val="TableContents"/>
              <w:spacing w:before="0" w:after="283"/>
              <w:rPr/>
            </w:pPr>
            <w:r>
              <w:rPr/>
              <w:t> </w:t>
            </w:r>
          </w:p>
        </w:tc>
        <w:tc>
          <w:tcPr>
            <w:tcW w:w="2911"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b/>
          <w:sz w:val="20"/>
        </w:rPr>
      </w:pPr>
      <w:r>
        <w:rPr>
          <w:rFonts w:ascii="Times New Roman" w:hAnsi="Times New Roman"/>
          <w:b/>
          <w:sz w:val="20"/>
        </w:rPr>
        <w:t xml:space="preserve">Investing in these securities involves certain risks. See Item 1ARisk Factors beginning on page 22 of our Annual Report on Form 10-K for the fiscal year ended December 31, 2021, which is incorporated by reference herein. </w:t>
      </w:r>
    </w:p>
    <w:p>
      <w:pPr>
        <w:pStyle w:val="TextBody"/>
        <w:spacing w:before="240" w:after="0"/>
        <w:jc w:val="left"/>
        <w:rPr>
          <w:rFonts w:ascii="Times New Roman" w:hAnsi="Times New Roman"/>
          <w:b/>
          <w:sz w:val="20"/>
        </w:rPr>
      </w:pPr>
      <w:r>
        <w:rPr>
          <w:rFonts w:ascii="Times New Roman" w:hAnsi="Times New Roman"/>
          <w:b/>
          <w:sz w:val="20"/>
        </w:rPr>
        <w:t xml:space="preserve">The Securities and Exchange Commission (the SEC or the Commission) and state securities regulators have not approved or disapproved of these securities, or determined if this prospectus is truthful or complete. Any representation to the contrary is a criminal offense. </w:t>
      </w:r>
    </w:p>
    <w:p>
      <w:pPr>
        <w:pStyle w:val="TextBody"/>
        <w:spacing w:before="240" w:after="0"/>
        <w:jc w:val="left"/>
        <w:rPr>
          <w:rFonts w:ascii="Times New Roman" w:hAnsi="Times New Roman"/>
          <w:sz w:val="20"/>
        </w:rPr>
      </w:pPr>
      <w:r>
        <w:rPr>
          <w:rFonts w:ascii="Times New Roman" w:hAnsi="Times New Roman"/>
          <w:sz w:val="20"/>
        </w:rPr>
        <w:t xml:space="preserve">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 </w:t>
      </w:r>
    </w:p>
    <w:p>
      <w:pPr>
        <w:pStyle w:val="TextBody"/>
        <w:spacing w:before="240" w:after="0"/>
        <w:jc w:val="center"/>
        <w:rPr>
          <w:rFonts w:ascii="Times New Roman" w:hAnsi="Times New Roman"/>
          <w:b/>
          <w:sz w:val="20"/>
        </w:rPr>
      </w:pPr>
      <w:r>
        <w:rPr>
          <w:rFonts w:ascii="Times New Roman" w:hAnsi="Times New Roman"/>
          <w:b/>
          <w:sz w:val="20"/>
        </w:rPr>
        <w:t xml:space="preserve">The date of this prospectus is July 29, 2022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1" w:name="toc1"/>
      <w:bookmarkEnd w:id="11"/>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398"/>
        <w:gridCol w:w="249"/>
        <w:gridCol w:w="90"/>
        <w:gridCol w:w="406"/>
        <w:gridCol w:w="62"/>
      </w:tblGrid>
      <w:tr>
        <w:trPr/>
        <w:tc>
          <w:tcPr>
            <w:tcW w:w="939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bottom"/>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398" w:type="dxa"/>
            <w:tcBorders/>
            <w:shd w:fill="auto" w:val="clear"/>
            <w:vAlign w:val="bottom"/>
          </w:tcPr>
          <w:p>
            <w:pPr>
              <w:pStyle w:val="TableContents"/>
              <w:spacing w:before="0" w:after="283"/>
              <w:rPr/>
            </w:pPr>
            <w:r>
              <w:rPr/>
              <w:t> </w:t>
            </w:r>
          </w:p>
        </w:tc>
        <w:tc>
          <w:tcPr>
            <w:tcW w:w="249" w:type="dxa"/>
            <w:tcBorders/>
            <w:shd w:fill="auto" w:val="clear"/>
            <w:vAlign w:val="bottom"/>
          </w:tcPr>
          <w:p>
            <w:pPr>
              <w:pStyle w:val="TableContents"/>
              <w:spacing w:before="0" w:after="283"/>
              <w:rPr/>
            </w:pPr>
            <w:r>
              <w:rPr/>
              <w:t>  </w:t>
            </w:r>
          </w:p>
        </w:tc>
        <w:tc>
          <w:tcPr>
            <w:tcW w:w="496" w:type="dxa"/>
            <w:gridSpan w:val="2"/>
            <w:tcBorders>
              <w:bottom w:val="single" w:sz="8" w:space="0" w:color="000000"/>
            </w:tcBorders>
            <w:shd w:fill="auto" w:val="clear"/>
            <w:tcMar>
              <w:bottom w:w="28" w:type="dxa"/>
            </w:tcMar>
            <w:vAlign w:val="bottom"/>
          </w:tcPr>
          <w:p>
            <w:pPr>
              <w:pStyle w:val="TableContents"/>
              <w:spacing w:before="0" w:after="283"/>
              <w:jc w:val="center"/>
              <w:rPr/>
            </w:pPr>
            <w:r>
              <w:rPr/>
              <w:t>Page</w:t>
            </w:r>
          </w:p>
        </w:tc>
        <w:tc>
          <w:tcPr>
            <w:tcW w:w="62" w:type="dxa"/>
            <w:tcBorders/>
            <w:shd w:fill="auto" w:val="clear"/>
            <w:vAlign w:val="bottom"/>
          </w:tcPr>
          <w:p>
            <w:pPr>
              <w:pStyle w:val="TableContents"/>
              <w:spacing w:before="0" w:after="283"/>
              <w:rPr/>
            </w:pPr>
            <w:r>
              <w:rPr/>
              <w:t> </w:t>
            </w:r>
          </w:p>
        </w:tc>
      </w:tr>
      <w:tr>
        <w:trPr/>
        <w:tc>
          <w:tcPr>
            <w:tcW w:w="9398" w:type="dxa"/>
            <w:tcBorders/>
            <w:shd w:fill="auto" w:val="clear"/>
          </w:tcPr>
          <w:p>
            <w:pPr>
              <w:pStyle w:val="TableContents"/>
              <w:spacing w:before="0" w:after="0"/>
              <w:rPr/>
            </w:pPr>
            <w:hyperlink w:anchor="toc49739_1">
              <w:r>
                <w:rPr>
                  <w:rStyle w:val="InternetLink"/>
                  <w:rFonts w:ascii="Times New Roman" w:hAnsi="Times New Roman"/>
                  <w:sz w:val="20"/>
                </w:rPr>
                <w:t>About This Prospectus</w:t>
              </w:r>
            </w:hyperlink>
          </w:p>
        </w:tc>
        <w:tc>
          <w:tcPr>
            <w:tcW w:w="24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jc w:val="right"/>
              <w:rPr/>
            </w:pPr>
            <w:r>
              <w:rPr/>
              <w:t>1</w:t>
            </w:r>
          </w:p>
        </w:tc>
        <w:tc>
          <w:tcPr>
            <w:tcW w:w="62" w:type="dxa"/>
            <w:tcBorders/>
            <w:shd w:fill="auto" w:val="clear"/>
            <w:vAlign w:val="bottom"/>
          </w:tcPr>
          <w:p>
            <w:pPr>
              <w:pStyle w:val="TableContents"/>
              <w:spacing w:before="0" w:after="283"/>
              <w:rPr/>
            </w:pPr>
            <w:r>
              <w:rPr/>
              <w:t> </w:t>
            </w:r>
          </w:p>
        </w:tc>
      </w:tr>
      <w:tr>
        <w:trPr/>
        <w:tc>
          <w:tcPr>
            <w:tcW w:w="9398" w:type="dxa"/>
            <w:tcBorders/>
            <w:shd w:fill="auto" w:val="clear"/>
          </w:tcPr>
          <w:p>
            <w:pPr>
              <w:pStyle w:val="TableContents"/>
              <w:spacing w:before="0" w:after="0"/>
              <w:rPr/>
            </w:pPr>
            <w:hyperlink w:anchor="toc49739_2">
              <w:r>
                <w:rPr>
                  <w:rStyle w:val="InternetLink"/>
                  <w:rFonts w:ascii="Times New Roman" w:hAnsi="Times New Roman"/>
                  <w:sz w:val="20"/>
                </w:rPr>
                <w:t>The Companies</w:t>
              </w:r>
            </w:hyperlink>
          </w:p>
        </w:tc>
        <w:tc>
          <w:tcPr>
            <w:tcW w:w="24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jc w:val="right"/>
              <w:rPr/>
            </w:pPr>
            <w:r>
              <w:rPr/>
              <w:t>2</w:t>
            </w:r>
          </w:p>
        </w:tc>
        <w:tc>
          <w:tcPr>
            <w:tcW w:w="62" w:type="dxa"/>
            <w:tcBorders/>
            <w:shd w:fill="auto" w:val="clear"/>
            <w:vAlign w:val="bottom"/>
          </w:tcPr>
          <w:p>
            <w:pPr>
              <w:pStyle w:val="TableContents"/>
              <w:spacing w:before="0" w:after="283"/>
              <w:rPr/>
            </w:pPr>
            <w:r>
              <w:rPr/>
              <w:t> </w:t>
            </w:r>
          </w:p>
        </w:tc>
      </w:tr>
      <w:tr>
        <w:trPr/>
        <w:tc>
          <w:tcPr>
            <w:tcW w:w="9398" w:type="dxa"/>
            <w:tcBorders/>
            <w:shd w:fill="auto" w:val="clear"/>
          </w:tcPr>
          <w:p>
            <w:pPr>
              <w:pStyle w:val="TableContents"/>
              <w:spacing w:before="0" w:after="0"/>
              <w:rPr/>
            </w:pPr>
            <w:hyperlink w:anchor="toc49739_3">
              <w:r>
                <w:rPr>
                  <w:rStyle w:val="InternetLink"/>
                  <w:rFonts w:ascii="Times New Roman" w:hAnsi="Times New Roman"/>
                  <w:sz w:val="20"/>
                </w:rPr>
                <w:t>Caution Concerning Forward-Looking Statements</w:t>
              </w:r>
            </w:hyperlink>
          </w:p>
        </w:tc>
        <w:tc>
          <w:tcPr>
            <w:tcW w:w="24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jc w:val="right"/>
              <w:rPr/>
            </w:pPr>
            <w:r>
              <w:rPr/>
              <w:t>4</w:t>
            </w:r>
          </w:p>
        </w:tc>
        <w:tc>
          <w:tcPr>
            <w:tcW w:w="62" w:type="dxa"/>
            <w:tcBorders/>
            <w:shd w:fill="auto" w:val="clear"/>
            <w:vAlign w:val="bottom"/>
          </w:tcPr>
          <w:p>
            <w:pPr>
              <w:pStyle w:val="TableContents"/>
              <w:spacing w:before="0" w:after="283"/>
              <w:rPr/>
            </w:pPr>
            <w:r>
              <w:rPr/>
              <w:t> </w:t>
            </w:r>
          </w:p>
        </w:tc>
      </w:tr>
      <w:tr>
        <w:trPr/>
        <w:tc>
          <w:tcPr>
            <w:tcW w:w="9398" w:type="dxa"/>
            <w:tcBorders/>
            <w:shd w:fill="auto" w:val="clear"/>
          </w:tcPr>
          <w:p>
            <w:pPr>
              <w:pStyle w:val="TableContents"/>
              <w:spacing w:before="0" w:after="0"/>
              <w:rPr/>
            </w:pPr>
            <w:hyperlink w:anchor="toc49739_4">
              <w:r>
                <w:rPr>
                  <w:rStyle w:val="InternetLink"/>
                  <w:rFonts w:ascii="Times New Roman" w:hAnsi="Times New Roman"/>
                  <w:sz w:val="20"/>
                </w:rPr>
                <w:t>Use of Proceeds</w:t>
              </w:r>
            </w:hyperlink>
          </w:p>
        </w:tc>
        <w:tc>
          <w:tcPr>
            <w:tcW w:w="24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jc w:val="right"/>
              <w:rPr/>
            </w:pPr>
            <w:r>
              <w:rPr/>
              <w:t>6</w:t>
            </w:r>
          </w:p>
        </w:tc>
        <w:tc>
          <w:tcPr>
            <w:tcW w:w="62" w:type="dxa"/>
            <w:tcBorders/>
            <w:shd w:fill="auto" w:val="clear"/>
            <w:vAlign w:val="bottom"/>
          </w:tcPr>
          <w:p>
            <w:pPr>
              <w:pStyle w:val="TableContents"/>
              <w:spacing w:before="0" w:after="283"/>
              <w:rPr/>
            </w:pPr>
            <w:r>
              <w:rPr/>
              <w:t> </w:t>
            </w:r>
          </w:p>
        </w:tc>
      </w:tr>
      <w:tr>
        <w:trPr/>
        <w:tc>
          <w:tcPr>
            <w:tcW w:w="9398" w:type="dxa"/>
            <w:tcBorders/>
            <w:shd w:fill="auto" w:val="clear"/>
          </w:tcPr>
          <w:p>
            <w:pPr>
              <w:pStyle w:val="TableContents"/>
              <w:spacing w:before="0" w:after="0"/>
              <w:rPr/>
            </w:pPr>
            <w:hyperlink w:anchor="toc49739_5">
              <w:r>
                <w:rPr>
                  <w:rStyle w:val="InternetLink"/>
                  <w:rFonts w:ascii="Times New Roman" w:hAnsi="Times New Roman"/>
                  <w:sz w:val="20"/>
                </w:rPr>
                <w:t>Dividend Policy</w:t>
              </w:r>
            </w:hyperlink>
          </w:p>
        </w:tc>
        <w:tc>
          <w:tcPr>
            <w:tcW w:w="24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jc w:val="right"/>
              <w:rPr/>
            </w:pPr>
            <w:r>
              <w:rPr/>
              <w:t>6</w:t>
            </w:r>
          </w:p>
        </w:tc>
        <w:tc>
          <w:tcPr>
            <w:tcW w:w="62" w:type="dxa"/>
            <w:tcBorders/>
            <w:shd w:fill="auto" w:val="clear"/>
            <w:vAlign w:val="bottom"/>
          </w:tcPr>
          <w:p>
            <w:pPr>
              <w:pStyle w:val="TableContents"/>
              <w:spacing w:before="0" w:after="283"/>
              <w:rPr/>
            </w:pPr>
            <w:r>
              <w:rPr/>
              <w:t> </w:t>
            </w:r>
          </w:p>
        </w:tc>
      </w:tr>
      <w:tr>
        <w:trPr/>
        <w:tc>
          <w:tcPr>
            <w:tcW w:w="9398" w:type="dxa"/>
            <w:tcBorders/>
            <w:shd w:fill="auto" w:val="clear"/>
          </w:tcPr>
          <w:p>
            <w:pPr>
              <w:pStyle w:val="TableContents"/>
              <w:spacing w:before="0" w:after="0"/>
              <w:rPr/>
            </w:pPr>
            <w:hyperlink w:anchor="toc49739_6">
              <w:r>
                <w:rPr>
                  <w:rStyle w:val="InternetLink"/>
                  <w:rFonts w:ascii="Times New Roman" w:hAnsi="Times New Roman"/>
                  <w:sz w:val="20"/>
                </w:rPr>
                <w:t>Description of Debt Securities and Guarantees</w:t>
              </w:r>
            </w:hyperlink>
          </w:p>
        </w:tc>
        <w:tc>
          <w:tcPr>
            <w:tcW w:w="24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jc w:val="right"/>
              <w:rPr/>
            </w:pPr>
            <w:r>
              <w:rPr/>
              <w:t>7</w:t>
            </w:r>
          </w:p>
        </w:tc>
        <w:tc>
          <w:tcPr>
            <w:tcW w:w="62" w:type="dxa"/>
            <w:tcBorders/>
            <w:shd w:fill="auto" w:val="clear"/>
            <w:vAlign w:val="bottom"/>
          </w:tcPr>
          <w:p>
            <w:pPr>
              <w:pStyle w:val="TableContents"/>
              <w:spacing w:before="0" w:after="283"/>
              <w:rPr/>
            </w:pPr>
            <w:r>
              <w:rPr/>
              <w:t> </w:t>
            </w:r>
          </w:p>
        </w:tc>
      </w:tr>
      <w:tr>
        <w:trPr/>
        <w:tc>
          <w:tcPr>
            <w:tcW w:w="9398" w:type="dxa"/>
            <w:tcBorders/>
            <w:shd w:fill="auto" w:val="clear"/>
          </w:tcPr>
          <w:p>
            <w:pPr>
              <w:pStyle w:val="TableContents"/>
              <w:spacing w:before="0" w:after="0"/>
              <w:rPr/>
            </w:pPr>
            <w:hyperlink w:anchor="toc49739_7">
              <w:r>
                <w:rPr>
                  <w:rStyle w:val="InternetLink"/>
                  <w:rFonts w:ascii="Times New Roman" w:hAnsi="Times New Roman"/>
                  <w:sz w:val="20"/>
                </w:rPr>
                <w:t>Global Securities</w:t>
              </w:r>
            </w:hyperlink>
          </w:p>
        </w:tc>
        <w:tc>
          <w:tcPr>
            <w:tcW w:w="24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jc w:val="right"/>
              <w:rPr/>
            </w:pPr>
            <w:r>
              <w:rPr/>
              <w:t>20</w:t>
            </w:r>
          </w:p>
        </w:tc>
        <w:tc>
          <w:tcPr>
            <w:tcW w:w="62" w:type="dxa"/>
            <w:tcBorders/>
            <w:shd w:fill="auto" w:val="clear"/>
            <w:vAlign w:val="bottom"/>
          </w:tcPr>
          <w:p>
            <w:pPr>
              <w:pStyle w:val="TableContents"/>
              <w:spacing w:before="0" w:after="283"/>
              <w:rPr/>
            </w:pPr>
            <w:r>
              <w:rPr/>
              <w:t> </w:t>
            </w:r>
          </w:p>
        </w:tc>
      </w:tr>
      <w:tr>
        <w:trPr/>
        <w:tc>
          <w:tcPr>
            <w:tcW w:w="9398" w:type="dxa"/>
            <w:tcBorders/>
            <w:shd w:fill="auto" w:val="clear"/>
          </w:tcPr>
          <w:p>
            <w:pPr>
              <w:pStyle w:val="TableContents"/>
              <w:spacing w:before="0" w:after="0"/>
              <w:rPr/>
            </w:pPr>
            <w:hyperlink w:anchor="toc49739_8">
              <w:r>
                <w:rPr>
                  <w:rStyle w:val="InternetLink"/>
                  <w:rFonts w:ascii="Times New Roman" w:hAnsi="Times New Roman"/>
                  <w:sz w:val="20"/>
                </w:rPr>
                <w:t>Description of Capital Stock</w:t>
              </w:r>
            </w:hyperlink>
          </w:p>
        </w:tc>
        <w:tc>
          <w:tcPr>
            <w:tcW w:w="24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jc w:val="right"/>
              <w:rPr/>
            </w:pPr>
            <w:r>
              <w:rPr/>
              <w:t>22</w:t>
            </w:r>
          </w:p>
        </w:tc>
        <w:tc>
          <w:tcPr>
            <w:tcW w:w="62" w:type="dxa"/>
            <w:tcBorders/>
            <w:shd w:fill="auto" w:val="clear"/>
            <w:vAlign w:val="bottom"/>
          </w:tcPr>
          <w:p>
            <w:pPr>
              <w:pStyle w:val="TableContents"/>
              <w:spacing w:before="0" w:after="283"/>
              <w:rPr/>
            </w:pPr>
            <w:r>
              <w:rPr/>
              <w:t> </w:t>
            </w:r>
          </w:p>
        </w:tc>
      </w:tr>
      <w:tr>
        <w:trPr/>
        <w:tc>
          <w:tcPr>
            <w:tcW w:w="9398" w:type="dxa"/>
            <w:tcBorders/>
            <w:shd w:fill="auto" w:val="clear"/>
          </w:tcPr>
          <w:p>
            <w:pPr>
              <w:pStyle w:val="TableContents"/>
              <w:spacing w:before="0" w:after="0"/>
              <w:rPr/>
            </w:pPr>
            <w:hyperlink w:anchor="toc49739_9">
              <w:r>
                <w:rPr>
                  <w:rStyle w:val="InternetLink"/>
                  <w:rFonts w:ascii="Times New Roman" w:hAnsi="Times New Roman"/>
                  <w:sz w:val="20"/>
                </w:rPr>
                <w:t>Plan of Distribution</w:t>
              </w:r>
            </w:hyperlink>
          </w:p>
        </w:tc>
        <w:tc>
          <w:tcPr>
            <w:tcW w:w="24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jc w:val="right"/>
              <w:rPr/>
            </w:pPr>
            <w:r>
              <w:rPr/>
              <w:t>24</w:t>
            </w:r>
          </w:p>
        </w:tc>
        <w:tc>
          <w:tcPr>
            <w:tcW w:w="62" w:type="dxa"/>
            <w:tcBorders/>
            <w:shd w:fill="auto" w:val="clear"/>
            <w:vAlign w:val="bottom"/>
          </w:tcPr>
          <w:p>
            <w:pPr>
              <w:pStyle w:val="TableContents"/>
              <w:spacing w:before="0" w:after="283"/>
              <w:rPr/>
            </w:pPr>
            <w:r>
              <w:rPr/>
              <w:t> </w:t>
            </w:r>
          </w:p>
        </w:tc>
      </w:tr>
      <w:tr>
        <w:trPr/>
        <w:tc>
          <w:tcPr>
            <w:tcW w:w="9398" w:type="dxa"/>
            <w:tcBorders/>
            <w:shd w:fill="auto" w:val="clear"/>
          </w:tcPr>
          <w:p>
            <w:pPr>
              <w:pStyle w:val="TableContents"/>
              <w:spacing w:before="0" w:after="0"/>
              <w:rPr/>
            </w:pPr>
            <w:hyperlink w:anchor="toc49739_10">
              <w:r>
                <w:rPr>
                  <w:rStyle w:val="InternetLink"/>
                  <w:rFonts w:ascii="Times New Roman" w:hAnsi="Times New Roman"/>
                  <w:sz w:val="20"/>
                </w:rPr>
                <w:t>Legal Matters</w:t>
              </w:r>
            </w:hyperlink>
          </w:p>
        </w:tc>
        <w:tc>
          <w:tcPr>
            <w:tcW w:w="24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jc w:val="right"/>
              <w:rPr/>
            </w:pPr>
            <w:r>
              <w:rPr/>
              <w:t>25</w:t>
            </w:r>
          </w:p>
        </w:tc>
        <w:tc>
          <w:tcPr>
            <w:tcW w:w="62" w:type="dxa"/>
            <w:tcBorders/>
            <w:shd w:fill="auto" w:val="clear"/>
            <w:vAlign w:val="bottom"/>
          </w:tcPr>
          <w:p>
            <w:pPr>
              <w:pStyle w:val="TableContents"/>
              <w:spacing w:before="0" w:after="283"/>
              <w:rPr/>
            </w:pPr>
            <w:r>
              <w:rPr/>
              <w:t> </w:t>
            </w:r>
          </w:p>
        </w:tc>
      </w:tr>
      <w:tr>
        <w:trPr/>
        <w:tc>
          <w:tcPr>
            <w:tcW w:w="9398" w:type="dxa"/>
            <w:tcBorders/>
            <w:shd w:fill="auto" w:val="clear"/>
          </w:tcPr>
          <w:p>
            <w:pPr>
              <w:pStyle w:val="TableContents"/>
              <w:spacing w:before="0" w:after="0"/>
              <w:rPr/>
            </w:pPr>
            <w:hyperlink w:anchor="toc49739_11">
              <w:r>
                <w:rPr>
                  <w:rStyle w:val="InternetLink"/>
                  <w:rFonts w:ascii="Times New Roman" w:hAnsi="Times New Roman"/>
                  <w:sz w:val="20"/>
                </w:rPr>
                <w:t>Experts</w:t>
              </w:r>
            </w:hyperlink>
          </w:p>
        </w:tc>
        <w:tc>
          <w:tcPr>
            <w:tcW w:w="24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jc w:val="right"/>
              <w:rPr/>
            </w:pPr>
            <w:r>
              <w:rPr/>
              <w:t>25</w:t>
            </w:r>
          </w:p>
        </w:tc>
        <w:tc>
          <w:tcPr>
            <w:tcW w:w="62" w:type="dxa"/>
            <w:tcBorders/>
            <w:shd w:fill="auto" w:val="clear"/>
            <w:vAlign w:val="bottom"/>
          </w:tcPr>
          <w:p>
            <w:pPr>
              <w:pStyle w:val="TableContents"/>
              <w:spacing w:before="0" w:after="283"/>
              <w:rPr/>
            </w:pPr>
            <w:r>
              <w:rPr/>
              <w:t> </w:t>
            </w:r>
          </w:p>
        </w:tc>
      </w:tr>
      <w:tr>
        <w:trPr/>
        <w:tc>
          <w:tcPr>
            <w:tcW w:w="9398" w:type="dxa"/>
            <w:tcBorders/>
            <w:shd w:fill="auto" w:val="clear"/>
          </w:tcPr>
          <w:p>
            <w:pPr>
              <w:pStyle w:val="TableContents"/>
              <w:spacing w:before="0" w:after="0"/>
              <w:rPr/>
            </w:pPr>
            <w:hyperlink w:anchor="toc49739_12">
              <w:r>
                <w:rPr>
                  <w:rStyle w:val="InternetLink"/>
                  <w:rFonts w:ascii="Times New Roman" w:hAnsi="Times New Roman"/>
                  <w:sz w:val="20"/>
                </w:rPr>
                <w:t>Available Information</w:t>
              </w:r>
            </w:hyperlink>
          </w:p>
        </w:tc>
        <w:tc>
          <w:tcPr>
            <w:tcW w:w="24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jc w:val="right"/>
              <w:rPr/>
            </w:pPr>
            <w:r>
              <w:rPr/>
              <w:t>25</w:t>
            </w:r>
          </w:p>
        </w:tc>
        <w:tc>
          <w:tcPr>
            <w:tcW w:w="62" w:type="dxa"/>
            <w:tcBorders/>
            <w:shd w:fill="auto" w:val="clear"/>
            <w:vAlign w:val="bottom"/>
          </w:tcPr>
          <w:p>
            <w:pPr>
              <w:pStyle w:val="TableContents"/>
              <w:spacing w:before="0" w:after="283"/>
              <w:rPr/>
            </w:pPr>
            <w:r>
              <w:rPr/>
              <w:t> </w:t>
            </w:r>
          </w:p>
        </w:tc>
      </w:tr>
      <w:tr>
        <w:trPr/>
        <w:tc>
          <w:tcPr>
            <w:tcW w:w="9398" w:type="dxa"/>
            <w:tcBorders/>
            <w:shd w:fill="auto" w:val="clear"/>
          </w:tcPr>
          <w:p>
            <w:pPr>
              <w:pStyle w:val="TableContents"/>
              <w:spacing w:before="0" w:after="0"/>
              <w:rPr/>
            </w:pPr>
            <w:hyperlink w:anchor="toc49739_13">
              <w:r>
                <w:rPr>
                  <w:rStyle w:val="InternetLink"/>
                  <w:rFonts w:ascii="Times New Roman" w:hAnsi="Times New Roman"/>
                  <w:sz w:val="20"/>
                </w:rPr>
                <w:t>Incorporation of Certain Documents by Reference</w:t>
              </w:r>
            </w:hyperlink>
          </w:p>
        </w:tc>
        <w:tc>
          <w:tcPr>
            <w:tcW w:w="24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jc w:val="right"/>
              <w:rPr/>
            </w:pPr>
            <w:r>
              <w:rPr/>
              <w:t>26</w:t>
            </w:r>
          </w:p>
        </w:tc>
        <w:tc>
          <w:tcPr>
            <w:tcW w:w="62" w:type="dxa"/>
            <w:tcBorders/>
            <w:shd w:fill="auto" w:val="clear"/>
            <w:vAlign w:val="bottom"/>
          </w:tcPr>
          <w:p>
            <w:pPr>
              <w:pStyle w:val="TableContents"/>
              <w:spacing w:before="0" w:after="283"/>
              <w:rPr/>
            </w:pPr>
            <w:r>
              <w:rPr/>
              <w:t> </w:t>
            </w:r>
          </w:p>
        </w:tc>
      </w:tr>
      <w:tr>
        <w:trPr/>
        <w:tc>
          <w:tcPr>
            <w:tcW w:w="9398" w:type="dxa"/>
            <w:tcBorders/>
            <w:shd w:fill="auto" w:val="clear"/>
          </w:tcPr>
          <w:p>
            <w:pPr>
              <w:pStyle w:val="TableContents"/>
              <w:spacing w:before="0" w:after="0"/>
              <w:rPr/>
            </w:pPr>
            <w:hyperlink w:anchor="toc49739_14">
              <w:r>
                <w:rPr>
                  <w:rStyle w:val="InternetLink"/>
                  <w:rFonts w:ascii="Times New Roman" w:hAnsi="Times New Roman"/>
                  <w:sz w:val="20"/>
                </w:rPr>
                <w:t>Part II Information Not Required in Prospectus</w:t>
              </w:r>
            </w:hyperlink>
          </w:p>
        </w:tc>
        <w:tc>
          <w:tcPr>
            <w:tcW w:w="249" w:type="dxa"/>
            <w:tcBorders/>
            <w:shd w:fill="auto" w:val="clear"/>
            <w:vAlign w:val="bottom"/>
          </w:tcPr>
          <w:p>
            <w:pPr>
              <w:pStyle w:val="TableContents"/>
              <w:spacing w:before="0" w:after="283"/>
              <w:rPr/>
            </w:pPr>
            <w:r>
              <w:rPr/>
              <w:t>  </w:t>
            </w:r>
          </w:p>
        </w:tc>
        <w:tc>
          <w:tcPr>
            <w:tcW w:w="90"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jc w:val="right"/>
              <w:rPr/>
            </w:pPr>
            <w:r>
              <w:rPr/>
              <w:t>II-1</w:t>
            </w:r>
          </w:p>
        </w:tc>
        <w:tc>
          <w:tcPr>
            <w:tcW w:w="62" w:type="dxa"/>
            <w:tcBorders/>
            <w:shd w:fill="auto"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 </w:t>
      </w:r>
    </w:p>
    <w:p>
      <w:pPr>
        <w:pStyle w:val="TextBody"/>
        <w:spacing w:before="240" w:after="0"/>
        <w:jc w:val="left"/>
        <w:rPr>
          <w:rFonts w:ascii="Times New Roman" w:hAnsi="Times New Roman"/>
          <w:sz w:val="20"/>
        </w:rPr>
      </w:pPr>
      <w:r>
        <w:rPr>
          <w:rFonts w:ascii="Times New Roman" w:hAnsi="Times New Roman"/>
          <w:sz w:val="20"/>
        </w:rPr>
        <w:t xml:space="preserve">We refer to Comcast Corporation in this prospectus as Comcast, and Comcast and its consolidated subsidiaries as we, us, our or comparable terms; Comcast Holdings Corporation as Comcast Holdings and Sky Limited and its consolidated subsidiaries as Sky. We refer to Comcast Cable Communications, LLC and its consolidated subsidiaries as Comcast Cable, NBCUniversal Media, LLC and its consolidated subsidiaries as NBCUniversal, and both of them collectively as the Guarantors.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toc49739_1"/>
      <w:bookmarkEnd w:id="12"/>
      <w:r>
        <w:rPr>
          <w:rFonts w:ascii="Times New Roman" w:hAnsi="Times New Roman"/>
          <w:b/>
          <w:sz w:val="20"/>
        </w:rPr>
        <w:t xml:space="preserve">ABOUT THIS PROSPECTUS </w:t>
      </w:r>
    </w:p>
    <w:p>
      <w:pPr>
        <w:pStyle w:val="TextBody"/>
        <w:spacing w:before="240" w:after="0"/>
        <w:jc w:val="left"/>
        <w:rPr>
          <w:rFonts w:ascii="Times New Roman" w:hAnsi="Times New Roman"/>
          <w:sz w:val="20"/>
        </w:rPr>
      </w:pPr>
      <w:r>
        <w:rPr>
          <w:rFonts w:ascii="Times New Roman" w:hAnsi="Times New Roman"/>
          <w:sz w:val="20"/>
        </w:rPr>
        <w:t xml:space="preserve">This prospectus is part of a registration statement that we filed with the SEC utilizing a shelf registration process. Under this shelf process, we may sell any combination of the securities described in this prospectus in one or more offerings. 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Available Information.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toc49739_2"/>
      <w:bookmarkEnd w:id="13"/>
      <w:r>
        <w:rPr>
          <w:rFonts w:ascii="Times New Roman" w:hAnsi="Times New Roman"/>
          <w:b/>
          <w:sz w:val="20"/>
        </w:rPr>
        <w:t xml:space="preserve">THE COMPANIES </w:t>
      </w:r>
    </w:p>
    <w:p>
      <w:pPr>
        <w:pStyle w:val="TextBody"/>
        <w:spacing w:before="360" w:after="0"/>
        <w:jc w:val="left"/>
        <w:rPr>
          <w:rFonts w:ascii="Times New Roman" w:hAnsi="Times New Roman"/>
          <w:b/>
          <w:sz w:val="20"/>
        </w:rPr>
      </w:pPr>
      <w:r>
        <w:rPr>
          <w:rFonts w:ascii="Times New Roman" w:hAnsi="Times New Roman"/>
          <w:b/>
          <w:sz w:val="20"/>
        </w:rPr>
        <w:t xml:space="preserve">Comcast Corporation </w:t>
      </w:r>
    </w:p>
    <w:p>
      <w:pPr>
        <w:pStyle w:val="TextBody"/>
        <w:spacing w:before="120" w:after="0"/>
        <w:jc w:val="left"/>
        <w:rPr>
          <w:rFonts w:ascii="Times New Roman" w:hAnsi="Times New Roman"/>
          <w:sz w:val="20"/>
        </w:rPr>
      </w:pPr>
      <w:r>
        <w:rPr>
          <w:rFonts w:ascii="Times New Roman" w:hAnsi="Times New Roman"/>
          <w:sz w:val="20"/>
        </w:rPr>
        <w:t xml:space="preserve">We are a global media and technology company with three primary businesses, Comcast Cable, NBCUniversal and Sky. </w:t>
      </w:r>
    </w:p>
    <w:p>
      <w:pPr>
        <w:pStyle w:val="TextBody"/>
        <w:spacing w:before="240" w:after="0"/>
        <w:jc w:val="left"/>
        <w:rPr>
          <w:rFonts w:ascii="Times New Roman" w:hAnsi="Times New Roman"/>
          <w:sz w:val="20"/>
        </w:rPr>
      </w:pPr>
      <w:r>
        <w:rPr>
          <w:rFonts w:ascii="Times New Roman" w:hAnsi="Times New Roman"/>
          <w:sz w:val="20"/>
        </w:rPr>
        <w:t xml:space="preserve">We present our operations in five reportable business segments: (1) Comcast Cable in one reportable business segment, referred to as Cable Communications; (2) NBCUniversal in three reportable business segments: Media, Studios and Theme Parks (collectively, the NBCUniversal segments); and (3) Sky in one reportable business segment.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Cable Communications:</w:t>
            </w:r>
            <w:r>
              <w:rPr>
                <w:rFonts w:ascii="Times New Roman" w:hAnsi="Times New Roman"/>
                <w:sz w:val="20"/>
              </w:rPr>
              <w:t xml:space="preserve"> Consists of the operations of Comcast Cable, which is a leading provider of broadband, video, voice, wireless, and other services to residential customers in the United States under the Xfinity brand; we also provide these and other services to business customers and sell advertising.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Media:</w:t>
            </w:r>
            <w:r>
              <w:rPr>
                <w:rFonts w:ascii="Times New Roman" w:hAnsi="Times New Roman"/>
                <w:sz w:val="20"/>
              </w:rPr>
              <w:t xml:space="preserve"> Consists primarily of NBCUniversals television and streaming platforms, including national, regional and international cable networks; the NBC and Telemundo broadcast networks, NBC and Telemundo owned local broadcast television stations; and Peacock.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Studios:</w:t>
            </w:r>
            <w:r>
              <w:rPr>
                <w:rFonts w:ascii="Times New Roman" w:hAnsi="Times New Roman"/>
                <w:sz w:val="20"/>
              </w:rPr>
              <w:t xml:space="preserve"> Consists primarily of NBCUniversals film and television studio production and distribution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Theme Parks:</w:t>
            </w:r>
            <w:r>
              <w:rPr>
                <w:rFonts w:ascii="Times New Roman" w:hAnsi="Times New Roman"/>
                <w:sz w:val="20"/>
              </w:rPr>
              <w:t xml:space="preserve"> Consists primarily of our Universal theme parks in Orlando, Florida; Hollywood, California; Osaka, Japan; and Beijing, China.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b/>
                <w:sz w:val="20"/>
              </w:rPr>
              <w:t>Sky:</w:t>
            </w:r>
            <w:r>
              <w:rPr>
                <w:rFonts w:ascii="Times New Roman" w:hAnsi="Times New Roman"/>
                <w:sz w:val="20"/>
              </w:rPr>
              <w:t xml:space="preserve"> Consists of the operations of Sky, one of Europes leading entertainment companies, which primarily includes a direct-to-consumer business, providing video, broadband, voice and wireless phone services, and a content business, operating entertainment networks, the Sky News broadcast network and Sky Sports networks. </w:t>
            </w:r>
          </w:p>
        </w:tc>
      </w:tr>
    </w:tbl>
    <w:p>
      <w:pPr>
        <w:pStyle w:val="TextBody"/>
        <w:spacing w:before="240" w:after="0"/>
        <w:jc w:val="left"/>
        <w:rPr>
          <w:rFonts w:ascii="Times New Roman" w:hAnsi="Times New Roman"/>
          <w:sz w:val="20"/>
        </w:rPr>
      </w:pPr>
      <w:r>
        <w:rPr>
          <w:rFonts w:ascii="Times New Roman" w:hAnsi="Times New Roman"/>
          <w:sz w:val="20"/>
        </w:rPr>
        <w:t xml:space="preserve">Our other business interests consist primarily of the operations of Comcast Spectacor, which owns the Philadelphia Flyers and the Wells Fargo Center arena in Philadelphia, Pennsylvania, and other business initiatives. </w:t>
      </w:r>
    </w:p>
    <w:p>
      <w:pPr>
        <w:pStyle w:val="TextBody"/>
        <w:spacing w:before="240" w:after="0"/>
        <w:jc w:val="left"/>
        <w:rPr>
          <w:rFonts w:ascii="Times New Roman" w:hAnsi="Times New Roman"/>
          <w:sz w:val="20"/>
        </w:rPr>
      </w:pPr>
      <w:r>
        <w:rPr>
          <w:rFonts w:ascii="Times New Roman" w:hAnsi="Times New Roman"/>
          <w:sz w:val="20"/>
        </w:rPr>
        <w:t xml:space="preserve">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 in this prospectus. </w:t>
      </w:r>
    </w:p>
    <w:p>
      <w:pPr>
        <w:pStyle w:val="TextBody"/>
        <w:spacing w:before="360" w:after="0"/>
        <w:jc w:val="left"/>
        <w:rPr>
          <w:rFonts w:ascii="Times New Roman" w:hAnsi="Times New Roman"/>
          <w:b/>
          <w:sz w:val="20"/>
        </w:rPr>
      </w:pPr>
      <w:r>
        <w:rPr>
          <w:rFonts w:ascii="Times New Roman" w:hAnsi="Times New Roman"/>
          <w:b/>
          <w:sz w:val="20"/>
        </w:rPr>
        <w:t xml:space="preserve">The Guarantors </w:t>
      </w:r>
    </w:p>
    <w:p>
      <w:pPr>
        <w:pStyle w:val="TextBody"/>
        <w:spacing w:before="120" w:after="0"/>
        <w:jc w:val="left"/>
        <w:rPr>
          <w:rFonts w:ascii="Times New Roman" w:hAnsi="Times New Roman"/>
          <w:sz w:val="20"/>
        </w:rPr>
      </w:pPr>
      <w:r>
        <w:rPr>
          <w:rFonts w:ascii="Times New Roman" w:hAnsi="Times New Roman"/>
          <w:sz w:val="20"/>
        </w:rPr>
        <w:t xml:space="preserve">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 </w:t>
      </w:r>
    </w:p>
    <w:p>
      <w:pPr>
        <w:pStyle w:val="TextBody"/>
        <w:spacing w:before="240" w:after="0"/>
        <w:jc w:val="left"/>
        <w:rPr>
          <w:rFonts w:ascii="Times New Roman" w:hAnsi="Times New Roman"/>
          <w:sz w:val="20"/>
        </w:rPr>
      </w:pPr>
      <w:r>
        <w:rPr>
          <w:rFonts w:ascii="Times New Roman" w:hAnsi="Times New Roman"/>
          <w:sz w:val="20"/>
        </w:rPr>
        <w:t xml:space="preserve">The Guarantees will not contain any restrictions on the ability of any Guarantor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pay dividends or distributions on, or redeem, purchase, acquire, or make a liquidation payment with respect to, any of that Guarantors capital stock;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make any payment of principal, interest or premium, if any, on or repay, repurchase or redeem any debt securities of that Guarantor.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Comcast Cable Communications, LLC </w:t>
      </w:r>
    </w:p>
    <w:p>
      <w:pPr>
        <w:pStyle w:val="TextBody"/>
        <w:spacing w:before="120" w:after="0"/>
        <w:jc w:val="left"/>
        <w:rPr>
          <w:rFonts w:ascii="Times New Roman" w:hAnsi="Times New Roman"/>
          <w:sz w:val="20"/>
        </w:rPr>
      </w:pPr>
      <w:r>
        <w:rPr>
          <w:rFonts w:ascii="Times New Roman" w:hAnsi="Times New Roman"/>
          <w:sz w:val="20"/>
        </w:rPr>
        <w:t xml:space="preserve">Comcast Cable, which was incorporated in 1981 as a Delaware corporation, became a Delaware limited liability company in 2003 and is an indirect wholly owned subsidiary of ours. </w:t>
      </w:r>
    </w:p>
    <w:p>
      <w:pPr>
        <w:pStyle w:val="TextBody"/>
        <w:spacing w:before="360" w:after="0"/>
        <w:jc w:val="left"/>
        <w:rPr>
          <w:rFonts w:ascii="Times New Roman" w:hAnsi="Times New Roman"/>
          <w:b/>
          <w:i/>
          <w:sz w:val="20"/>
        </w:rPr>
      </w:pPr>
      <w:r>
        <w:rPr>
          <w:rFonts w:ascii="Times New Roman" w:hAnsi="Times New Roman"/>
          <w:b/>
          <w:i/>
          <w:sz w:val="20"/>
        </w:rPr>
        <w:t xml:space="preserve">NBCUniversal Media, LLC </w:t>
      </w:r>
    </w:p>
    <w:p>
      <w:pPr>
        <w:pStyle w:val="TextBody"/>
        <w:spacing w:before="120" w:after="0"/>
        <w:jc w:val="left"/>
        <w:rPr>
          <w:rFonts w:ascii="Times New Roman" w:hAnsi="Times New Roman"/>
          <w:sz w:val="20"/>
        </w:rPr>
      </w:pPr>
      <w:r>
        <w:rPr>
          <w:rFonts w:ascii="Times New Roman" w:hAnsi="Times New Roman"/>
          <w:sz w:val="20"/>
        </w:rPr>
        <w:t xml:space="preserve">NBCUniversal is one of the worlds leading media and entertainment companies that develops, produces and distributes entertainment, news and information, sports, and other content for global audiences, and owns and operates theme parks worldwide. </w:t>
      </w:r>
    </w:p>
    <w:p>
      <w:pPr>
        <w:pStyle w:val="TextBody"/>
        <w:spacing w:before="240" w:after="0"/>
        <w:jc w:val="left"/>
        <w:rPr>
          <w:rFonts w:ascii="Times New Roman" w:hAnsi="Times New Roman"/>
          <w:sz w:val="20"/>
        </w:rPr>
      </w:pPr>
      <w:r>
        <w:rPr>
          <w:rFonts w:ascii="Times New Roman" w:hAnsi="Times New Roman"/>
          <w:sz w:val="20"/>
        </w:rPr>
        <w:t xml:space="preserve">The principal executive offices of Comcast and Comcast Cable are located at One Comcast Center, Philadelphia, Pennsylvania 19103-2838, and our telephone number is (215) 286-1700. </w:t>
      </w:r>
    </w:p>
    <w:p>
      <w:pPr>
        <w:pStyle w:val="TextBody"/>
        <w:spacing w:before="240" w:after="0"/>
        <w:jc w:val="left"/>
        <w:rPr>
          <w:rFonts w:ascii="Times New Roman" w:hAnsi="Times New Roman"/>
          <w:sz w:val="20"/>
        </w:rPr>
      </w:pPr>
      <w:r>
        <w:rPr>
          <w:rFonts w:ascii="Times New Roman" w:hAnsi="Times New Roman"/>
          <w:sz w:val="20"/>
        </w:rPr>
        <w:t xml:space="preserve">The principal executive offices of NBCUniversal are located at 30 Rockefeller Plaza, New York, New York 10112-0015, and its telephone number is (212) 664-4444. </w:t>
      </w:r>
    </w:p>
    <w:p>
      <w:pPr>
        <w:pStyle w:val="TextBody"/>
        <w:spacing w:before="240" w:after="0"/>
        <w:jc w:val="left"/>
        <w:rPr>
          <w:rFonts w:ascii="Times New Roman" w:hAnsi="Times New Roman"/>
          <w:sz w:val="20"/>
        </w:rPr>
      </w:pPr>
      <w:r>
        <w:rPr>
          <w:rFonts w:ascii="Times New Roman" w:hAnsi="Times New Roman"/>
          <w:sz w:val="20"/>
        </w:rPr>
        <w:t xml:space="preserve">We maintain a website at http://www.comcastcorporation.com where general information about us is available. We are not incorporating the contents of the website into this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4" w:name="toc49739_3"/>
      <w:bookmarkEnd w:id="14"/>
      <w:r>
        <w:rPr>
          <w:rFonts w:ascii="Times New Roman" w:hAnsi="Times New Roman"/>
          <w:b/>
          <w:sz w:val="20"/>
        </w:rPr>
        <w:t xml:space="preserve">CAUTION CONCERNING FORWARD-LOOKING STATEMENTS </w:t>
      </w:r>
    </w:p>
    <w:p>
      <w:pPr>
        <w:pStyle w:val="TextBody"/>
        <w:spacing w:before="240" w:after="0"/>
        <w:jc w:val="left"/>
        <w:rPr>
          <w:rFonts w:ascii="Times New Roman" w:hAnsi="Times New Roman"/>
          <w:sz w:val="20"/>
        </w:rPr>
      </w:pPr>
      <w:r>
        <w:rPr>
          <w:rFonts w:ascii="Times New Roman" w:hAnsi="Times New Roman"/>
          <w:sz w:val="20"/>
        </w:rPr>
        <w:t xml:space="preserve">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2021 incorporated herein by reference. Actual events or our actual results may differ materially from any of our forward-looking statements. We undertake no obligation to update any forward-looking statements. </w:t>
      </w:r>
    </w:p>
    <w:p>
      <w:pPr>
        <w:pStyle w:val="TextBody"/>
        <w:spacing w:before="240" w:after="0"/>
        <w:jc w:val="left"/>
        <w:rPr>
          <w:rFonts w:ascii="Times New Roman" w:hAnsi="Times New Roman"/>
          <w:sz w:val="20"/>
        </w:rPr>
      </w:pPr>
      <w:r>
        <w:rPr>
          <w:rFonts w:ascii="Times New Roman" w:hAnsi="Times New Roman"/>
          <w:sz w:val="20"/>
        </w:rPr>
        <w:t xml:space="preserve">Our businesses may be affected by, among other things, the following: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COVID-19 pandemic has had, and may continue to have, a material adverse effect on our businesses and results of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businesses operate in highly competitive and dynamic industries, and our businesses and results of operations could be adversely affected if we do not compete effectively;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consumer behavior continue to adversely affect our businesses and challenge existing business models;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decline in advertisers expenditures or changes in advertising markets could negatively impact our businesses;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programming expenses for our video services are increasing, which could adversely affect our Cable Communications video businesses;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NBCUniversals and Skys success depends on consumer acceptance of their content, and their businesses may be adversely affected if their content fails to achieve sufficient consumer acceptance or the costs to create or acquire content increase;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loss of programming distribution and licensing agreements, or the renewal of these agreements on less favorable terms, could adversely affect its businesses;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less favorable European telecommunications access regulations, the loss of Skys transmission access agreements with satellite or telecommunications providers or the renewal of these agreements on less favorable terms could adversely affect Skys businesses;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businesses depend on using and protecting certain intellectual property rights and on not infringing the intellectual property rights of others;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may be unable to obtain necessary hardware, software and operational support;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businesses depend on keeping pace with technological developments;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cyber attack, information or security breach, or technology disruption or failure may negatively impact our ability to conduct our business or result in the misuse of confidential information, all of which could adversely affect our business, reputation and results of operations;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weak economic conditions may have a negative impact on our businesses;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acquisitions, including our acquisitions of Sky, and other strategic initiatives present many risks, and we may not realize the financial and strategic goals that we had contemplated;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face risks relating to doing business internationally that could adversely affect our businesses;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natural disasters, severe weather and other uncontrollable events could adversely affect our business, reputation and results of operations;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loss of key management personnel or popular on-air and creative talent could have an adverse effect on our businesses;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are subject to regulation by federal, state, local and foreign authorities, which impose additional costs and restrictions on our businesses;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unfavorable litigation or governmental investigation results could require us to pay significant amounts or lead to onerous operating procedures;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labor disputes, whether involving employees or sports organizations, may disrupt our operations and adversely affect our businesses;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Class B common stock has substantial voting rights and separate approval rights over several potentially material transactions, and our Chairman and CEO has considerable influence over our company through his beneficial ownership of our Class B common stock.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5" w:name="toc49739_4"/>
      <w:bookmarkEnd w:id="15"/>
      <w:r>
        <w:rPr>
          <w:rFonts w:ascii="Times New Roman" w:hAnsi="Times New Roman"/>
          <w:b/>
          <w:sz w:val="20"/>
        </w:rPr>
        <w:t xml:space="preserve">USE OF PROCEEDS </w:t>
      </w:r>
    </w:p>
    <w:p>
      <w:pPr>
        <w:pStyle w:val="TextBody"/>
        <w:spacing w:before="240" w:after="0"/>
        <w:jc w:val="left"/>
        <w:rPr>
          <w:rFonts w:ascii="Times New Roman" w:hAnsi="Times New Roman"/>
          <w:sz w:val="20"/>
        </w:rPr>
      </w:pPr>
      <w:r>
        <w:rPr>
          <w:rFonts w:ascii="Times New Roman" w:hAnsi="Times New Roman"/>
          <w:sz w:val="20"/>
        </w:rPr>
        <w:t xml:space="preserve">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 </w:t>
      </w:r>
    </w:p>
    <w:p>
      <w:pPr>
        <w:pStyle w:val="TextBody"/>
        <w:spacing w:before="360" w:after="0"/>
        <w:jc w:val="center"/>
        <w:rPr>
          <w:rFonts w:ascii="Times New Roman" w:hAnsi="Times New Roman"/>
          <w:b/>
          <w:sz w:val="20"/>
        </w:rPr>
      </w:pPr>
      <w:bookmarkStart w:id="16" w:name="toc49739_5"/>
      <w:bookmarkEnd w:id="16"/>
      <w:r>
        <w:rPr>
          <w:rFonts w:ascii="Times New Roman" w:hAnsi="Times New Roman"/>
          <w:b/>
          <w:sz w:val="20"/>
        </w:rPr>
        <w:t xml:space="preserve">DIVIDEND POLICY </w:t>
      </w:r>
    </w:p>
    <w:p>
      <w:pPr>
        <w:pStyle w:val="TextBody"/>
        <w:spacing w:before="240" w:after="0"/>
        <w:jc w:val="left"/>
        <w:rPr>
          <w:rFonts w:ascii="Times New Roman" w:hAnsi="Times New Roman"/>
          <w:sz w:val="20"/>
        </w:rPr>
      </w:pPr>
      <w:r>
        <w:rPr>
          <w:rFonts w:ascii="Times New Roman" w:hAnsi="Times New Roman"/>
          <w:sz w:val="20"/>
        </w:rPr>
        <w:t xml:space="preserve">We intend to pay quarterly dividends at an annualized rate currently of $1.08 per share, although each dividend is subject to approval by our Board of Directors. Our Board of Directors retains the right to change our dividend policy at any time.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7" w:name="toc49739_6"/>
      <w:bookmarkEnd w:id="17"/>
      <w:r>
        <w:rPr>
          <w:rFonts w:ascii="Times New Roman" w:hAnsi="Times New Roman"/>
          <w:b/>
          <w:sz w:val="20"/>
        </w:rPr>
        <w:t xml:space="preserve">DESCRIPTION OF DEBT SECURITIES AND GUARANTEES </w:t>
      </w:r>
    </w:p>
    <w:p>
      <w:pPr>
        <w:pStyle w:val="TextBody"/>
        <w:spacing w:before="240" w:after="0"/>
        <w:jc w:val="left"/>
        <w:rPr>
          <w:rFonts w:ascii="Times New Roman" w:hAnsi="Times New Roman"/>
          <w:sz w:val="20"/>
        </w:rPr>
      </w:pPr>
      <w:r>
        <w:rPr>
          <w:rFonts w:ascii="Times New Roman" w:hAnsi="Times New Roman"/>
          <w:sz w:val="20"/>
        </w:rPr>
        <w:t xml:space="preserve">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 and the second supplemental indenture dated as of July 29, 2022, entered into among us, the guarantors named therein and The Bank of New York Mellon, as trustee. </w:t>
      </w:r>
    </w:p>
    <w:p>
      <w:pPr>
        <w:pStyle w:val="TextBody"/>
        <w:spacing w:before="240" w:after="0"/>
        <w:jc w:val="left"/>
        <w:rPr>
          <w:rFonts w:ascii="Times New Roman" w:hAnsi="Times New Roman"/>
          <w:sz w:val="20"/>
        </w:rPr>
      </w:pPr>
      <w:r>
        <w:rPr>
          <w:rFonts w:ascii="Times New Roman" w:hAnsi="Times New Roman"/>
          <w:sz w:val="20"/>
        </w:rPr>
        <w:t xml:space="preserve">The senior indenture is included as an exhibit to the registration statement of which this prospectus is a part. </w:t>
      </w:r>
    </w:p>
    <w:p>
      <w:pPr>
        <w:pStyle w:val="TextBody"/>
        <w:spacing w:before="240" w:after="0"/>
        <w:jc w:val="left"/>
        <w:rPr>
          <w:rFonts w:ascii="Times New Roman" w:hAnsi="Times New Roman"/>
          <w:sz w:val="20"/>
        </w:rPr>
      </w:pPr>
      <w:r>
        <w:rPr>
          <w:rFonts w:ascii="Times New Roman" w:hAnsi="Times New Roman"/>
          <w:sz w:val="20"/>
        </w:rPr>
        <w:t xml:space="preserve">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 </w:t>
      </w:r>
    </w:p>
    <w:p>
      <w:pPr>
        <w:pStyle w:val="TextBody"/>
        <w:spacing w:before="360" w:after="0"/>
        <w:jc w:val="left"/>
        <w:rPr>
          <w:rFonts w:ascii="Times New Roman" w:hAnsi="Times New Roman"/>
          <w:b/>
          <w:sz w:val="20"/>
        </w:rPr>
      </w:pPr>
      <w:r>
        <w:rPr>
          <w:rFonts w:ascii="Times New Roman" w:hAnsi="Times New Roman"/>
          <w:b/>
          <w:sz w:val="20"/>
        </w:rPr>
        <w:t xml:space="preserve">General </w:t>
      </w:r>
    </w:p>
    <w:p>
      <w:pPr>
        <w:pStyle w:val="TextBody"/>
        <w:spacing w:before="120" w:after="0"/>
        <w:jc w:val="left"/>
        <w:rPr>
          <w:rFonts w:ascii="Times New Roman" w:hAnsi="Times New Roman"/>
          <w:sz w:val="20"/>
        </w:rPr>
      </w:pPr>
      <w:r>
        <w:rPr>
          <w:rFonts w:ascii="Times New Roman" w:hAnsi="Times New Roman"/>
          <w:sz w:val="20"/>
        </w:rPr>
        <w:t xml:space="preserve">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 </w:t>
      </w:r>
    </w:p>
    <w:p>
      <w:pPr>
        <w:pStyle w:val="TextBody"/>
        <w:spacing w:before="240" w:after="0"/>
        <w:jc w:val="left"/>
        <w:rPr>
          <w:rFonts w:ascii="Times New Roman" w:hAnsi="Times New Roman"/>
          <w:sz w:val="20"/>
        </w:rPr>
      </w:pPr>
      <w:r>
        <w:rPr>
          <w:rFonts w:ascii="Times New Roman" w:hAnsi="Times New Roman"/>
          <w:sz w:val="20"/>
        </w:rPr>
        <w:t xml:space="preserve">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 </w:t>
      </w:r>
    </w:p>
    <w:p>
      <w:pPr>
        <w:pStyle w:val="TextBody"/>
        <w:spacing w:before="240" w:after="0"/>
        <w:jc w:val="left"/>
        <w:rPr>
          <w:rFonts w:ascii="Times New Roman" w:hAnsi="Times New Roman"/>
          <w:sz w:val="20"/>
        </w:rPr>
      </w:pPr>
      <w:r>
        <w:rPr>
          <w:rFonts w:ascii="Times New Roman" w:hAnsi="Times New Roman"/>
          <w:sz w:val="20"/>
        </w:rPr>
        <w:t xml:space="preserve">You should look in the applicable prospectus supplement for the following terms of the debt securities being offered: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designation of the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aggregate principal amount of the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percentage of their principal amount (i.e., price) at which the debt securities will be issued;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date or dates on which the debt securities will mature and the right, if any, to extend such date or 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rate or rates, if any, per year, at which the debt securities will bear interest, or the method of determining such rate or rates;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right, if any, to extend the interest payment periods and the duration of that extension;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currency, currencies or currency units for which you may purchase the debt securities and the currency, currencies or currency units in which principal and interest, if any, on the debt securities may be payable;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provisions for a sinking fund purchase or other analogous fund, if 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period or periods, if any, within which, the price or prices of which, and the terms and conditions upon which the debt securities may be redeemed, in whole or in part, at our option or at your option;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form of the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provisions for payment of additional amounts for taxes and any provision for redemption, if we must pay such additional amounts in respect of any debt security;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terms and conditions, if any, upon which we may have to repay the debt securities early at your option and the price or prices in the currency or currency unit in which the debt securities are payable;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terms and conditions, if any, pursuant to which the debt securities may be converted or exchanged for the cash value of other securities issued by us or by a third party;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right, if any, to reopen a series of the debt securities and issue additional debt securities of such series;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terms of the debt securities, including any additional events of default or covenants provided for with respect to the debt securities, and any terms which may be required by or advisable under applicable laws or regulations. </w:t>
            </w:r>
          </w:p>
        </w:tc>
      </w:tr>
    </w:tbl>
    <w:p>
      <w:pPr>
        <w:pStyle w:val="TextBody"/>
        <w:spacing w:before="240" w:after="0"/>
        <w:jc w:val="left"/>
        <w:rPr>
          <w:rFonts w:ascii="Times New Roman" w:hAnsi="Times New Roman"/>
          <w:sz w:val="20"/>
        </w:rPr>
      </w:pPr>
      <w:r>
        <w:rPr>
          <w:rFonts w:ascii="Times New Roman" w:hAnsi="Times New Roman"/>
          <w:sz w:val="20"/>
        </w:rPr>
        <w:t xml:space="preserve">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 </w:t>
      </w:r>
    </w:p>
    <w:p>
      <w:pPr>
        <w:pStyle w:val="TextBody"/>
        <w:spacing w:before="240" w:after="0"/>
        <w:jc w:val="left"/>
        <w:rPr>
          <w:rFonts w:ascii="Times New Roman" w:hAnsi="Times New Roman"/>
          <w:sz w:val="20"/>
        </w:rPr>
      </w:pPr>
      <w:r>
        <w:rPr>
          <w:rFonts w:ascii="Times New Roman" w:hAnsi="Times New Roman"/>
          <w:sz w:val="20"/>
        </w:rPr>
        <w:t xml:space="preserve">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 </w:t>
      </w:r>
    </w:p>
    <w:p>
      <w:pPr>
        <w:pStyle w:val="TextBody"/>
        <w:spacing w:before="240" w:after="0"/>
        <w:jc w:val="left"/>
        <w:rPr>
          <w:rFonts w:ascii="Times New Roman" w:hAnsi="Times New Roman"/>
          <w:sz w:val="20"/>
        </w:rPr>
      </w:pPr>
      <w:r>
        <w:rPr>
          <w:rFonts w:ascii="Times New Roman" w:hAnsi="Times New Roman"/>
          <w:sz w:val="20"/>
        </w:rPr>
        <w:t xml:space="preserve">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 </w:t>
      </w:r>
    </w:p>
    <w:p>
      <w:pPr>
        <w:pStyle w:val="TextBody"/>
        <w:spacing w:before="360" w:after="0"/>
        <w:jc w:val="left"/>
        <w:rPr>
          <w:rFonts w:ascii="Times New Roman" w:hAnsi="Times New Roman"/>
          <w:b/>
          <w:sz w:val="20"/>
        </w:rPr>
      </w:pPr>
      <w:r>
        <w:rPr>
          <w:rFonts w:ascii="Times New Roman" w:hAnsi="Times New Roman"/>
          <w:b/>
          <w:sz w:val="20"/>
        </w:rPr>
        <w:t xml:space="preserve">Certain Definitions </w:t>
      </w:r>
    </w:p>
    <w:p>
      <w:pPr>
        <w:pStyle w:val="TextBody"/>
        <w:spacing w:before="120" w:after="0"/>
        <w:jc w:val="left"/>
        <w:rPr>
          <w:rFonts w:ascii="Times New Roman" w:hAnsi="Times New Roman"/>
          <w:sz w:val="20"/>
        </w:rPr>
      </w:pPr>
      <w:r>
        <w:rPr>
          <w:rFonts w:ascii="Times New Roman" w:hAnsi="Times New Roman"/>
          <w:sz w:val="20"/>
        </w:rPr>
        <w:t xml:space="preserve">As used in this section, the following terms have the meanings set forth below. </w:t>
      </w:r>
    </w:p>
    <w:p>
      <w:pPr>
        <w:pStyle w:val="TextBody"/>
        <w:spacing w:before="240" w:after="0"/>
        <w:jc w:val="left"/>
        <w:rPr>
          <w:rFonts w:ascii="Times New Roman" w:hAnsi="Times New Roman"/>
          <w:sz w:val="20"/>
        </w:rPr>
      </w:pPr>
      <w:r>
        <w:rPr>
          <w:rFonts w:ascii="Times New Roman" w:hAnsi="Times New Roman"/>
          <w:sz w:val="20"/>
        </w:rPr>
        <w:t xml:space="preserve">Aggregate Debt means, with respect to an Obligor, the sum of the following as of the date of determination: </w:t>
      </w:r>
    </w:p>
    <w:p>
      <w:pPr>
        <w:pStyle w:val="TextBody"/>
        <w:spacing w:before="120" w:after="0"/>
        <w:jc w:val="left"/>
        <w:rPr>
          <w:rFonts w:ascii="Times New Roman" w:hAnsi="Times New Roman"/>
          <w:sz w:val="20"/>
        </w:rPr>
      </w:pPr>
      <w:r>
        <w:rPr>
          <w:rFonts w:ascii="Times New Roman" w:hAnsi="Times New Roman"/>
          <w:sz w:val="20"/>
        </w:rPr>
        <w:t xml:space="preserve">(a) the aggregate principal amount of such Obligors Indebtedness incurred after the date of initial issuance of the senior debt securities and secured by Liens not permitted by the first sentence under Limitation on Liens Securing Indebtedness; and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(b) such Obligors Attributable Liens in respect of sale and lease-back transactions entered into after the date of the initial issuance of the senior debt securities pursuant to the second paragraph of Limitation on Sale and Lease-Back Transactions. </w:t>
      </w:r>
    </w:p>
    <w:p>
      <w:pPr>
        <w:pStyle w:val="TextBody"/>
        <w:spacing w:before="240" w:after="0"/>
        <w:jc w:val="left"/>
        <w:rPr>
          <w:rFonts w:ascii="Times New Roman" w:hAnsi="Times New Roman"/>
          <w:sz w:val="20"/>
        </w:rPr>
      </w:pPr>
      <w:r>
        <w:rPr>
          <w:rFonts w:ascii="Times New Roman" w:hAnsi="Times New Roman"/>
          <w:sz w:val="20"/>
        </w:rPr>
        <w:t xml:space="preserve">Attributable Liens means in connection with a sale and lease-back transaction of an Obligor the lesser of: </w:t>
      </w:r>
    </w:p>
    <w:p>
      <w:pPr>
        <w:pStyle w:val="TextBody"/>
        <w:spacing w:before="240" w:after="0"/>
        <w:jc w:val="left"/>
        <w:rPr>
          <w:rFonts w:ascii="Times New Roman" w:hAnsi="Times New Roman"/>
          <w:sz w:val="20"/>
        </w:rPr>
      </w:pPr>
      <w:r>
        <w:rPr>
          <w:rFonts w:ascii="Times New Roman" w:hAnsi="Times New Roman"/>
          <w:sz w:val="20"/>
        </w:rPr>
        <w:t xml:space="preserve">(a) the fair market value of the assets subject to such transaction (as determined in good faith by our board of directors (in our case) or the equivalent governing body of any Guarantor); and </w:t>
      </w:r>
    </w:p>
    <w:p>
      <w:pPr>
        <w:pStyle w:val="TextBody"/>
        <w:spacing w:before="240" w:after="0"/>
        <w:jc w:val="left"/>
        <w:rPr>
          <w:rFonts w:ascii="Times New Roman" w:hAnsi="Times New Roman"/>
          <w:sz w:val="20"/>
        </w:rPr>
      </w:pPr>
      <w:r>
        <w:rPr>
          <w:rFonts w:ascii="Times New Roman" w:hAnsi="Times New Roman"/>
          <w:sz w:val="20"/>
        </w:rPr>
        <w:t xml:space="preserve">(b) 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 </w:t>
      </w:r>
    </w:p>
    <w:p>
      <w:pPr>
        <w:pStyle w:val="TextBody"/>
        <w:spacing w:before="240" w:after="0"/>
        <w:jc w:val="left"/>
        <w:rPr>
          <w:rFonts w:ascii="Times New Roman" w:hAnsi="Times New Roman"/>
          <w:sz w:val="20"/>
        </w:rPr>
      </w:pPr>
      <w:r>
        <w:rPr>
          <w:rFonts w:ascii="Times New Roman" w:hAnsi="Times New Roman"/>
          <w:sz w:val="20"/>
        </w:rPr>
        <w:t xml:space="preserve">Capital Lease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 </w:t>
      </w:r>
    </w:p>
    <w:p>
      <w:pPr>
        <w:pStyle w:val="TextBody"/>
        <w:spacing w:before="240" w:after="0"/>
        <w:jc w:val="left"/>
        <w:rPr>
          <w:rFonts w:ascii="Times New Roman" w:hAnsi="Times New Roman"/>
          <w:sz w:val="20"/>
        </w:rPr>
      </w:pPr>
      <w:r>
        <w:rPr>
          <w:rFonts w:ascii="Times New Roman" w:hAnsi="Times New Roman"/>
          <w:sz w:val="20"/>
        </w:rPr>
        <w:t xml:space="preserve">Consolidated Net Worth of any Person means, as of any date of determination, stockholders equity or members capital of such Person as reflected on the most recent consolidated balance sheet of such Person and prepared in accordance with GAAP. </w:t>
      </w:r>
    </w:p>
    <w:p>
      <w:pPr>
        <w:pStyle w:val="TextBody"/>
        <w:spacing w:before="240" w:after="0"/>
        <w:jc w:val="left"/>
        <w:rPr>
          <w:rFonts w:ascii="Times New Roman" w:hAnsi="Times New Roman"/>
          <w:sz w:val="20"/>
        </w:rPr>
      </w:pPr>
      <w:r>
        <w:rPr>
          <w:rFonts w:ascii="Times New Roman" w:hAnsi="Times New Roman"/>
          <w:sz w:val="20"/>
        </w:rPr>
        <w:t xml:space="preserve">GAAP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 </w:t>
      </w:r>
    </w:p>
    <w:p>
      <w:pPr>
        <w:pStyle w:val="TextBody"/>
        <w:spacing w:before="240" w:after="0"/>
        <w:jc w:val="left"/>
        <w:rPr>
          <w:rFonts w:ascii="Times New Roman" w:hAnsi="Times New Roman"/>
          <w:sz w:val="20"/>
        </w:rPr>
      </w:pPr>
      <w:r>
        <w:rPr>
          <w:rFonts w:ascii="Times New Roman" w:hAnsi="Times New Roman"/>
          <w:sz w:val="20"/>
        </w:rPr>
        <w:t xml:space="preserve">Governmental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 </w:t>
      </w:r>
    </w:p>
    <w:p>
      <w:pPr>
        <w:pStyle w:val="TextBody"/>
        <w:spacing w:before="240" w:after="0"/>
        <w:jc w:val="left"/>
        <w:rPr>
          <w:rFonts w:ascii="Times New Roman" w:hAnsi="Times New Roman"/>
          <w:sz w:val="20"/>
        </w:rPr>
      </w:pPr>
      <w:r>
        <w:rPr>
          <w:rFonts w:ascii="Times New Roman" w:hAnsi="Times New Roman"/>
          <w:sz w:val="20"/>
        </w:rPr>
        <w:t xml:space="preserve">Indebtedness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 </w:t>
      </w:r>
    </w:p>
    <w:p>
      <w:pPr>
        <w:pStyle w:val="TextBody"/>
        <w:spacing w:before="240" w:after="0"/>
        <w:jc w:val="left"/>
        <w:rPr>
          <w:rFonts w:ascii="Times New Roman" w:hAnsi="Times New Roman"/>
          <w:sz w:val="20"/>
        </w:rPr>
      </w:pPr>
      <w:r>
        <w:rPr>
          <w:rFonts w:ascii="Times New Roman" w:hAnsi="Times New Roman"/>
          <w:sz w:val="20"/>
        </w:rPr>
        <w:t xml:space="preserve">Lien means any lien, security interest, charge or encumbrance of any kind (including any conditional sale or other title retention agreement, any lease in the nature thereof, and any agreement to give any security interest).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Obligor means us and the Guarantors. </w:t>
      </w:r>
    </w:p>
    <w:p>
      <w:pPr>
        <w:pStyle w:val="TextBody"/>
        <w:spacing w:before="240" w:after="0"/>
        <w:jc w:val="left"/>
        <w:rPr>
          <w:rFonts w:ascii="Times New Roman" w:hAnsi="Times New Roman"/>
          <w:sz w:val="20"/>
        </w:rPr>
      </w:pPr>
      <w:r>
        <w:rPr>
          <w:rFonts w:ascii="Times New Roman" w:hAnsi="Times New Roman"/>
          <w:sz w:val="20"/>
        </w:rPr>
        <w:t xml:space="preserve">Permitted Liens means, with respect to an Obligor: </w:t>
      </w:r>
    </w:p>
    <w:p>
      <w:pPr>
        <w:pStyle w:val="TextBody"/>
        <w:spacing w:before="120" w:after="0"/>
        <w:jc w:val="left"/>
        <w:rPr>
          <w:rFonts w:ascii="Times New Roman" w:hAnsi="Times New Roman"/>
          <w:sz w:val="20"/>
        </w:rPr>
      </w:pPr>
      <w:r>
        <w:rPr>
          <w:rFonts w:ascii="Times New Roman" w:hAnsi="Times New Roman"/>
          <w:sz w:val="20"/>
        </w:rPr>
        <w:t xml:space="preserve">(a) 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 </w:t>
      </w:r>
    </w:p>
    <w:p>
      <w:pPr>
        <w:pStyle w:val="TextBody"/>
        <w:spacing w:before="240" w:after="0"/>
        <w:jc w:val="left"/>
        <w:rPr>
          <w:rFonts w:ascii="Times New Roman" w:hAnsi="Times New Roman"/>
          <w:sz w:val="20"/>
        </w:rPr>
      </w:pPr>
      <w:r>
        <w:rPr>
          <w:rFonts w:ascii="Times New Roman" w:hAnsi="Times New Roman"/>
          <w:sz w:val="20"/>
        </w:rPr>
        <w:t xml:space="preserve">(b) (i)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 </w:t>
      </w:r>
    </w:p>
    <w:p>
      <w:pPr>
        <w:pStyle w:val="TextBody"/>
        <w:spacing w:before="240" w:after="0"/>
        <w:jc w:val="left"/>
        <w:rPr>
          <w:rFonts w:ascii="Times New Roman" w:hAnsi="Times New Roman"/>
          <w:sz w:val="20"/>
        </w:rPr>
      </w:pPr>
      <w:r>
        <w:rPr>
          <w:rFonts w:ascii="Times New Roman" w:hAnsi="Times New Roman"/>
          <w:sz w:val="20"/>
        </w:rPr>
        <w:t xml:space="preserve">(c) Liens in favor of customs and revenue authorities arising as a matter of law to secure payment of customs duties in connection with the importation of goods; </w:t>
      </w:r>
    </w:p>
    <w:p>
      <w:pPr>
        <w:pStyle w:val="TextBody"/>
        <w:spacing w:before="240" w:after="0"/>
        <w:jc w:val="left"/>
        <w:rPr>
          <w:rFonts w:ascii="Times New Roman" w:hAnsi="Times New Roman"/>
          <w:sz w:val="20"/>
        </w:rPr>
      </w:pPr>
      <w:r>
        <w:rPr>
          <w:rFonts w:ascii="Times New Roman" w:hAnsi="Times New Roman"/>
          <w:sz w:val="20"/>
        </w:rPr>
        <w:t xml:space="preserve">(d) Liens for taxes not yet due or that are being contested in good faith by appropriate proceedings, provided that adequate reserves with respect thereto are maintained on such Obligors books in conformity with GAAP; </w:t>
      </w:r>
    </w:p>
    <w:p>
      <w:pPr>
        <w:pStyle w:val="TextBody"/>
        <w:spacing w:before="240" w:after="0"/>
        <w:jc w:val="left"/>
        <w:rPr>
          <w:rFonts w:ascii="Times New Roman" w:hAnsi="Times New Roman"/>
          <w:sz w:val="20"/>
        </w:rPr>
      </w:pPr>
      <w:r>
        <w:rPr>
          <w:rFonts w:ascii="Times New Roman" w:hAnsi="Times New Roman"/>
          <w:sz w:val="20"/>
        </w:rPr>
        <w:t xml:space="preserve">(e) Liens securing reimbursement obligations with respect to letters of credit that encumber documents and other Property relating to such letters of credit and the products and proceeds thereof; </w:t>
      </w:r>
    </w:p>
    <w:p>
      <w:pPr>
        <w:pStyle w:val="TextBody"/>
        <w:spacing w:before="240" w:after="0"/>
        <w:jc w:val="left"/>
        <w:rPr>
          <w:rFonts w:ascii="Times New Roman" w:hAnsi="Times New Roman"/>
          <w:sz w:val="20"/>
        </w:rPr>
      </w:pPr>
      <w:r>
        <w:rPr>
          <w:rFonts w:ascii="Times New Roman" w:hAnsi="Times New Roman"/>
          <w:sz w:val="20"/>
        </w:rPr>
        <w:t xml:space="preserve">(f) 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 </w:t>
      </w:r>
    </w:p>
    <w:p>
      <w:pPr>
        <w:pStyle w:val="TextBody"/>
        <w:spacing w:before="240" w:after="0"/>
        <w:jc w:val="left"/>
        <w:rPr>
          <w:rFonts w:ascii="Times New Roman" w:hAnsi="Times New Roman"/>
          <w:sz w:val="20"/>
        </w:rPr>
      </w:pPr>
      <w:r>
        <w:rPr>
          <w:rFonts w:ascii="Times New Roman" w:hAnsi="Times New Roman"/>
          <w:sz w:val="20"/>
        </w:rPr>
        <w:t xml:space="preserve">(g) Liens in favor of us or any Guarantor; </w:t>
      </w:r>
    </w:p>
    <w:p>
      <w:pPr>
        <w:pStyle w:val="TextBody"/>
        <w:spacing w:before="240" w:after="0"/>
        <w:jc w:val="left"/>
        <w:rPr>
          <w:rFonts w:ascii="Times New Roman" w:hAnsi="Times New Roman"/>
          <w:sz w:val="20"/>
        </w:rPr>
      </w:pPr>
      <w:r>
        <w:rPr>
          <w:rFonts w:ascii="Times New Roman" w:hAnsi="Times New Roman"/>
          <w:sz w:val="20"/>
        </w:rPr>
        <w:t xml:space="preserve">(h) 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 </w:t>
      </w:r>
    </w:p>
    <w:p>
      <w:pPr>
        <w:pStyle w:val="TextBody"/>
        <w:spacing w:before="240" w:after="0"/>
        <w:jc w:val="left"/>
        <w:rPr>
          <w:rFonts w:ascii="Times New Roman" w:hAnsi="Times New Roman"/>
          <w:sz w:val="20"/>
        </w:rPr>
      </w:pPr>
      <w:r>
        <w:rPr>
          <w:rFonts w:ascii="Times New Roman" w:hAnsi="Times New Roman"/>
          <w:sz w:val="20"/>
        </w:rPr>
        <w:t xml:space="preserve">(i) statutory Liens arising in the ordinary course of business with respect to obligations which are not delinquent or are being contested in good faith, if reserves or other appropriate provisions, if any, as shall be required by GAAP shall have been made therefor; </w:t>
      </w:r>
    </w:p>
    <w:p>
      <w:pPr>
        <w:pStyle w:val="TextBody"/>
        <w:spacing w:before="240" w:after="0"/>
        <w:jc w:val="left"/>
        <w:rPr>
          <w:rFonts w:ascii="Times New Roman" w:hAnsi="Times New Roman"/>
          <w:sz w:val="20"/>
        </w:rPr>
      </w:pPr>
      <w:r>
        <w:rPr>
          <w:rFonts w:ascii="Times New Roman" w:hAnsi="Times New Roman"/>
          <w:sz w:val="20"/>
        </w:rPr>
        <w:t xml:space="preserve">(j) Liens consisting of pledges or deposits to secure obligations under workers compensation laws or similar legislation, including Liens of judgments thereunder which are not currently dischargeable; </w:t>
      </w:r>
    </w:p>
    <w:p>
      <w:pPr>
        <w:pStyle w:val="TextBody"/>
        <w:spacing w:before="240" w:after="0"/>
        <w:jc w:val="left"/>
        <w:rPr>
          <w:rFonts w:ascii="Times New Roman" w:hAnsi="Times New Roman"/>
          <w:sz w:val="20"/>
        </w:rPr>
      </w:pPr>
      <w:r>
        <w:rPr>
          <w:rFonts w:ascii="Times New Roman" w:hAnsi="Times New Roman"/>
          <w:sz w:val="20"/>
        </w:rPr>
        <w:t xml:space="preserve">(k) Liens consisting of pledges or deposits of Property to secure performance in connection with operating leases made in the ordinary course of business to which such Obligor is a party as lessee, provided that the aggregate value of all such pledges and deposits in connection with any such lease does not at any time exceed 16 2/3% of the annual fixed rentals payable under such lease; </w:t>
      </w:r>
    </w:p>
    <w:p>
      <w:pPr>
        <w:pStyle w:val="TextBody"/>
        <w:spacing w:before="240" w:after="0"/>
        <w:jc w:val="left"/>
        <w:rPr>
          <w:rFonts w:ascii="Times New Roman" w:hAnsi="Times New Roman"/>
          <w:sz w:val="20"/>
        </w:rPr>
      </w:pPr>
      <w:r>
        <w:rPr>
          <w:rFonts w:ascii="Times New Roman" w:hAnsi="Times New Roman"/>
          <w:sz w:val="20"/>
        </w:rPr>
        <w:t xml:space="preserve">(l) Liens consisting of deposits of Property to secure such Obligors statutory obligations in the ordinary course of our business;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(m) Liens consisting of deposits of Property to secure (or in lieu of) surety, appeal or customs bonds in proceedings to which such Obligor is a party in the ordinary course of its business, but not in excess of $25,000,000; </w:t>
      </w:r>
    </w:p>
    <w:p>
      <w:pPr>
        <w:pStyle w:val="TextBody"/>
        <w:spacing w:before="120" w:after="0"/>
        <w:jc w:val="left"/>
        <w:rPr>
          <w:rFonts w:ascii="Times New Roman" w:hAnsi="Times New Roman"/>
          <w:sz w:val="20"/>
        </w:rPr>
      </w:pPr>
      <w:r>
        <w:rPr>
          <w:rFonts w:ascii="Times New Roman" w:hAnsi="Times New Roman"/>
          <w:sz w:val="20"/>
        </w:rPr>
        <w:t xml:space="preserve">(n) Liens on margin stock (as defined in Regulation U of the Board of Governors of the Federal Reserve System); </w:t>
      </w:r>
    </w:p>
    <w:p>
      <w:pPr>
        <w:pStyle w:val="TextBody"/>
        <w:spacing w:before="120" w:after="0"/>
        <w:jc w:val="left"/>
        <w:rPr>
          <w:rFonts w:ascii="Times New Roman" w:hAnsi="Times New Roman"/>
          <w:sz w:val="20"/>
        </w:rPr>
      </w:pPr>
      <w:r>
        <w:rPr>
          <w:rFonts w:ascii="Times New Roman" w:hAnsi="Times New Roman"/>
          <w:sz w:val="20"/>
        </w:rPr>
        <w:t xml:space="preserve">(o) Liens permitted under sale and lease-back transactions, and any renewals or extensions thereof, so long as the Indebtedness secured thereby does not exceed $300,000,000 in the aggregate; </w:t>
      </w:r>
    </w:p>
    <w:p>
      <w:pPr>
        <w:pStyle w:val="TextBody"/>
        <w:spacing w:before="120" w:after="0"/>
        <w:jc w:val="left"/>
        <w:rPr>
          <w:rFonts w:ascii="Times New Roman" w:hAnsi="Times New Roman"/>
          <w:sz w:val="20"/>
        </w:rPr>
      </w:pPr>
      <w:r>
        <w:rPr>
          <w:rFonts w:ascii="Times New Roman" w:hAnsi="Times New Roman"/>
          <w:sz w:val="20"/>
        </w:rPr>
        <w:t xml:space="preserve">(p) Liens arising in connection with asset securitization transactions, so long as the aggregate outstanding principal amount of the obligations of all Obligors secured thereby does not exceed $300,000,000 at any one time; </w:t>
      </w:r>
    </w:p>
    <w:p>
      <w:pPr>
        <w:pStyle w:val="TextBody"/>
        <w:spacing w:before="120" w:after="0"/>
        <w:jc w:val="left"/>
        <w:rPr>
          <w:rFonts w:ascii="Times New Roman" w:hAnsi="Times New Roman"/>
          <w:sz w:val="20"/>
        </w:rPr>
      </w:pPr>
      <w:r>
        <w:rPr>
          <w:rFonts w:ascii="Times New Roman" w:hAnsi="Times New Roman"/>
          <w:sz w:val="20"/>
        </w:rPr>
        <w:t xml:space="preserve">(q) 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 </w:t>
      </w:r>
    </w:p>
    <w:p>
      <w:pPr>
        <w:pStyle w:val="TextBody"/>
        <w:spacing w:before="120" w:after="0"/>
        <w:jc w:val="left"/>
        <w:rPr>
          <w:rFonts w:ascii="Times New Roman" w:hAnsi="Times New Roman"/>
          <w:sz w:val="20"/>
        </w:rPr>
      </w:pPr>
      <w:r>
        <w:rPr>
          <w:rFonts w:ascii="Times New Roman" w:hAnsi="Times New Roman"/>
          <w:sz w:val="20"/>
        </w:rPr>
        <w:t xml:space="preserve">(r) 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 (iii) attaching to other prepayments, deposits or earnest money in the ordinary course of business; and </w:t>
      </w:r>
    </w:p>
    <w:p>
      <w:pPr>
        <w:pStyle w:val="TextBody"/>
        <w:spacing w:before="120" w:after="0"/>
        <w:jc w:val="left"/>
        <w:rPr>
          <w:rFonts w:ascii="Times New Roman" w:hAnsi="Times New Roman"/>
          <w:sz w:val="20"/>
        </w:rPr>
      </w:pPr>
      <w:r>
        <w:rPr>
          <w:rFonts w:ascii="Times New Roman" w:hAnsi="Times New Roman"/>
          <w:sz w:val="20"/>
        </w:rPr>
        <w:t xml:space="preserve">(s) Take-or-pay obligations arising in the ordinary course of business. </w:t>
      </w:r>
    </w:p>
    <w:p>
      <w:pPr>
        <w:pStyle w:val="TextBody"/>
        <w:spacing w:before="240" w:after="0"/>
        <w:jc w:val="left"/>
        <w:rPr>
          <w:rFonts w:ascii="Times New Roman" w:hAnsi="Times New Roman"/>
          <w:sz w:val="20"/>
        </w:rPr>
      </w:pPr>
      <w:r>
        <w:rPr>
          <w:rFonts w:ascii="Times New Roman" w:hAnsi="Times New Roman"/>
          <w:sz w:val="20"/>
        </w:rPr>
        <w:t xml:space="preserve">Person means any individual, corporation, limited liability company, partnership, joint venture, association, joint stock company, trust, unincorporated organization, or any other entity, including any government or any agency or political subdivision thereof. </w:t>
      </w:r>
    </w:p>
    <w:p>
      <w:pPr>
        <w:pStyle w:val="TextBody"/>
        <w:spacing w:before="240" w:after="0"/>
        <w:jc w:val="left"/>
        <w:rPr>
          <w:rFonts w:ascii="Times New Roman" w:hAnsi="Times New Roman"/>
          <w:sz w:val="20"/>
        </w:rPr>
      </w:pPr>
      <w:r>
        <w:rPr>
          <w:rFonts w:ascii="Times New Roman" w:hAnsi="Times New Roman"/>
          <w:sz w:val="20"/>
        </w:rPr>
        <w:t xml:space="preserve">Property means with respect to any Person any property or asset, whether real, personal or mixed, or tangible or intangible, including shares of capital stock. </w:t>
      </w:r>
    </w:p>
    <w:p>
      <w:pPr>
        <w:pStyle w:val="TextBody"/>
        <w:spacing w:before="240" w:after="0"/>
        <w:jc w:val="left"/>
        <w:rPr>
          <w:rFonts w:ascii="Times New Roman" w:hAnsi="Times New Roman"/>
          <w:sz w:val="20"/>
        </w:rPr>
      </w:pPr>
      <w:r>
        <w:rPr>
          <w:rFonts w:ascii="Times New Roman" w:hAnsi="Times New Roman"/>
          <w:sz w:val="20"/>
        </w:rPr>
        <w:t xml:space="preserve">Subsidiary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 </w:t>
      </w:r>
    </w:p>
    <w:p>
      <w:pPr>
        <w:pStyle w:val="TextBody"/>
        <w:spacing w:before="360" w:after="0"/>
        <w:jc w:val="left"/>
        <w:rPr>
          <w:rFonts w:ascii="Times New Roman" w:hAnsi="Times New Roman"/>
          <w:b/>
          <w:sz w:val="20"/>
        </w:rPr>
      </w:pPr>
      <w:r>
        <w:rPr>
          <w:rFonts w:ascii="Times New Roman" w:hAnsi="Times New Roman"/>
          <w:b/>
          <w:sz w:val="20"/>
        </w:rPr>
        <w:t xml:space="preserve">Certain Terms of the Senior Debt Securities </w:t>
      </w:r>
    </w:p>
    <w:p>
      <w:pPr>
        <w:pStyle w:val="TextBody"/>
        <w:spacing w:before="120" w:after="0"/>
        <w:jc w:val="left"/>
        <w:rPr>
          <w:rFonts w:ascii="Times New Roman" w:hAnsi="Times New Roman"/>
          <w:b/>
          <w:i/>
          <w:sz w:val="20"/>
        </w:rPr>
      </w:pPr>
      <w:r>
        <w:rPr>
          <w:rFonts w:ascii="Times New Roman" w:hAnsi="Times New Roman"/>
          <w:b/>
          <w:i/>
          <w:sz w:val="20"/>
        </w:rPr>
        <w:t xml:space="preserve">Guarantees </w:t>
      </w:r>
    </w:p>
    <w:p>
      <w:pPr>
        <w:pStyle w:val="TextBody"/>
        <w:spacing w:before="120" w:after="0"/>
        <w:jc w:val="left"/>
        <w:rPr>
          <w:rFonts w:ascii="Times New Roman" w:hAnsi="Times New Roman"/>
          <w:sz w:val="20"/>
        </w:rPr>
      </w:pPr>
      <w:r>
        <w:rPr>
          <w:rFonts w:ascii="Times New Roman" w:hAnsi="Times New Roman"/>
          <w:sz w:val="20"/>
        </w:rPr>
        <w:t xml:space="preserve">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 </w:t>
      </w:r>
    </w:p>
    <w:p>
      <w:pPr>
        <w:pStyle w:val="TextBody"/>
        <w:spacing w:before="240" w:after="0"/>
        <w:jc w:val="left"/>
        <w:rPr>
          <w:rFonts w:ascii="Times New Roman" w:hAnsi="Times New Roman"/>
          <w:sz w:val="20"/>
        </w:rPr>
      </w:pPr>
      <w:r>
        <w:rPr>
          <w:rFonts w:ascii="Times New Roman" w:hAnsi="Times New Roman"/>
          <w:sz w:val="20"/>
        </w:rPr>
        <w:t xml:space="preserve">The Guarantees will not contain any restrictions on the ability of any Guarantor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pay dividends or distributions on, or redeem, purchase, acquire, or make a liquidation payment with respect to, any of that Guarantors capital stock,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make any payment of principal, interest or premium, if any, on or repay, repurchase or redeem any debt securities of that Guarantor. </w:t>
            </w:r>
          </w:p>
        </w:tc>
      </w:tr>
    </w:tbl>
    <w:p>
      <w:pPr>
        <w:pStyle w:val="TextBody"/>
        <w:spacing w:before="360" w:after="0"/>
        <w:jc w:val="left"/>
        <w:rPr>
          <w:rFonts w:ascii="Times New Roman" w:hAnsi="Times New Roman"/>
          <w:b/>
          <w:i/>
          <w:sz w:val="20"/>
        </w:rPr>
      </w:pPr>
      <w:r>
        <w:rPr>
          <w:rFonts w:ascii="Times New Roman" w:hAnsi="Times New Roman"/>
          <w:b/>
          <w:i/>
          <w:sz w:val="20"/>
        </w:rPr>
        <w:t xml:space="preserve">Certain Covenants </w:t>
      </w:r>
    </w:p>
    <w:p>
      <w:pPr>
        <w:pStyle w:val="TextBody"/>
        <w:spacing w:before="120" w:after="0"/>
        <w:jc w:val="left"/>
        <w:rPr>
          <w:rFonts w:ascii="Times New Roman" w:hAnsi="Times New Roman"/>
          <w:sz w:val="20"/>
        </w:rPr>
      </w:pPr>
      <w:r>
        <w:rPr>
          <w:rFonts w:ascii="Times New Roman" w:hAnsi="Times New Roman"/>
          <w:sz w:val="20"/>
        </w:rPr>
        <w:t xml:space="preserve">We and the Guarantors have agreed to some restrictions on our activities for the benefit of holders of all series of senior debt securities issued under the senior indenture. The restrictive covenants summarized below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will apply, unless the covenants are waived or amended, so long as any of the senior debt securities are outstanding. </w:t>
      </w:r>
    </w:p>
    <w:p>
      <w:pPr>
        <w:pStyle w:val="TextBody"/>
        <w:spacing w:before="240" w:after="0"/>
        <w:jc w:val="left"/>
        <w:rPr>
          <w:rFonts w:ascii="Times New Roman" w:hAnsi="Times New Roman"/>
          <w:sz w:val="20"/>
        </w:rPr>
      </w:pPr>
      <w:r>
        <w:rPr>
          <w:rFonts w:ascii="Times New Roman" w:hAnsi="Times New Roman"/>
          <w:sz w:val="20"/>
        </w:rPr>
        <w:t xml:space="preserve">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 </w:t>
      </w:r>
    </w:p>
    <w:p>
      <w:pPr>
        <w:pStyle w:val="TextBody"/>
        <w:spacing w:before="360" w:after="0"/>
        <w:jc w:val="left"/>
        <w:rPr>
          <w:rFonts w:ascii="Times New Roman" w:hAnsi="Times New Roman"/>
          <w:b/>
          <w:i/>
          <w:sz w:val="20"/>
        </w:rPr>
      </w:pPr>
      <w:r>
        <w:rPr>
          <w:rFonts w:ascii="Times New Roman" w:hAnsi="Times New Roman"/>
          <w:b/>
          <w:i/>
          <w:sz w:val="20"/>
        </w:rPr>
        <w:t xml:space="preserve">Limitation on Liens Securing Indebtedness. </w:t>
      </w:r>
    </w:p>
    <w:p>
      <w:pPr>
        <w:pStyle w:val="TextBody"/>
        <w:spacing w:before="120" w:after="0"/>
        <w:jc w:val="left"/>
        <w:rPr>
          <w:rFonts w:ascii="Times New Roman" w:hAnsi="Times New Roman"/>
          <w:sz w:val="20"/>
        </w:rPr>
      </w:pPr>
      <w:r>
        <w:rPr>
          <w:rFonts w:ascii="Times New Roman" w:hAnsi="Times New Roman"/>
          <w:sz w:val="20"/>
        </w:rPr>
        <w:t xml:space="preserve">With respect to the senior debt securities of each series, each Obligor will covenant under the senior indenture 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Liens existing as of the date of initial issuance of the senior debt securities of such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Liens granted after the date of initial issuance of the senior debt securities of such series, created in favor of the registered holders of the senior debt securities of such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Permitted Liens. </w:t>
            </w:r>
          </w:p>
        </w:tc>
      </w:tr>
    </w:tbl>
    <w:p>
      <w:pPr>
        <w:pStyle w:val="TextBody"/>
        <w:spacing w:before="240" w:after="0"/>
        <w:jc w:val="left"/>
        <w:rPr>
          <w:rFonts w:ascii="Times New Roman" w:hAnsi="Times New Roman"/>
          <w:sz w:val="20"/>
        </w:rPr>
      </w:pPr>
      <w:r>
        <w:rPr>
          <w:rFonts w:ascii="Times New Roman" w:hAnsi="Times New Roman"/>
          <w:sz w:val="20"/>
        </w:rPr>
        <w:t xml:space="preserve">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 </w:t>
      </w:r>
    </w:p>
    <w:p>
      <w:pPr>
        <w:pStyle w:val="TextBody"/>
        <w:spacing w:before="360" w:after="0"/>
        <w:jc w:val="left"/>
        <w:rPr>
          <w:rFonts w:ascii="Times New Roman" w:hAnsi="Times New Roman"/>
          <w:b/>
          <w:i/>
          <w:sz w:val="20"/>
        </w:rPr>
      </w:pPr>
      <w:r>
        <w:rPr>
          <w:rFonts w:ascii="Times New Roman" w:hAnsi="Times New Roman"/>
          <w:b/>
          <w:i/>
          <w:sz w:val="20"/>
        </w:rPr>
        <w:t xml:space="preserve">Limitation on Sale and Lease-Back Transactions. </w:t>
      </w:r>
    </w:p>
    <w:p>
      <w:pPr>
        <w:pStyle w:val="TextBody"/>
        <w:spacing w:before="120" w:after="0"/>
        <w:jc w:val="left"/>
        <w:rPr>
          <w:rFonts w:ascii="Times New Roman" w:hAnsi="Times New Roman"/>
          <w:sz w:val="20"/>
        </w:rPr>
      </w:pPr>
      <w:r>
        <w:rPr>
          <w:rFonts w:ascii="Times New Roman" w:hAnsi="Times New Roman"/>
          <w:sz w:val="20"/>
        </w:rPr>
        <w:t xml:space="preserve">With respect to the senior debt securities of each series, each Obligor will covenant under the senior indenture not to enter into any sale and lease-back transaction for the sale and leasing back of any Property, whether owned at the time the senior indenture is executed or acquired afterward,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transaction was entered into prior to the date of the initial issuance of the senior debt securities of such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transaction was for the sale and leasing back to such Obligor of any Property by one of its Subsidiaries;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transaction involves a lease for less than three years;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Obligor would be entitled to incur Indebtedness secured by a mortgage on the Property to be leased in an amount equal to the Attributable Liens with respect to such sale and lease-back transaction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4"/>
        <w:gridCol w:w="9291"/>
      </w:tblGrid>
      <w:tr>
        <w:trPr/>
        <w:tc>
          <w:tcPr>
            <w:tcW w:w="914" w:type="dxa"/>
            <w:tcBorders/>
            <w:shd w:fill="auto" w:val="clear"/>
            <w:vAlign w:val="center"/>
          </w:tcPr>
          <w:p>
            <w:pPr>
              <w:pStyle w:val="TableContents"/>
              <w:spacing w:before="0" w:after="283"/>
              <w:rPr/>
            </w:pPr>
            <w:r>
              <w:rPr/>
              <w:t> </w:t>
            </w:r>
          </w:p>
        </w:tc>
        <w:tc>
          <w:tcPr>
            <w:tcW w:w="9291"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without equally and ratably securing the senior debt securities of such series pursuant to the first paragraph of Limitation on Liens Securing Indebtedness above;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 </w:t>
            </w:r>
          </w:p>
        </w:tc>
      </w:tr>
    </w:tbl>
    <w:p>
      <w:pPr>
        <w:pStyle w:val="TextBody"/>
        <w:spacing w:before="240" w:after="0"/>
        <w:jc w:val="left"/>
        <w:rPr>
          <w:rFonts w:ascii="Times New Roman" w:hAnsi="Times New Roman"/>
          <w:sz w:val="20"/>
        </w:rPr>
      </w:pPr>
      <w:r>
        <w:rPr>
          <w:rFonts w:ascii="Times New Roman" w:hAnsi="Times New Roman"/>
          <w:sz w:val="20"/>
        </w:rPr>
        <w:t xml:space="preserve">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 </w:t>
      </w:r>
    </w:p>
    <w:p>
      <w:pPr>
        <w:pStyle w:val="TextBody"/>
        <w:spacing w:before="360" w:after="0"/>
        <w:jc w:val="left"/>
        <w:rPr>
          <w:rFonts w:ascii="Times New Roman" w:hAnsi="Times New Roman"/>
          <w:i/>
          <w:sz w:val="20"/>
        </w:rPr>
      </w:pPr>
      <w:r>
        <w:rPr>
          <w:rFonts w:ascii="Times New Roman" w:hAnsi="Times New Roman"/>
          <w:i/>
          <w:sz w:val="20"/>
        </w:rPr>
        <w:t xml:space="preserve">Consolidation, Merger and Sale of Assets. </w:t>
      </w:r>
    </w:p>
    <w:p>
      <w:pPr>
        <w:pStyle w:val="TextBody"/>
        <w:spacing w:before="120" w:after="0"/>
        <w:jc w:val="left"/>
        <w:rPr>
          <w:rFonts w:ascii="Times New Roman" w:hAnsi="Times New Roman"/>
          <w:sz w:val="20"/>
        </w:rPr>
      </w:pPr>
      <w:r>
        <w:rPr>
          <w:rFonts w:ascii="Times New Roman" w:hAnsi="Times New Roman"/>
          <w:sz w:val="20"/>
        </w:rPr>
        <w:t xml:space="preserve">We will not consolidate or combine with or merge with or into or, directly or indirectly, sell, assign, convey, lease, transfer or otherwise dispose of all or substantially all of our assets to any Person or Persons (other than a transfer or other disposition of assets to any of our wholly owned Subsidiaries), in a single transaction or through a series of transactions, unless: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surviving entity will expressly assume all of our obligations under the senior debt securities and the indenture and will execute a supplemental indenture, in a form satisfactory to the trustee, which will be delivered to the trustee;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immediately after giving effect to such transaction or series of transactions on a pro forma basis, no default has occurred and is continuing;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 </w:t>
            </w:r>
          </w:p>
        </w:tc>
      </w:tr>
    </w:tbl>
    <w:p>
      <w:pPr>
        <w:pStyle w:val="TextBody"/>
        <w:spacing w:before="240" w:after="0"/>
        <w:jc w:val="left"/>
        <w:rPr>
          <w:rFonts w:ascii="Times New Roman" w:hAnsi="Times New Roman"/>
          <w:sz w:val="20"/>
        </w:rPr>
      </w:pPr>
      <w:r>
        <w:rPr>
          <w:rFonts w:ascii="Times New Roman" w:hAnsi="Times New Roman"/>
          <w:sz w:val="20"/>
        </w:rPr>
        <w:t xml:space="preserve">The restrictions in the third bullet above shall not be applicable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merger or consolidation of us with an affiliate if our board of directors determines in good faith that the purpose of such transaction is principally to change our state of incorporation or convert our form of organization to another form;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 </w:t>
            </w:r>
          </w:p>
        </w:tc>
      </w:tr>
    </w:tbl>
    <w:p>
      <w:pPr>
        <w:pStyle w:val="TextBody"/>
        <w:spacing w:before="240" w:after="0"/>
        <w:jc w:val="left"/>
        <w:rPr>
          <w:rFonts w:ascii="Times New Roman" w:hAnsi="Times New Roman"/>
          <w:sz w:val="20"/>
        </w:rPr>
      </w:pPr>
      <w:r>
        <w:rPr>
          <w:rFonts w:ascii="Times New Roman" w:hAnsi="Times New Roman"/>
          <w:sz w:val="20"/>
        </w:rPr>
        <w:t xml:space="preserve">If any consolidation or merger or any sale, assignment, conveyance, lease, transfer or other disposition of all or substantially all of our assets occurs in accordance with the indenture, the successor person will succeed to, and be substituted for us, and may exercise every right and power of ours under the indenture with the same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effect as if such successor person had been named in our place in the indenture. We will (except in the case of a lease) be discharged from all obligations and covenants under the indenture and any debt securities issued thereunder (including the senior debt securities). </w:t>
      </w:r>
    </w:p>
    <w:p>
      <w:pPr>
        <w:pStyle w:val="TextBody"/>
        <w:spacing w:before="360" w:after="0"/>
        <w:jc w:val="left"/>
        <w:rPr>
          <w:rFonts w:ascii="Times New Roman" w:hAnsi="Times New Roman"/>
          <w:i/>
          <w:sz w:val="20"/>
        </w:rPr>
      </w:pPr>
      <w:r>
        <w:rPr>
          <w:rFonts w:ascii="Times New Roman" w:hAnsi="Times New Roman"/>
          <w:i/>
          <w:sz w:val="20"/>
        </w:rPr>
        <w:t xml:space="preserve">Existence. </w:t>
      </w:r>
    </w:p>
    <w:p>
      <w:pPr>
        <w:pStyle w:val="TextBody"/>
        <w:spacing w:before="120" w:after="0"/>
        <w:jc w:val="left"/>
        <w:rPr>
          <w:rFonts w:ascii="Times New Roman" w:hAnsi="Times New Roman"/>
          <w:sz w:val="20"/>
        </w:rPr>
      </w:pPr>
      <w:r>
        <w:rPr>
          <w:rFonts w:ascii="Times New Roman" w:hAnsi="Times New Roman"/>
          <w:sz w:val="20"/>
        </w:rPr>
        <w:t xml:space="preserve">Except as permitted under Consolidation, Merger and Sale of Assets, the indenture requires us to do or cause to be done all things necessary to preserve and keep in full force and effect our existence, rights and franchises; provided, however, that we shall not be required to preserve any right or franchise if we determine that its preservation is no longer desirable in the conduct of business. </w:t>
      </w:r>
    </w:p>
    <w:p>
      <w:pPr>
        <w:pStyle w:val="TextBody"/>
        <w:spacing w:before="360" w:after="0"/>
        <w:jc w:val="left"/>
        <w:rPr>
          <w:rFonts w:ascii="Times New Roman" w:hAnsi="Times New Roman"/>
          <w:i/>
          <w:sz w:val="20"/>
        </w:rPr>
      </w:pPr>
      <w:r>
        <w:rPr>
          <w:rFonts w:ascii="Times New Roman" w:hAnsi="Times New Roman"/>
          <w:i/>
          <w:sz w:val="20"/>
        </w:rPr>
        <w:t xml:space="preserve">Information. </w:t>
      </w:r>
    </w:p>
    <w:p>
      <w:pPr>
        <w:pStyle w:val="TextBody"/>
        <w:spacing w:before="120" w:after="0"/>
        <w:jc w:val="left"/>
        <w:rPr>
          <w:rFonts w:ascii="Times New Roman" w:hAnsi="Times New Roman"/>
          <w:sz w:val="20"/>
        </w:rPr>
      </w:pPr>
      <w:r>
        <w:rPr>
          <w:rFonts w:ascii="Times New Roman" w:hAnsi="Times New Roman"/>
          <w:sz w:val="20"/>
        </w:rPr>
        <w:t xml:space="preserve">We will furnish to the trustee any document or report we are required to file with the SEC pursuant to Section 13 or Section 15(d) of the 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 </w:t>
      </w:r>
    </w:p>
    <w:p>
      <w:pPr>
        <w:pStyle w:val="TextBody"/>
        <w:spacing w:before="360" w:after="0"/>
        <w:jc w:val="left"/>
        <w:rPr>
          <w:rFonts w:ascii="Times New Roman" w:hAnsi="Times New Roman"/>
          <w:b/>
          <w:i/>
          <w:sz w:val="20"/>
        </w:rPr>
      </w:pPr>
      <w:r>
        <w:rPr>
          <w:rFonts w:ascii="Times New Roman" w:hAnsi="Times New Roman"/>
          <w:b/>
          <w:i/>
          <w:sz w:val="20"/>
        </w:rPr>
        <w:t xml:space="preserve">Events of Default </w:t>
      </w:r>
    </w:p>
    <w:p>
      <w:pPr>
        <w:pStyle w:val="TextBody"/>
        <w:spacing w:before="120" w:after="0"/>
        <w:jc w:val="left"/>
        <w:rPr>
          <w:rFonts w:ascii="Times New Roman" w:hAnsi="Times New Roman"/>
          <w:sz w:val="20"/>
        </w:rPr>
      </w:pPr>
      <w:r>
        <w:rPr>
          <w:rFonts w:ascii="Times New Roman" w:hAnsi="Times New Roman"/>
          <w:sz w:val="20"/>
        </w:rPr>
        <w:t xml:space="preserve">Each of the following will constitute an event of default in the senior indenture with respect to the senior debt securities of any series: </w:t>
      </w:r>
    </w:p>
    <w:p>
      <w:pPr>
        <w:pStyle w:val="TextBody"/>
        <w:spacing w:before="240" w:after="0"/>
        <w:jc w:val="left"/>
        <w:rPr>
          <w:rFonts w:ascii="Times New Roman" w:hAnsi="Times New Roman"/>
          <w:sz w:val="20"/>
        </w:rPr>
      </w:pPr>
      <w:r>
        <w:rPr>
          <w:rFonts w:ascii="Times New Roman" w:hAnsi="Times New Roman"/>
          <w:sz w:val="20"/>
        </w:rPr>
        <w:t xml:space="preserve">(a) default in paying interest on the senior debt securities of such series when it becomes due and the default continues for a period of 30 days or more; </w:t>
      </w:r>
    </w:p>
    <w:p>
      <w:pPr>
        <w:pStyle w:val="TextBody"/>
        <w:spacing w:before="240" w:after="0"/>
        <w:jc w:val="left"/>
        <w:rPr>
          <w:rFonts w:ascii="Times New Roman" w:hAnsi="Times New Roman"/>
          <w:sz w:val="20"/>
        </w:rPr>
      </w:pPr>
      <w:r>
        <w:rPr>
          <w:rFonts w:ascii="Times New Roman" w:hAnsi="Times New Roman"/>
          <w:sz w:val="20"/>
        </w:rPr>
        <w:t xml:space="preserve">(b) default in paying principal on the senior debt securities of such series when due; </w:t>
      </w:r>
    </w:p>
    <w:p>
      <w:pPr>
        <w:pStyle w:val="TextBody"/>
        <w:spacing w:before="240" w:after="0"/>
        <w:jc w:val="left"/>
        <w:rPr>
          <w:rFonts w:ascii="Times New Roman" w:hAnsi="Times New Roman"/>
          <w:sz w:val="20"/>
        </w:rPr>
      </w:pPr>
      <w:r>
        <w:rPr>
          <w:rFonts w:ascii="Times New Roman" w:hAnsi="Times New Roman"/>
          <w:sz w:val="20"/>
        </w:rPr>
        <w:t xml:space="preserve">(c) 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 </w:t>
      </w:r>
    </w:p>
    <w:p>
      <w:pPr>
        <w:pStyle w:val="TextBody"/>
        <w:spacing w:before="240" w:after="0"/>
        <w:jc w:val="left"/>
        <w:rPr>
          <w:rFonts w:ascii="Times New Roman" w:hAnsi="Times New Roman"/>
          <w:sz w:val="20"/>
        </w:rPr>
      </w:pPr>
      <w:r>
        <w:rPr>
          <w:rFonts w:ascii="Times New Roman" w:hAnsi="Times New Roman"/>
          <w:sz w:val="20"/>
        </w:rPr>
        <w:t xml:space="preserve">(d) certain events of bankruptcy, insolvency, reorganization, administration or similar proceedings with respect to us or any Obligor have occurred; or </w:t>
      </w:r>
    </w:p>
    <w:p>
      <w:pPr>
        <w:pStyle w:val="TextBody"/>
        <w:spacing w:before="240" w:after="0"/>
        <w:jc w:val="left"/>
        <w:rPr>
          <w:rFonts w:ascii="Times New Roman" w:hAnsi="Times New Roman"/>
          <w:sz w:val="20"/>
        </w:rPr>
      </w:pPr>
      <w:r>
        <w:rPr>
          <w:rFonts w:ascii="Times New Roman" w:hAnsi="Times New Roman"/>
          <w:sz w:val="20"/>
        </w:rPr>
        <w:t xml:space="preserve">(e) any Guarantee shall not be (or shall be claimed by the relevant Guarantor not to be) in full force and effect. </w:t>
      </w:r>
    </w:p>
    <w:p>
      <w:pPr>
        <w:pStyle w:val="TextBody"/>
        <w:spacing w:before="240" w:after="0"/>
        <w:jc w:val="left"/>
        <w:rPr>
          <w:rFonts w:ascii="Times New Roman" w:hAnsi="Times New Roman"/>
          <w:sz w:val="20"/>
        </w:rPr>
      </w:pPr>
      <w:r>
        <w:rPr>
          <w:rFonts w:ascii="Times New Roman" w:hAnsi="Times New Roman"/>
          <w:sz w:val="20"/>
        </w:rPr>
        <w:t xml:space="preserve">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 </w:t>
      </w:r>
    </w:p>
    <w:p>
      <w:pPr>
        <w:pStyle w:val="TextBody"/>
        <w:spacing w:before="240" w:after="0"/>
        <w:jc w:val="left"/>
        <w:rPr>
          <w:rFonts w:ascii="Times New Roman" w:hAnsi="Times New Roman"/>
          <w:sz w:val="20"/>
        </w:rPr>
      </w:pPr>
      <w:r>
        <w:rPr>
          <w:rFonts w:ascii="Times New Roman" w:hAnsi="Times New Roman"/>
          <w:sz w:val="20"/>
        </w:rPr>
        <w:t xml:space="preserve">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 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 </w:t>
      </w:r>
    </w:p>
    <w:p>
      <w:pPr>
        <w:pStyle w:val="TextBody"/>
        <w:spacing w:before="240" w:after="0"/>
        <w:jc w:val="left"/>
        <w:rPr>
          <w:rFonts w:ascii="Times New Roman" w:hAnsi="Times New Roman"/>
          <w:sz w:val="20"/>
        </w:rPr>
      </w:pPr>
      <w:r>
        <w:rPr>
          <w:rFonts w:ascii="Times New Roman" w:hAnsi="Times New Roman"/>
          <w:sz w:val="20"/>
        </w:rPr>
        <w:t xml:space="preserve">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 </w:t>
      </w:r>
    </w:p>
    <w:p>
      <w:pPr>
        <w:pStyle w:val="TextBody"/>
        <w:spacing w:before="240" w:after="0"/>
        <w:jc w:val="left"/>
        <w:rPr>
          <w:rFonts w:ascii="Times New Roman" w:hAnsi="Times New Roman"/>
          <w:sz w:val="20"/>
        </w:rPr>
      </w:pPr>
      <w:r>
        <w:rPr>
          <w:rFonts w:ascii="Times New Roman" w:hAnsi="Times New Roman"/>
          <w:sz w:val="20"/>
        </w:rPr>
        <w:t xml:space="preserve">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 </w:t>
      </w:r>
    </w:p>
    <w:p>
      <w:pPr>
        <w:pStyle w:val="TextBody"/>
        <w:spacing w:before="240" w:after="0"/>
        <w:jc w:val="left"/>
        <w:rPr>
          <w:rFonts w:ascii="Times New Roman" w:hAnsi="Times New Roman"/>
          <w:sz w:val="20"/>
        </w:rPr>
      </w:pPr>
      <w:r>
        <w:rPr>
          <w:rFonts w:ascii="Times New Roman" w:hAnsi="Times New Roman"/>
          <w:sz w:val="20"/>
        </w:rPr>
        <w:t xml:space="preserve">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 </w:t>
      </w:r>
    </w:p>
    <w:p>
      <w:pPr>
        <w:pStyle w:val="TextBody"/>
        <w:spacing w:before="240" w:after="0"/>
        <w:jc w:val="left"/>
        <w:rPr>
          <w:rFonts w:ascii="Times New Roman" w:hAnsi="Times New Roman"/>
          <w:sz w:val="20"/>
        </w:rPr>
      </w:pPr>
      <w:r>
        <w:rPr>
          <w:rFonts w:ascii="Times New Roman" w:hAnsi="Times New Roman"/>
          <w:sz w:val="20"/>
        </w:rPr>
        <w:t xml:space="preserve">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 </w:t>
      </w:r>
    </w:p>
    <w:p>
      <w:pPr>
        <w:pStyle w:val="TextBody"/>
        <w:spacing w:before="240" w:after="0"/>
        <w:jc w:val="left"/>
        <w:rPr>
          <w:rFonts w:ascii="Times New Roman" w:hAnsi="Times New Roman"/>
          <w:sz w:val="20"/>
        </w:rPr>
      </w:pPr>
      <w:r>
        <w:rPr>
          <w:rFonts w:ascii="Times New Roman" w:hAnsi="Times New Roman"/>
          <w:sz w:val="20"/>
        </w:rPr>
        <w:t xml:space="preserve">We are required to furnish to the trustee an annual statement as to compliance with all conditions and covenants under the senior indenture within 120 days of the end of each fiscal year.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Discharge and Defeasance </w:t>
      </w:r>
    </w:p>
    <w:p>
      <w:pPr>
        <w:pStyle w:val="TextBody"/>
        <w:spacing w:before="120" w:after="0"/>
        <w:jc w:val="left"/>
        <w:rPr>
          <w:rFonts w:ascii="Times New Roman" w:hAnsi="Times New Roman"/>
          <w:sz w:val="20"/>
        </w:rPr>
      </w:pPr>
      <w:r>
        <w:rPr>
          <w:rFonts w:ascii="Times New Roman" w:hAnsi="Times New Roman"/>
          <w:sz w:val="20"/>
        </w:rPr>
        <w:t xml:space="preserve">We may terminate our obligations and the obligations of the Guarantors under the indenture with respect to the senior debt securities of any series and the Guarantees of such series of senior debt securities, when: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either: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the senior debt securities of such series that have been authenticated and delivered have been canceled or delivered to the trustee for cancellation;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the senior debt securities of such series issued that have not been canceled or delivered to the trustee for cancellation have become due and payable, are by their terms to become due and 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have paid or caused to be paid all other sums then due and payable under the indenture with respect to the senior debt securities of such series;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 </w:t>
            </w:r>
          </w:p>
        </w:tc>
      </w:tr>
    </w:tbl>
    <w:p>
      <w:pPr>
        <w:pStyle w:val="TextBody"/>
        <w:spacing w:before="240" w:after="0"/>
        <w:jc w:val="left"/>
        <w:rPr>
          <w:rFonts w:ascii="Times New Roman" w:hAnsi="Times New Roman"/>
          <w:sz w:val="20"/>
        </w:rPr>
      </w:pPr>
      <w:r>
        <w:rPr>
          <w:rFonts w:ascii="Times New Roman" w:hAnsi="Times New Roman"/>
          <w:sz w:val="20"/>
        </w:rPr>
        <w:t xml:space="preserve">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rights of holders of the senior debt securities of such series to receive principal or interest when due;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rights, powers, trusts, duties and immunities of the trustee and the provisions relating to the resignation and removal of the trustee and the appointment of a successor trustee;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defeasance provisions of the indenture. </w:t>
            </w:r>
          </w:p>
        </w:tc>
      </w:tr>
    </w:tbl>
    <w:p>
      <w:pPr>
        <w:pStyle w:val="TextBody"/>
        <w:spacing w:before="240" w:after="0"/>
        <w:jc w:val="left"/>
        <w:rPr>
          <w:rFonts w:ascii="Times New Roman" w:hAnsi="Times New Roman"/>
          <w:sz w:val="20"/>
        </w:rPr>
      </w:pPr>
      <w:r>
        <w:rPr>
          <w:rFonts w:ascii="Times New Roman" w:hAnsi="Times New Roman"/>
          <w:sz w:val="20"/>
        </w:rPr>
        <w:t xml:space="preserve">In addition, we may elect to have our and the Guarantors obligations released with respect to certain covenants in the indenture (covenant defeasance). In the event covenant defeasance occurs, certain events, not including nonpayment, bankruptcy and insolvency events, described under Events of Default will no longer constitute an event of default for that series. </w:t>
      </w:r>
    </w:p>
    <w:p>
      <w:pPr>
        <w:pStyle w:val="TextBody"/>
        <w:spacing w:before="240" w:after="0"/>
        <w:jc w:val="left"/>
        <w:rPr>
          <w:rFonts w:ascii="Times New Roman" w:hAnsi="Times New Roman"/>
          <w:sz w:val="20"/>
        </w:rPr>
      </w:pPr>
      <w:r>
        <w:rPr>
          <w:rFonts w:ascii="Times New Roman" w:hAnsi="Times New Roman"/>
          <w:sz w:val="20"/>
        </w:rPr>
        <w:t xml:space="preserve">In order to exercise either legal defeasance or covenant defeasance with respect to outstanding senior debt securities and Guarantees of any series: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must irrevocably have deposited or caused to be deposited with the trustee as trust funds for the purpose of making the following payments, specifically pledged as security for, and dedicated solely to the benefits of the holders of the senior debt securities of such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cash;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U.S. Government Obligations (measured with respect to the scheduled payments of principal and interest thereon);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combination of cash and U.S. Government Obligations;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case of legal defeasance, we have delivered to the trustee an opinion of counsel stating that, as a result of an Internal Revenue Service (IRS) ruling or a change in applicable federal income tax law, 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legal defeasance or covenant defeasance will not cause the trustee to have a conflicting interest within the meaning of the Trust Indenture Act, assuming all senior debt securities of such series were in default within the meaning of such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guarantees or any other material agreement or instrument to which we are a party;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legal defeasance or covenant defeasance will not result in the trust arising from such deposit constituting an investment company within the meaning of the Investment Company Act of 1940, as amended, unless the trust is registered under such act or exempt from registration;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have delivered to the trustee an officers certificate and an opinion of counsel, in each case stating that all conditions precedent with respect to the legal defeasance or covenant defeasance have been complied with. </w:t>
            </w:r>
          </w:p>
        </w:tc>
      </w:tr>
    </w:tbl>
    <w:p>
      <w:pPr>
        <w:pStyle w:val="TextBody"/>
        <w:spacing w:before="360" w:after="0"/>
        <w:jc w:val="left"/>
        <w:rPr>
          <w:rFonts w:ascii="Times New Roman" w:hAnsi="Times New Roman"/>
          <w:b/>
          <w:i/>
          <w:sz w:val="20"/>
        </w:rPr>
      </w:pPr>
      <w:r>
        <w:rPr>
          <w:rFonts w:ascii="Times New Roman" w:hAnsi="Times New Roman"/>
          <w:b/>
          <w:i/>
          <w:sz w:val="20"/>
        </w:rPr>
        <w:t xml:space="preserve">Modification and Waiver </w:t>
      </w:r>
    </w:p>
    <w:p>
      <w:pPr>
        <w:pStyle w:val="TextBody"/>
        <w:spacing w:before="120" w:after="0"/>
        <w:jc w:val="left"/>
        <w:rPr>
          <w:rFonts w:ascii="Times New Roman" w:hAnsi="Times New Roman"/>
          <w:sz w:val="20"/>
        </w:rPr>
      </w:pPr>
      <w:r>
        <w:rPr>
          <w:rFonts w:ascii="Times New Roman" w:hAnsi="Times New Roman"/>
          <w:sz w:val="20"/>
        </w:rPr>
        <w:t xml:space="preserve">We, the Guarantors and the trustee may amend or modify the senior indenture or the senior debt securities of any series without notice to or the consent of any holder in order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cure any ambiguities, omissions, defects or inconsistencies in the senior indenture in a manner that does not adversely affect the interests of the holders in any material respect;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make any change that would provide any additional rights or benefits to the holders of the senior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provide for or add guarantors with respect to the senior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secure the senior debt securities of any series;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establish the form or terms of senior debt securities of any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provide for uncertificated senior debt securities in addition to or in place of certificated senior debt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evidence and provide for the acceptance of appointment by a successor trustee;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provide for the assumption by our successor, if any, to our or their obligations to holders of any outstanding senior debt securities in compliance with the applicable provisions of the indenture;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qualify the indenture under the Trust Indenture 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conform any provision in the indenture to this Description of Debt Securities and Guarantees;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make any change that does not adversely affect the rights of any holder in any material respect. </w:t>
            </w:r>
          </w:p>
        </w:tc>
      </w:tr>
    </w:tbl>
    <w:p>
      <w:pPr>
        <w:pStyle w:val="TextBody"/>
        <w:spacing w:before="240" w:after="0"/>
        <w:jc w:val="left"/>
        <w:rPr>
          <w:rFonts w:ascii="Times New Roman" w:hAnsi="Times New Roman"/>
          <w:sz w:val="20"/>
        </w:rPr>
      </w:pPr>
      <w:r>
        <w:rPr>
          <w:rFonts w:ascii="Times New Roman" w:hAnsi="Times New Roman"/>
          <w:sz w:val="20"/>
        </w:rPr>
        <w:t xml:space="preserve">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 the principal amount, or extend the fixed maturity, of the senior debt securities of such series or alter or waive the redemption provisions of the senior debt securities of such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impair the right of any holder of the senior debt securities of such series to receive payment of principal or interest on the senior debt securities of such series on and after the due dates for such principal or interest;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 the currency in which principal, any premium or interest is paid;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 the percentage in principal amount outstanding of senior debt securities of such series which must consent to an amendment, supplement or waiver or consent to take any action;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impair the right to institute suit for the enforcement of any payment on the senior debt securities of such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waive a payment default with respect to the senior debt securities of such series;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 the interest rate or extend the time for payment of interest on the senior debt securities of such series; or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adversely affect the ranking of the senior debt securities of such series. </w:t>
            </w:r>
          </w:p>
        </w:tc>
      </w:tr>
    </w:tbl>
    <w:p>
      <w:pPr>
        <w:pStyle w:val="TextBody"/>
        <w:spacing w:before="240" w:after="0"/>
        <w:jc w:val="left"/>
        <w:rPr>
          <w:rFonts w:ascii="Times New Roman" w:hAnsi="Times New Roman"/>
          <w:sz w:val="20"/>
        </w:rPr>
      </w:pPr>
      <w:r>
        <w:rPr>
          <w:rFonts w:ascii="Times New Roman" w:hAnsi="Times New Roman"/>
          <w:sz w:val="20"/>
        </w:rPr>
        <w:t xml:space="preserve">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 </w:t>
      </w:r>
    </w:p>
    <w:p>
      <w:pPr>
        <w:pStyle w:val="TextBody"/>
        <w:spacing w:before="360" w:after="0"/>
        <w:jc w:val="left"/>
        <w:rPr>
          <w:rFonts w:ascii="Times New Roman" w:hAnsi="Times New Roman"/>
          <w:b/>
          <w:i/>
          <w:sz w:val="20"/>
        </w:rPr>
      </w:pPr>
      <w:r>
        <w:rPr>
          <w:rFonts w:ascii="Times New Roman" w:hAnsi="Times New Roman"/>
          <w:b/>
          <w:i/>
          <w:sz w:val="20"/>
        </w:rPr>
        <w:t xml:space="preserve">No Personal Liability of Incorporators, Stockholders, Officers, Directors, or Employees </w:t>
      </w:r>
    </w:p>
    <w:p>
      <w:pPr>
        <w:pStyle w:val="TextBody"/>
        <w:spacing w:before="120" w:after="0"/>
        <w:jc w:val="left"/>
        <w:rPr>
          <w:rFonts w:ascii="Times New Roman" w:hAnsi="Times New Roman"/>
          <w:sz w:val="20"/>
        </w:rPr>
      </w:pPr>
      <w:r>
        <w:rPr>
          <w:rFonts w:ascii="Times New Roman" w:hAnsi="Times New Roman"/>
          <w:sz w:val="20"/>
        </w:rPr>
        <w:t xml:space="preserve">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 </w:t>
      </w:r>
    </w:p>
    <w:p>
      <w:pPr>
        <w:pStyle w:val="TextBody"/>
        <w:spacing w:before="360" w:after="0"/>
        <w:jc w:val="left"/>
        <w:rPr>
          <w:rFonts w:ascii="Times New Roman" w:hAnsi="Times New Roman"/>
          <w:b/>
          <w:i/>
          <w:sz w:val="20"/>
        </w:rPr>
      </w:pPr>
      <w:r>
        <w:rPr>
          <w:rFonts w:ascii="Times New Roman" w:hAnsi="Times New Roman"/>
          <w:b/>
          <w:i/>
          <w:sz w:val="20"/>
        </w:rPr>
        <w:t xml:space="preserve">Concerning the Trustee </w:t>
      </w:r>
    </w:p>
    <w:p>
      <w:pPr>
        <w:pStyle w:val="TextBody"/>
        <w:spacing w:before="120" w:after="0"/>
        <w:jc w:val="left"/>
        <w:rPr>
          <w:rFonts w:ascii="Times New Roman" w:hAnsi="Times New Roman"/>
          <w:sz w:val="20"/>
        </w:rPr>
      </w:pPr>
      <w:r>
        <w:rPr>
          <w:rFonts w:ascii="Times New Roman" w:hAnsi="Times New Roman"/>
          <w:sz w:val="20"/>
        </w:rPr>
        <w:t xml:space="preserve">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 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 </w:t>
      </w:r>
    </w:p>
    <w:p>
      <w:pPr>
        <w:pStyle w:val="TextBody"/>
        <w:spacing w:before="360" w:after="0"/>
        <w:jc w:val="left"/>
        <w:rPr>
          <w:rFonts w:ascii="Times New Roman" w:hAnsi="Times New Roman"/>
          <w:b/>
          <w:i/>
          <w:sz w:val="20"/>
        </w:rPr>
      </w:pPr>
      <w:r>
        <w:rPr>
          <w:rFonts w:ascii="Times New Roman" w:hAnsi="Times New Roman"/>
          <w:b/>
          <w:i/>
          <w:sz w:val="20"/>
        </w:rPr>
        <w:t xml:space="preserve">Governing Law </w:t>
      </w:r>
    </w:p>
    <w:p>
      <w:pPr>
        <w:pStyle w:val="TextBody"/>
        <w:spacing w:before="120" w:after="0"/>
        <w:jc w:val="left"/>
        <w:rPr>
          <w:rFonts w:ascii="Times New Roman" w:hAnsi="Times New Roman"/>
          <w:sz w:val="20"/>
        </w:rPr>
      </w:pPr>
      <w:r>
        <w:rPr>
          <w:rFonts w:ascii="Times New Roman" w:hAnsi="Times New Roman"/>
          <w:sz w:val="20"/>
        </w:rPr>
        <w:t xml:space="preserve">The senior indenture, including any Guarantee, and each senior debt security is governed by and construed in accordance with the laws of the State of New York. </w:t>
      </w:r>
    </w:p>
    <w:p>
      <w:pPr>
        <w:pStyle w:val="TextBody"/>
        <w:spacing w:before="360" w:after="0"/>
        <w:jc w:val="left"/>
        <w:rPr>
          <w:rFonts w:ascii="Times New Roman" w:hAnsi="Times New Roman"/>
          <w:b/>
          <w:i/>
          <w:sz w:val="20"/>
        </w:rPr>
      </w:pPr>
      <w:r>
        <w:rPr>
          <w:rFonts w:ascii="Times New Roman" w:hAnsi="Times New Roman"/>
          <w:b/>
          <w:i/>
          <w:sz w:val="20"/>
        </w:rPr>
        <w:t xml:space="preserve">The Trustee </w:t>
      </w:r>
    </w:p>
    <w:p>
      <w:pPr>
        <w:pStyle w:val="TextBody"/>
        <w:spacing w:before="120" w:after="0"/>
        <w:jc w:val="left"/>
        <w:rPr>
          <w:rFonts w:ascii="Times New Roman" w:hAnsi="Times New Roman"/>
          <w:sz w:val="20"/>
        </w:rPr>
      </w:pPr>
      <w:r>
        <w:rPr>
          <w:rFonts w:ascii="Times New Roman" w:hAnsi="Times New Roman"/>
          <w:sz w:val="20"/>
        </w:rPr>
        <w:t xml:space="preserve">We may have normal banking relationships with the trustee under the senior indenture in the ordinary course of business. </w:t>
      </w:r>
    </w:p>
    <w:p>
      <w:pPr>
        <w:pStyle w:val="TextBody"/>
        <w:spacing w:before="360" w:after="0"/>
        <w:jc w:val="left"/>
        <w:rPr>
          <w:rFonts w:ascii="Times New Roman" w:hAnsi="Times New Roman"/>
          <w:b/>
          <w:sz w:val="20"/>
        </w:rPr>
      </w:pPr>
      <w:r>
        <w:rPr>
          <w:rFonts w:ascii="Times New Roman" w:hAnsi="Times New Roman"/>
          <w:b/>
          <w:sz w:val="20"/>
        </w:rPr>
        <w:t xml:space="preserve">Convertible Debt Securities </w:t>
      </w:r>
    </w:p>
    <w:p>
      <w:pPr>
        <w:pStyle w:val="TextBody"/>
        <w:spacing w:before="120" w:after="0"/>
        <w:jc w:val="left"/>
        <w:rPr>
          <w:rFonts w:ascii="Times New Roman" w:hAnsi="Times New Roman"/>
          <w:sz w:val="20"/>
        </w:rPr>
      </w:pPr>
      <w:r>
        <w:rPr>
          <w:rFonts w:ascii="Times New Roman" w:hAnsi="Times New Roman"/>
          <w:sz w:val="20"/>
        </w:rPr>
        <w:t xml:space="preserve">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8" w:name="toc49739_7"/>
      <w:bookmarkEnd w:id="18"/>
      <w:r>
        <w:rPr>
          <w:rFonts w:ascii="Times New Roman" w:hAnsi="Times New Roman"/>
          <w:b/>
          <w:sz w:val="20"/>
        </w:rPr>
        <w:t xml:space="preserve">GLOBAL SECURITIES </w:t>
      </w:r>
    </w:p>
    <w:p>
      <w:pPr>
        <w:pStyle w:val="TextBody"/>
        <w:spacing w:before="240" w:after="0"/>
        <w:jc w:val="left"/>
        <w:rPr>
          <w:rFonts w:ascii="Times New Roman" w:hAnsi="Times New Roman"/>
          <w:sz w:val="20"/>
        </w:rPr>
      </w:pPr>
      <w:r>
        <w:rPr>
          <w:rFonts w:ascii="Times New Roman" w:hAnsi="Times New Roman"/>
          <w:sz w:val="20"/>
        </w:rPr>
        <w:t xml:space="preserve">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 </w:t>
      </w:r>
    </w:p>
    <w:p>
      <w:pPr>
        <w:pStyle w:val="TextBody"/>
        <w:spacing w:before="240" w:after="0"/>
        <w:jc w:val="left"/>
        <w:rPr>
          <w:rFonts w:ascii="Times New Roman" w:hAnsi="Times New Roman"/>
          <w:sz w:val="20"/>
        </w:rPr>
      </w:pPr>
      <w:r>
        <w:rPr>
          <w:rFonts w:ascii="Times New Roman" w:hAnsi="Times New Roman"/>
          <w:sz w:val="20"/>
        </w:rPr>
        <w:t xml:space="preserve">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 </w:t>
      </w:r>
    </w:p>
    <w:p>
      <w:pPr>
        <w:pStyle w:val="TextBody"/>
        <w:spacing w:before="240" w:after="0"/>
        <w:jc w:val="left"/>
        <w:rPr>
          <w:rFonts w:ascii="Times New Roman" w:hAnsi="Times New Roman"/>
          <w:sz w:val="20"/>
        </w:rPr>
      </w:pPr>
      <w:r>
        <w:rPr>
          <w:rFonts w:ascii="Times New Roman" w:hAnsi="Times New Roman"/>
          <w:sz w:val="20"/>
        </w:rPr>
        <w:t xml:space="preserve">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 </w:t>
      </w:r>
    </w:p>
    <w:p>
      <w:pPr>
        <w:pStyle w:val="TextBody"/>
        <w:spacing w:before="240" w:after="0"/>
        <w:jc w:val="left"/>
        <w:rPr>
          <w:rFonts w:ascii="Times New Roman" w:hAnsi="Times New Roman"/>
          <w:sz w:val="20"/>
        </w:rPr>
      </w:pPr>
      <w:r>
        <w:rPr>
          <w:rFonts w:ascii="Times New Roman" w:hAnsi="Times New Roman"/>
          <w:sz w:val="20"/>
        </w:rPr>
        <w:t xml:space="preserve">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 </w:t>
      </w:r>
    </w:p>
    <w:p>
      <w:pPr>
        <w:pStyle w:val="TextBody"/>
        <w:spacing w:before="240" w:after="0"/>
        <w:jc w:val="left"/>
        <w:rPr>
          <w:rFonts w:ascii="Times New Roman" w:hAnsi="Times New Roman"/>
          <w:sz w:val="20"/>
        </w:rPr>
      </w:pPr>
      <w:r>
        <w:rPr>
          <w:rFonts w:ascii="Times New Roman" w:hAnsi="Times New Roman"/>
          <w:sz w:val="20"/>
        </w:rPr>
        <w:t xml:space="preserve">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 </w:t>
      </w:r>
    </w:p>
    <w:p>
      <w:pPr>
        <w:pStyle w:val="TextBody"/>
        <w:spacing w:before="240" w:after="0"/>
        <w:jc w:val="left"/>
        <w:rPr>
          <w:rFonts w:ascii="Times New Roman" w:hAnsi="Times New Roman"/>
          <w:sz w:val="20"/>
        </w:rPr>
      </w:pPr>
      <w:r>
        <w:rPr>
          <w:rFonts w:ascii="Times New Roman" w:hAnsi="Times New Roman"/>
          <w:sz w:val="20"/>
        </w:rPr>
        <w:t xml:space="preserve">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 </w:t>
      </w:r>
    </w:p>
    <w:p>
      <w:pPr>
        <w:pStyle w:val="TextBody"/>
        <w:spacing w:before="240" w:after="0"/>
        <w:jc w:val="left"/>
        <w:rPr>
          <w:rFonts w:ascii="Times New Roman" w:hAnsi="Times New Roman"/>
          <w:sz w:val="20"/>
        </w:rPr>
      </w:pPr>
      <w:r>
        <w:rPr>
          <w:rFonts w:ascii="Times New Roman" w:hAnsi="Times New Roman"/>
          <w:sz w:val="20"/>
        </w:rPr>
        <w:t xml:space="preserve">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9" w:name="toc49739_8"/>
      <w:bookmarkEnd w:id="19"/>
      <w:r>
        <w:rPr>
          <w:rFonts w:ascii="Times New Roman" w:hAnsi="Times New Roman"/>
          <w:b/>
          <w:sz w:val="20"/>
        </w:rPr>
        <w:t xml:space="preserve">DESCRIPTION OF CAPITAL STOCK </w:t>
      </w:r>
    </w:p>
    <w:p>
      <w:pPr>
        <w:pStyle w:val="TextBody"/>
        <w:spacing w:before="240" w:after="0"/>
        <w:jc w:val="left"/>
        <w:rPr>
          <w:rFonts w:ascii="Times New Roman" w:hAnsi="Times New Roman"/>
          <w:sz w:val="20"/>
        </w:rPr>
      </w:pPr>
      <w:r>
        <w:rPr>
          <w:rFonts w:ascii="Times New Roman" w:hAnsi="Times New Roman"/>
          <w:sz w:val="20"/>
        </w:rPr>
        <w:t xml:space="preserve">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 </w:t>
      </w:r>
    </w:p>
    <w:p>
      <w:pPr>
        <w:pStyle w:val="TextBody"/>
        <w:spacing w:before="240" w:after="0"/>
        <w:jc w:val="left"/>
        <w:rPr>
          <w:rFonts w:ascii="Times New Roman" w:hAnsi="Times New Roman"/>
          <w:sz w:val="20"/>
        </w:rPr>
      </w:pPr>
      <w:r>
        <w:rPr>
          <w:rFonts w:ascii="Times New Roman" w:hAnsi="Times New Roman"/>
          <w:sz w:val="20"/>
        </w:rPr>
        <w:t xml:space="preserve">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 </w:t>
      </w:r>
    </w:p>
    <w:p>
      <w:pPr>
        <w:pStyle w:val="TextBody"/>
        <w:spacing w:before="360" w:after="0"/>
        <w:jc w:val="left"/>
        <w:rPr>
          <w:rFonts w:ascii="Times New Roman" w:hAnsi="Times New Roman"/>
          <w:b/>
          <w:sz w:val="20"/>
        </w:rPr>
      </w:pPr>
      <w:r>
        <w:rPr>
          <w:rFonts w:ascii="Times New Roman" w:hAnsi="Times New Roman"/>
          <w:b/>
          <w:sz w:val="20"/>
        </w:rPr>
        <w:t xml:space="preserve">Dividends </w:t>
      </w:r>
    </w:p>
    <w:p>
      <w:pPr>
        <w:pStyle w:val="TextBody"/>
        <w:spacing w:before="120" w:after="0"/>
        <w:jc w:val="left"/>
        <w:rPr>
          <w:rFonts w:ascii="Times New Roman" w:hAnsi="Times New Roman"/>
          <w:sz w:val="20"/>
        </w:rPr>
      </w:pPr>
      <w:r>
        <w:rPr>
          <w:rFonts w:ascii="Times New Roman" w:hAnsi="Times New Roman"/>
          <w:sz w:val="20"/>
        </w:rPr>
        <w:t xml:space="preserve">Subject to the preferential rights of any preferred stock then outstanding, holders of our Class A common stock and Class B common stock are entitled to receive, from time to time, when, as and if declared, in the discretion of our Board of Directors, such cash dividends as our Board of Directors may from time to time determine, out of such funds as are legally available therefor, in proportion to the number of shares held by them, respectively, without regard to class. </w:t>
      </w:r>
    </w:p>
    <w:p>
      <w:pPr>
        <w:pStyle w:val="TextBody"/>
        <w:spacing w:before="240" w:after="0"/>
        <w:jc w:val="left"/>
        <w:rPr>
          <w:rFonts w:ascii="Times New Roman" w:hAnsi="Times New Roman"/>
          <w:sz w:val="20"/>
        </w:rPr>
      </w:pPr>
      <w:r>
        <w:rPr>
          <w:rFonts w:ascii="Times New Roman" w:hAnsi="Times New Roman"/>
          <w:sz w:val="20"/>
        </w:rPr>
        <w:t xml:space="preserve">Holders of our Class A common stock and Class B common stock will also be entitled to receive, from time to time, when, as and if declared by our Board of Directors, such dividends of our stock or other property as our Board of Directors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 </w:t>
      </w:r>
    </w:p>
    <w:p>
      <w:pPr>
        <w:pStyle w:val="TextBody"/>
        <w:spacing w:before="240" w:after="0"/>
        <w:jc w:val="left"/>
        <w:rPr>
          <w:rFonts w:ascii="Times New Roman" w:hAnsi="Times New Roman"/>
          <w:sz w:val="20"/>
        </w:rPr>
      </w:pPr>
      <w:r>
        <w:rPr>
          <w:rFonts w:ascii="Times New Roman" w:hAnsi="Times New Roman"/>
          <w:sz w:val="20"/>
        </w:rPr>
        <w:t xml:space="preserve">We intend to pay quarterly dividends at an annualized rate currently of $1.08 per share, although each dividend is subject to approval by our Board of Directors. See Dividend Policy above. </w:t>
      </w:r>
    </w:p>
    <w:p>
      <w:pPr>
        <w:pStyle w:val="TextBody"/>
        <w:spacing w:before="360" w:after="0"/>
        <w:jc w:val="left"/>
        <w:rPr>
          <w:rFonts w:ascii="Times New Roman" w:hAnsi="Times New Roman"/>
          <w:b/>
          <w:sz w:val="20"/>
        </w:rPr>
      </w:pPr>
      <w:r>
        <w:rPr>
          <w:rFonts w:ascii="Times New Roman" w:hAnsi="Times New Roman"/>
          <w:b/>
          <w:sz w:val="20"/>
        </w:rPr>
        <w:t xml:space="preserve">Voting Rights </w:t>
      </w:r>
    </w:p>
    <w:p>
      <w:pPr>
        <w:pStyle w:val="TextBody"/>
        <w:spacing w:before="120" w:after="0"/>
        <w:jc w:val="left"/>
        <w:rPr>
          <w:rFonts w:ascii="Times New Roman" w:hAnsi="Times New Roman"/>
          <w:sz w:val="20"/>
        </w:rPr>
      </w:pPr>
      <w:r>
        <w:rPr>
          <w:rFonts w:ascii="Times New Roman" w:hAnsi="Times New Roman"/>
          <w:sz w:val="20"/>
        </w:rPr>
        <w:t xml:space="preserve">As a general matter, on all matters submitted for a vote to holders of all classes of our voting stock, holders of our Class A common 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 </w:t>
      </w:r>
    </w:p>
    <w:p>
      <w:pPr>
        <w:pStyle w:val="TextBody"/>
        <w:spacing w:before="360" w:after="0"/>
        <w:jc w:val="left"/>
        <w:rPr>
          <w:rFonts w:ascii="Times New Roman" w:hAnsi="Times New Roman"/>
          <w:b/>
          <w:sz w:val="20"/>
        </w:rPr>
      </w:pPr>
      <w:r>
        <w:rPr>
          <w:rFonts w:ascii="Times New Roman" w:hAnsi="Times New Roman"/>
          <w:b/>
          <w:sz w:val="20"/>
        </w:rPr>
        <w:t xml:space="preserve">Approval Rights </w:t>
      </w:r>
    </w:p>
    <w:p>
      <w:pPr>
        <w:pStyle w:val="TextBody"/>
        <w:spacing w:before="120" w:after="0"/>
        <w:jc w:val="left"/>
        <w:rPr>
          <w:rFonts w:ascii="Times New Roman" w:hAnsi="Times New Roman"/>
          <w:sz w:val="20"/>
        </w:rPr>
      </w:pPr>
      <w:r>
        <w:rPr>
          <w:rFonts w:ascii="Times New Roman" w:hAnsi="Times New Roman"/>
          <w:sz w:val="20"/>
        </w:rPr>
        <w:t xml:space="preserve">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articles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of incorporation or by-law amendments (such as an amendment to the articles of incorporation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 </w:t>
      </w:r>
    </w:p>
    <w:p>
      <w:pPr>
        <w:pStyle w:val="TextBody"/>
        <w:spacing w:before="360" w:after="0"/>
        <w:jc w:val="left"/>
        <w:rPr>
          <w:rFonts w:ascii="Times New Roman" w:hAnsi="Times New Roman"/>
          <w:b/>
          <w:sz w:val="20"/>
        </w:rPr>
      </w:pPr>
      <w:r>
        <w:rPr>
          <w:rFonts w:ascii="Times New Roman" w:hAnsi="Times New Roman"/>
          <w:b/>
          <w:sz w:val="20"/>
        </w:rPr>
        <w:t xml:space="preserve">Principal Shareholder </w:t>
      </w:r>
    </w:p>
    <w:p>
      <w:pPr>
        <w:pStyle w:val="TextBody"/>
        <w:spacing w:before="120" w:after="0"/>
        <w:jc w:val="left"/>
        <w:rPr>
          <w:rFonts w:ascii="Times New Roman" w:hAnsi="Times New Roman"/>
          <w:sz w:val="20"/>
        </w:rPr>
      </w:pPr>
      <w:r>
        <w:rPr>
          <w:rFonts w:ascii="Times New Roman" w:hAnsi="Times New Roman"/>
          <w:sz w:val="20"/>
        </w:rPr>
        <w:t xml:space="preserve">Brian L. Roberts, our Chairman, Chief Executive Officer and President, beneficially owns all outstanding shares of our Class B common stock, which has a nondilutable 33 1/3%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2022, if Mr. Roberts were to convert the Class B common stock he beneficially owns into Class A common stock, Mr. Roberts would beneficially own approximately 1% of the Class A common stock that would be outstanding after the conversion. </w:t>
      </w:r>
    </w:p>
    <w:p>
      <w:pPr>
        <w:pStyle w:val="TextBody"/>
        <w:spacing w:before="360" w:after="0"/>
        <w:jc w:val="left"/>
        <w:rPr>
          <w:rFonts w:ascii="Times New Roman" w:hAnsi="Times New Roman"/>
          <w:b/>
          <w:sz w:val="20"/>
        </w:rPr>
      </w:pPr>
      <w:r>
        <w:rPr>
          <w:rFonts w:ascii="Times New Roman" w:hAnsi="Times New Roman"/>
          <w:b/>
          <w:sz w:val="20"/>
        </w:rPr>
        <w:t xml:space="preserve">Conversion of Class B Common Stock </w:t>
      </w:r>
    </w:p>
    <w:p>
      <w:pPr>
        <w:pStyle w:val="TextBody"/>
        <w:spacing w:before="120" w:after="0"/>
        <w:jc w:val="left"/>
        <w:rPr>
          <w:rFonts w:ascii="Times New Roman" w:hAnsi="Times New Roman"/>
          <w:sz w:val="20"/>
        </w:rPr>
      </w:pPr>
      <w:r>
        <w:rPr>
          <w:rFonts w:ascii="Times New Roman" w:hAnsi="Times New Roman"/>
          <w:sz w:val="20"/>
        </w:rPr>
        <w:t xml:space="preserve">The Class B common stock is convertible share for share into Class A common stock, subject to certain restrictions. </w:t>
      </w:r>
    </w:p>
    <w:p>
      <w:pPr>
        <w:pStyle w:val="TextBody"/>
        <w:spacing w:before="360" w:after="0"/>
        <w:jc w:val="left"/>
        <w:rPr>
          <w:rFonts w:ascii="Times New Roman" w:hAnsi="Times New Roman"/>
          <w:b/>
          <w:sz w:val="20"/>
        </w:rPr>
      </w:pPr>
      <w:r>
        <w:rPr>
          <w:rFonts w:ascii="Times New Roman" w:hAnsi="Times New Roman"/>
          <w:b/>
          <w:sz w:val="20"/>
        </w:rPr>
        <w:t xml:space="preserve">Preference on Liquidation </w:t>
      </w:r>
    </w:p>
    <w:p>
      <w:pPr>
        <w:pStyle w:val="TextBody"/>
        <w:spacing w:before="120" w:after="0"/>
        <w:jc w:val="left"/>
        <w:rPr>
          <w:rFonts w:ascii="Times New Roman" w:hAnsi="Times New Roman"/>
          <w:sz w:val="20"/>
        </w:rPr>
      </w:pPr>
      <w:r>
        <w:rPr>
          <w:rFonts w:ascii="Times New Roman" w:hAnsi="Times New Roman"/>
          <w:sz w:val="20"/>
        </w:rPr>
        <w:t xml:space="preserve">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 </w:t>
      </w:r>
    </w:p>
    <w:p>
      <w:pPr>
        <w:pStyle w:val="TextBody"/>
        <w:spacing w:before="360" w:after="0"/>
        <w:jc w:val="left"/>
        <w:rPr>
          <w:rFonts w:ascii="Times New Roman" w:hAnsi="Times New Roman"/>
          <w:b/>
          <w:sz w:val="20"/>
        </w:rPr>
      </w:pPr>
      <w:r>
        <w:rPr>
          <w:rFonts w:ascii="Times New Roman" w:hAnsi="Times New Roman"/>
          <w:b/>
          <w:sz w:val="20"/>
        </w:rPr>
        <w:t xml:space="preserve">Mergers, Consolidations, Etc. </w:t>
      </w:r>
    </w:p>
    <w:p>
      <w:pPr>
        <w:pStyle w:val="TextBody"/>
        <w:spacing w:before="120" w:after="0"/>
        <w:jc w:val="left"/>
        <w:rPr>
          <w:rFonts w:ascii="Times New Roman" w:hAnsi="Times New Roman"/>
          <w:sz w:val="20"/>
        </w:rPr>
      </w:pPr>
      <w:r>
        <w:rPr>
          <w:rFonts w:ascii="Times New Roman" w:hAnsi="Times New Roman"/>
          <w:sz w:val="20"/>
        </w:rPr>
        <w:t xml:space="preserve">Our articles of incorporation provide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 </w:t>
      </w:r>
    </w:p>
    <w:p>
      <w:pPr>
        <w:pStyle w:val="TextBody"/>
        <w:spacing w:before="360" w:after="0"/>
        <w:jc w:val="left"/>
        <w:rPr>
          <w:rFonts w:ascii="Times New Roman" w:hAnsi="Times New Roman"/>
          <w:b/>
          <w:sz w:val="20"/>
        </w:rPr>
      </w:pPr>
      <w:r>
        <w:rPr>
          <w:rFonts w:ascii="Times New Roman" w:hAnsi="Times New Roman"/>
          <w:b/>
          <w:sz w:val="20"/>
        </w:rPr>
        <w:t xml:space="preserve">Miscellaneous </w:t>
      </w:r>
    </w:p>
    <w:p>
      <w:pPr>
        <w:pStyle w:val="TextBody"/>
        <w:spacing w:before="120" w:after="0"/>
        <w:jc w:val="left"/>
        <w:rPr>
          <w:rFonts w:ascii="Times New Roman" w:hAnsi="Times New Roman"/>
          <w:sz w:val="20"/>
        </w:rPr>
      </w:pPr>
      <w:r>
        <w:rPr>
          <w:rFonts w:ascii="Times New Roman" w:hAnsi="Times New Roman"/>
          <w:sz w:val="20"/>
        </w:rPr>
        <w:t xml:space="preserve">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 </w:t>
      </w:r>
    </w:p>
    <w:p>
      <w:pPr>
        <w:pStyle w:val="TextBody"/>
        <w:spacing w:before="240" w:after="0"/>
        <w:jc w:val="left"/>
        <w:rPr>
          <w:rFonts w:ascii="Times New Roman" w:hAnsi="Times New Roman"/>
          <w:sz w:val="20"/>
        </w:rPr>
      </w:pPr>
      <w:r>
        <w:rPr>
          <w:rFonts w:ascii="Times New Roman" w:hAnsi="Times New Roman"/>
          <w:sz w:val="20"/>
        </w:rPr>
        <w:t xml:space="preserve">The transfer agent and registrar for our Class A common stock is Equiniti Trust Company D/B/A EQ Shareowner Services, P.O. Box 64854, St. Paul, Minnesota 55164-0854. Its telephone number is (888) 883-8903.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0" w:name="toc49739_9"/>
      <w:bookmarkEnd w:id="20"/>
      <w:r>
        <w:rPr>
          <w:rFonts w:ascii="Times New Roman" w:hAnsi="Times New Roman"/>
          <w:b/>
          <w:sz w:val="20"/>
        </w:rPr>
        <w:t xml:space="preserve">PLAN OF DISTRIBUTION </w:t>
      </w:r>
    </w:p>
    <w:p>
      <w:pPr>
        <w:pStyle w:val="TextBody"/>
        <w:spacing w:before="240" w:after="0"/>
        <w:jc w:val="left"/>
        <w:rPr>
          <w:rFonts w:ascii="Times New Roman" w:hAnsi="Times New Roman"/>
          <w:sz w:val="20"/>
        </w:rPr>
      </w:pPr>
      <w:r>
        <w:rPr>
          <w:rFonts w:ascii="Times New Roman" w:hAnsi="Times New Roman"/>
          <w:sz w:val="20"/>
        </w:rPr>
        <w:t xml:space="preserve">We or selling security holders may sell the securities being offered hereby in four ways: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directly to purchasers, customers or suppliers;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underwriters;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through dealers. </w:t>
            </w:r>
          </w:p>
        </w:tc>
      </w:tr>
    </w:tbl>
    <w:p>
      <w:pPr>
        <w:pStyle w:val="TextBody"/>
        <w:spacing w:before="240" w:after="0"/>
        <w:jc w:val="left"/>
        <w:rPr>
          <w:rFonts w:ascii="Times New Roman" w:hAnsi="Times New Roman"/>
          <w:sz w:val="20"/>
        </w:rPr>
      </w:pPr>
      <w:r>
        <w:rPr>
          <w:rFonts w:ascii="Times New Roman" w:hAnsi="Times New Roman"/>
          <w:sz w:val="20"/>
        </w:rPr>
        <w:t xml:space="preserve">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 </w:t>
      </w:r>
    </w:p>
    <w:p>
      <w:pPr>
        <w:pStyle w:val="TextBody"/>
        <w:spacing w:before="240" w:after="0"/>
        <w:jc w:val="left"/>
        <w:rPr>
          <w:rFonts w:ascii="Times New Roman" w:hAnsi="Times New Roman"/>
          <w:sz w:val="20"/>
        </w:rPr>
      </w:pPr>
      <w:r>
        <w:rPr>
          <w:rFonts w:ascii="Times New Roman" w:hAnsi="Times New Roman"/>
          <w:sz w:val="20"/>
        </w:rPr>
        <w:t xml:space="preserve">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 </w:t>
      </w:r>
    </w:p>
    <w:p>
      <w:pPr>
        <w:pStyle w:val="TextBody"/>
        <w:spacing w:before="240" w:after="0"/>
        <w:jc w:val="left"/>
        <w:rPr>
          <w:rFonts w:ascii="Times New Roman" w:hAnsi="Times New Roman"/>
          <w:sz w:val="20"/>
        </w:rPr>
      </w:pPr>
      <w:r>
        <w:rPr>
          <w:rFonts w:ascii="Times New Roman" w:hAnsi="Times New Roman"/>
          <w:sz w:val="20"/>
        </w:rPr>
        <w:t xml:space="preserve">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 </w:t>
      </w:r>
    </w:p>
    <w:p>
      <w:pPr>
        <w:pStyle w:val="TextBody"/>
        <w:spacing w:before="240" w:after="0"/>
        <w:jc w:val="left"/>
        <w:rPr>
          <w:rFonts w:ascii="Times New Roman" w:hAnsi="Times New Roman"/>
          <w:sz w:val="20"/>
        </w:rPr>
      </w:pPr>
      <w:r>
        <w:rPr>
          <w:rFonts w:ascii="Times New Roman" w:hAnsi="Times New Roman"/>
          <w:sz w:val="20"/>
        </w:rPr>
        <w:t xml:space="preserve">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 </w:t>
      </w:r>
    </w:p>
    <w:p>
      <w:pPr>
        <w:pStyle w:val="TextBody"/>
        <w:spacing w:before="240" w:after="0"/>
        <w:jc w:val="left"/>
        <w:rPr>
          <w:rFonts w:ascii="Times New Roman" w:hAnsi="Times New Roman"/>
          <w:sz w:val="20"/>
        </w:rPr>
      </w:pPr>
      <w:r>
        <w:rPr>
          <w:rFonts w:ascii="Times New Roman" w:hAnsi="Times New Roman"/>
          <w:sz w:val="20"/>
        </w:rPr>
        <w:t xml:space="preserve">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 </w:t>
      </w:r>
    </w:p>
    <w:p>
      <w:pPr>
        <w:pStyle w:val="TextBody"/>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spacing w:before="240" w:after="0"/>
        <w:jc w:val="left"/>
        <w:rPr>
          <w:rFonts w:ascii="Times New Roman" w:hAnsi="Times New Roman"/>
          <w:sz w:val="20"/>
        </w:rPr>
      </w:pPr>
      <w:r>
        <w:rPr>
          <w:rFonts w:ascii="Times New Roman" w:hAnsi="Times New Roman"/>
          <w:sz w:val="20"/>
        </w:rPr>
        <w:t xml:space="preserve">Any underwriter, agent or dealer utilized in the initial offering of securities will not confirm sales to accounts over which it exercises discretionary authority without the prior specific written approval of its customer.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1" w:name="toc49739_10"/>
      <w:bookmarkEnd w:id="21"/>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As to matters governed by Pennsylvania law, Elizabeth Wideman, Esquire, Senior Vice President, Senior Deputy General Counsel and Assistant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LLP will represent the underwriters. </w:t>
      </w:r>
    </w:p>
    <w:p>
      <w:pPr>
        <w:pStyle w:val="TextBody"/>
        <w:spacing w:before="480" w:after="0"/>
        <w:jc w:val="center"/>
        <w:rPr>
          <w:rFonts w:ascii="Times New Roman" w:hAnsi="Times New Roman"/>
          <w:b/>
          <w:sz w:val="20"/>
        </w:rPr>
      </w:pPr>
      <w:bookmarkStart w:id="22" w:name="toc49739_11"/>
      <w:bookmarkEnd w:id="22"/>
      <w:r>
        <w:rPr>
          <w:rFonts w:ascii="Times New Roman" w:hAnsi="Times New Roman"/>
          <w:b/>
          <w:sz w:val="20"/>
        </w:rPr>
        <w:t xml:space="preserve">EXPERTS </w:t>
      </w:r>
    </w:p>
    <w:p>
      <w:pPr>
        <w:pStyle w:val="TextBody"/>
        <w:spacing w:before="240" w:after="0"/>
        <w:jc w:val="left"/>
        <w:rPr>
          <w:rFonts w:ascii="Times New Roman" w:hAnsi="Times New Roman"/>
          <w:sz w:val="20"/>
        </w:rPr>
      </w:pPr>
      <w:r>
        <w:rPr>
          <w:rFonts w:ascii="Times New Roman" w:hAnsi="Times New Roman"/>
          <w:sz w:val="20"/>
        </w:rPr>
        <w:t xml:space="preserve">The financial statements of Comcast Corporation as of December 31, 2021 and 2020, and for each of the three years in the period ended December 31, 2021, incorporated by reference in this Prospectus by reference to Comcast Corporations annual report on Form 10-K for the year ended December 31, 2021, and the effectiveness of Comcast Corporations internal control over financial reporting have been audited by Deloitte &amp; Touche LLP, an independent registered public accounting firm, as stated in their report. Such financial statements are incorporated by reference in reliance upon the report of such firm given upon their authority as experts in accounting and auditing. </w:t>
      </w:r>
    </w:p>
    <w:p>
      <w:pPr>
        <w:pStyle w:val="TextBody"/>
        <w:spacing w:before="480" w:after="0"/>
        <w:jc w:val="center"/>
        <w:rPr>
          <w:rFonts w:ascii="Times New Roman" w:hAnsi="Times New Roman"/>
          <w:b/>
          <w:sz w:val="20"/>
        </w:rPr>
      </w:pPr>
      <w:bookmarkStart w:id="23" w:name="toc49739_12"/>
      <w:bookmarkEnd w:id="23"/>
      <w:r>
        <w:rPr>
          <w:rFonts w:ascii="Times New Roman" w:hAnsi="Times New Roman"/>
          <w:b/>
          <w:sz w:val="20"/>
        </w:rPr>
        <w:t xml:space="preserve">AVAILABLE INFORMATION </w:t>
      </w:r>
    </w:p>
    <w:p>
      <w:pPr>
        <w:pStyle w:val="TextBody"/>
        <w:spacing w:before="240" w:after="0"/>
        <w:jc w:val="left"/>
        <w:rPr>
          <w:rFonts w:ascii="Times New Roman" w:hAnsi="Times New Roman"/>
          <w:sz w:val="20"/>
        </w:rPr>
      </w:pPr>
      <w:r>
        <w:rPr>
          <w:rFonts w:ascii="Times New Roman" w:hAnsi="Times New Roman"/>
          <w:sz w:val="20"/>
        </w:rPr>
        <w:t xml:space="preserve">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 </w:t>
      </w:r>
    </w:p>
    <w:p>
      <w:pPr>
        <w:pStyle w:val="TextBody"/>
        <w:spacing w:before="240" w:after="0"/>
        <w:jc w:val="left"/>
        <w:rPr>
          <w:rFonts w:ascii="Times New Roman" w:hAnsi="Times New Roman"/>
          <w:sz w:val="20"/>
        </w:rPr>
      </w:pPr>
      <w:r>
        <w:rPr>
          <w:rFonts w:ascii="Times New Roman" w:hAnsi="Times New Roman"/>
          <w:sz w:val="20"/>
        </w:rPr>
        <w:t xml:space="preserve">Comcast files annual and quarterly reports and separate special reports and other information with the SEC. Comcast Cable and NBCUniversal do not currently file information with the SEC. Although Comcast Cable and NBCUniversal would normally be required to file information with the SEC on an ongoing basis, we expect that they will continue to be exempt from this filing obligation for as long as we continue to file our information with the SEC. Our SEC filings, including the complete registration statement and all of the exhibits to it, are available through the SECs website at http://www.sec.gov. </w:t>
      </w:r>
    </w:p>
    <w:p>
      <w:pPr>
        <w:pStyle w:val="TextBody"/>
        <w:spacing w:before="240" w:after="0"/>
        <w:jc w:val="left"/>
        <w:rPr>
          <w:rFonts w:ascii="Times New Roman" w:hAnsi="Times New Roman"/>
          <w:sz w:val="20"/>
        </w:rPr>
      </w:pPr>
      <w:r>
        <w:rPr>
          <w:rFonts w:ascii="Times New Roman" w:hAnsi="Times New Roman"/>
          <w:sz w:val="20"/>
        </w:rPr>
        <w:t xml:space="preserve">We have not authorized anyone to provide any information other than that contained or incorporated by reference in this prospectus, any prospectus supplement or any free writing prospectus prepared by or on behalf of us or to which we have referred you.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or any such free writing prospectus is accurate as of any date other than their respective dates.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4" w:name="toc49739_13"/>
      <w:bookmarkEnd w:id="24"/>
      <w:r>
        <w:rPr>
          <w:rFonts w:ascii="Times New Roman" w:hAnsi="Times New Roman"/>
          <w:b/>
          <w:sz w:val="20"/>
        </w:rPr>
        <w:t xml:space="preserve">INCORPORATION OF CERTAIN DOCUMENTS BY REFERENCE </w:t>
      </w:r>
    </w:p>
    <w:p>
      <w:pPr>
        <w:pStyle w:val="TextBody"/>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 </w:t>
      </w:r>
    </w:p>
    <w:p>
      <w:pPr>
        <w:pStyle w:val="TextBody"/>
        <w:spacing w:before="240" w:after="0"/>
        <w:jc w:val="left"/>
        <w:rPr>
          <w:rFonts w:ascii="Times New Roman" w:hAnsi="Times New Roman"/>
          <w:sz w:val="20"/>
        </w:rPr>
      </w:pPr>
      <w:r>
        <w:rPr>
          <w:rFonts w:ascii="Times New Roman" w:hAnsi="Times New Roman"/>
          <w:sz w:val="20"/>
        </w:rPr>
        <w:t xml:space="preserve">This prospectus incorporates by reference the documents set forth below that we have previously filed with the SEC: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Comcasts Annual Report on </w:t>
            </w:r>
            <w:hyperlink r:id="rId14">
              <w:r>
                <w:rPr>
                  <w:rStyle w:val="InternetLink"/>
                  <w:rFonts w:ascii="Times New Roman" w:hAnsi="Times New Roman"/>
                  <w:sz w:val="20"/>
                </w:rPr>
                <w:t>Form 10-K</w:t>
              </w:r>
            </w:hyperlink>
            <w:r>
              <w:rPr>
                <w:rFonts w:ascii="Times New Roman" w:hAnsi="Times New Roman"/>
                <w:sz w:val="20"/>
              </w:rPr>
              <w:t xml:space="preserve"> for the year ended December 31, 2021, filed on February 2,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pPr>
            <w:r>
              <w:rPr>
                <w:rFonts w:ascii="Times New Roman" w:hAnsi="Times New Roman"/>
                <w:sz w:val="20"/>
              </w:rPr>
              <w:t xml:space="preserve">Comcasts Quarterly Reports on Form 10-Q for the quarters ended </w:t>
            </w:r>
            <w:hyperlink r:id="rId15">
              <w:r>
                <w:rPr>
                  <w:rStyle w:val="InternetLink"/>
                  <w:rFonts w:ascii="Times New Roman" w:hAnsi="Times New Roman"/>
                  <w:sz w:val="20"/>
                </w:rPr>
                <w:t>March 31, 2022</w:t>
              </w:r>
            </w:hyperlink>
            <w:r>
              <w:rPr>
                <w:rFonts w:ascii="Times New Roman" w:hAnsi="Times New Roman"/>
                <w:sz w:val="20"/>
              </w:rPr>
              <w:t xml:space="preserve"> and </w:t>
            </w:r>
            <w:hyperlink r:id="rId16">
              <w:r>
                <w:rPr>
                  <w:rStyle w:val="InternetLink"/>
                  <w:rFonts w:ascii="Times New Roman" w:hAnsi="Times New Roman"/>
                  <w:sz w:val="20"/>
                </w:rPr>
                <w:t>June 30, 2022</w:t>
              </w:r>
            </w:hyperlink>
            <w:r>
              <w:rPr>
                <w:rFonts w:ascii="Times New Roman" w:hAnsi="Times New Roman"/>
                <w:sz w:val="20"/>
              </w:rPr>
              <w:t xml:space="preserve">, filed on April 28, 2022 and July 28, 2022, respectively.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pPr>
            <w:r>
              <w:rPr>
                <w:rFonts w:ascii="Times New Roman" w:hAnsi="Times New Roman"/>
                <w:sz w:val="20"/>
              </w:rPr>
              <w:t xml:space="preserve">Comcasts Current Report on Form 8-K filed on </w:t>
            </w:r>
            <w:hyperlink r:id="rId17">
              <w:r>
                <w:rPr>
                  <w:rStyle w:val="InternetLink"/>
                  <w:rFonts w:ascii="Times New Roman" w:hAnsi="Times New Roman"/>
                  <w:sz w:val="20"/>
                </w:rPr>
                <w:t>June 3, 2022</w:t>
              </w:r>
            </w:hyperlink>
            <w:r>
              <w:rPr>
                <w:rFonts w:ascii="Times New Roman" w:hAnsi="Times New Roman"/>
                <w:sz w:val="20"/>
              </w:rPr>
              <w:t xml:space="preserv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The sections of Comcasts Definitive Proxy Statement on </w:t>
            </w:r>
            <w:hyperlink r:id="rId18">
              <w:r>
                <w:rPr>
                  <w:rStyle w:val="InternetLink"/>
                  <w:rFonts w:ascii="Times New Roman" w:hAnsi="Times New Roman"/>
                  <w:sz w:val="20"/>
                </w:rPr>
                <w:t>Schedule 14A</w:t>
              </w:r>
            </w:hyperlink>
            <w:r>
              <w:rPr>
                <w:rFonts w:ascii="Times New Roman" w:hAnsi="Times New Roman"/>
                <w:sz w:val="20"/>
              </w:rPr>
              <w:t xml:space="preserve"> for the 2022 annual meeting of shareholders incorporated by reference in Comcasts Annual Report on </w:t>
            </w:r>
            <w:hyperlink r:id="rId19">
              <w:r>
                <w:rPr>
                  <w:rStyle w:val="InternetLink"/>
                  <w:rFonts w:ascii="Times New Roman" w:hAnsi="Times New Roman"/>
                  <w:sz w:val="20"/>
                </w:rPr>
                <w:t>Form 10-K</w:t>
              </w:r>
            </w:hyperlink>
            <w:r>
              <w:rPr>
                <w:rFonts w:ascii="Times New Roman" w:hAnsi="Times New Roman"/>
                <w:sz w:val="20"/>
              </w:rPr>
              <w:t xml:space="preserve"> for the year ended December 31,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The description of our capital stock included in Item 3.02 under the caption Amended and Restated Description of our Class A Common Stock in Comcasts Current Report on </w:t>
            </w:r>
            <w:hyperlink r:id="rId20">
              <w:r>
                <w:rPr>
                  <w:rStyle w:val="InternetLink"/>
                  <w:rFonts w:ascii="Times New Roman" w:hAnsi="Times New Roman"/>
                  <w:sz w:val="20"/>
                </w:rPr>
                <w:t>Form 8-K</w:t>
              </w:r>
            </w:hyperlink>
            <w:r>
              <w:rPr>
                <w:rFonts w:ascii="Times New Roman" w:hAnsi="Times New Roman"/>
                <w:sz w:val="20"/>
              </w:rPr>
              <w:t xml:space="preserve"> filed on December 15, 2015, as the same may be further amended from time to time. </w:t>
            </w:r>
          </w:p>
        </w:tc>
      </w:tr>
    </w:tbl>
    <w:p>
      <w:pPr>
        <w:pStyle w:val="TextBody"/>
        <w:spacing w:before="240" w:after="0"/>
        <w:jc w:val="left"/>
        <w:rPr>
          <w:rFonts w:ascii="Times New Roman" w:hAnsi="Times New Roman"/>
          <w:sz w:val="20"/>
        </w:rPr>
      </w:pPr>
      <w:r>
        <w:rPr>
          <w:rFonts w:ascii="Times New Roman" w:hAnsi="Times New Roman"/>
          <w:sz w:val="20"/>
        </w:rPr>
        <w:t xml:space="preserve">We also incorporate by reference into this prospectus additional documents that we may file with the SEC under Sections 13(a), 13(c), 14 or 15(d) of the Exchange Act until we sell all of the securities we are offering. Any statement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0" w:after="0"/>
        <w:jc w:val="center"/>
        <w:rPr/>
      </w:pPr>
      <w:r>
        <w:rPr/>
        <w:drawing>
          <wp:inline distT="0" distB="0" distL="0" distR="0">
            <wp:extent cx="200660" cy="7048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21"/>
                    <a:stretch>
                      <a:fillRect/>
                    </a:stretch>
                  </pic:blipFill>
                  <pic:spPr bwMode="auto">
                    <a:xfrm>
                      <a:off x="0" y="0"/>
                      <a:ext cx="200660" cy="70485"/>
                    </a:xfrm>
                    <a:prstGeom prst="rect">
                      <a:avLst/>
                    </a:prstGeom>
                  </pic:spPr>
                </pic:pic>
              </a:graphicData>
            </a:graphic>
          </wp:inline>
        </w:drawing>
      </w:r>
      <w:r>
        <w:rPr/>
        <w:t xml:space="preserve"> </w:t>
      </w:r>
    </w:p>
    <w:p>
      <w:pPr>
        <w:pStyle w:val="TextBody"/>
        <w:spacing w:before="1600" w:after="0"/>
        <w:jc w:val="center"/>
        <w:rPr>
          <w:rFonts w:ascii="Times New Roman" w:hAnsi="Times New Roman"/>
          <w:b/>
          <w:sz w:val="32"/>
        </w:rPr>
      </w:pPr>
      <w:r>
        <w:rPr>
          <w:rFonts w:ascii="Times New Roman" w:hAnsi="Times New Roman"/>
          <w:b/>
          <w:sz w:val="32"/>
        </w:rPr>
        <w:t xml:space="preserve">$1,000,000,000 4.550% Notes due 2029 </w:t>
      </w:r>
    </w:p>
    <w:p>
      <w:pPr>
        <w:pStyle w:val="TextBody"/>
        <w:spacing w:before="120" w:after="0"/>
        <w:jc w:val="center"/>
        <w:rPr>
          <w:rFonts w:ascii="Times New Roman" w:hAnsi="Times New Roman"/>
          <w:b/>
          <w:sz w:val="32"/>
        </w:rPr>
      </w:pPr>
      <w:r>
        <w:rPr>
          <w:rFonts w:ascii="Times New Roman" w:hAnsi="Times New Roman"/>
          <w:b/>
          <w:sz w:val="32"/>
        </w:rPr>
        <w:t xml:space="preserve">$1,000,000,000 4.800% Notes due 2033 </w:t>
      </w:r>
    </w:p>
    <w:p>
      <w:pPr>
        <w:pStyle w:val="TextBody"/>
        <w:spacing w:before="120" w:after="0"/>
        <w:jc w:val="center"/>
        <w:rPr>
          <w:rFonts w:ascii="Times New Roman" w:hAnsi="Times New Roman"/>
          <w:b/>
          <w:sz w:val="32"/>
        </w:rPr>
      </w:pPr>
      <w:r>
        <w:rPr>
          <w:rFonts w:ascii="Times New Roman" w:hAnsi="Times New Roman"/>
          <w:b/>
          <w:sz w:val="32"/>
        </w:rPr>
        <w:t xml:space="preserve">$1,600,000,000 5.350% Notes due 2053 </w:t>
      </w:r>
    </w:p>
    <w:p>
      <w:pPr>
        <w:pStyle w:val="TextBody"/>
        <w:spacing w:before="120" w:after="0"/>
        <w:jc w:val="center"/>
        <w:rPr>
          <w:rFonts w:ascii="Times New Roman" w:hAnsi="Times New Roman"/>
          <w:b/>
          <w:sz w:val="32"/>
        </w:rPr>
      </w:pPr>
      <w:r>
        <w:rPr>
          <w:rFonts w:ascii="Times New Roman" w:hAnsi="Times New Roman"/>
          <w:b/>
          <w:sz w:val="32"/>
        </w:rPr>
        <w:t xml:space="preserve">$1,400,000,000 5.500% Notes due 2064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3200" w:after="0"/>
        <w:jc w:val="center"/>
        <w:rPr>
          <w:rFonts w:ascii="Times New Roman" w:hAnsi="Times New Roman"/>
          <w:b/>
          <w:i/>
          <w:sz w:val="24"/>
        </w:rPr>
      </w:pPr>
      <w:r>
        <w:rPr>
          <w:rFonts w:ascii="Times New Roman" w:hAnsi="Times New Roman"/>
          <w:b/>
          <w:i/>
          <w:sz w:val="24"/>
        </w:rPr>
        <w:t xml:space="preserve">Joint Book-Running Managers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864"/>
        <w:gridCol w:w="88"/>
        <w:gridCol w:w="2303"/>
        <w:gridCol w:w="88"/>
        <w:gridCol w:w="2168"/>
        <w:gridCol w:w="88"/>
        <w:gridCol w:w="2606"/>
      </w:tblGrid>
      <w:tr>
        <w:trPr/>
        <w:tc>
          <w:tcPr>
            <w:tcW w:w="2864"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c>
          <w:tcPr>
            <w:tcW w:w="2303"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c>
          <w:tcPr>
            <w:tcW w:w="2168" w:type="dxa"/>
            <w:tcBorders/>
            <w:shd w:fill="auto" w:val="clear"/>
            <w:vAlign w:val="center"/>
          </w:tcPr>
          <w:p>
            <w:pPr>
              <w:pStyle w:val="TableContents"/>
              <w:spacing w:before="0" w:after="283"/>
              <w:rPr>
                <w:sz w:val="4"/>
                <w:szCs w:val="4"/>
              </w:rPr>
            </w:pPr>
            <w:r>
              <w:rPr>
                <w:sz w:val="4"/>
                <w:szCs w:val="4"/>
              </w:rPr>
            </w:r>
          </w:p>
        </w:tc>
        <w:tc>
          <w:tcPr>
            <w:tcW w:w="88" w:type="dxa"/>
            <w:tcBorders/>
            <w:shd w:fill="auto" w:val="clear"/>
            <w:vAlign w:val="bottom"/>
          </w:tcPr>
          <w:p>
            <w:pPr>
              <w:pStyle w:val="TableContents"/>
              <w:spacing w:before="0" w:after="283"/>
              <w:rPr>
                <w:sz w:val="4"/>
                <w:szCs w:val="4"/>
              </w:rPr>
            </w:pPr>
            <w:r>
              <w:rPr>
                <w:sz w:val="4"/>
                <w:szCs w:val="4"/>
              </w:rPr>
            </w:r>
          </w:p>
        </w:tc>
        <w:tc>
          <w:tcPr>
            <w:tcW w:w="2606" w:type="dxa"/>
            <w:tcBorders/>
            <w:shd w:fill="auto" w:val="clear"/>
            <w:vAlign w:val="center"/>
          </w:tcPr>
          <w:p>
            <w:pPr>
              <w:pStyle w:val="TableContents"/>
              <w:spacing w:before="0" w:after="283"/>
              <w:rPr>
                <w:sz w:val="4"/>
                <w:szCs w:val="4"/>
              </w:rPr>
            </w:pPr>
            <w:r>
              <w:rPr>
                <w:sz w:val="4"/>
                <w:szCs w:val="4"/>
              </w:rPr>
            </w:r>
          </w:p>
        </w:tc>
      </w:tr>
      <w:tr>
        <w:trPr/>
        <w:tc>
          <w:tcPr>
            <w:tcW w:w="2864" w:type="dxa"/>
            <w:tcBorders/>
            <w:shd w:fill="auto" w:val="clear"/>
          </w:tcPr>
          <w:p>
            <w:pPr>
              <w:pStyle w:val="TableContents"/>
              <w:spacing w:before="0" w:after="283"/>
              <w:jc w:val="center"/>
              <w:rPr>
                <w:b/>
              </w:rPr>
            </w:pPr>
            <w:r>
              <w:rPr>
                <w:b/>
              </w:rPr>
              <w:t>Goldman Sachs &amp; Co. LLC</w:t>
            </w:r>
          </w:p>
        </w:tc>
        <w:tc>
          <w:tcPr>
            <w:tcW w:w="88" w:type="dxa"/>
            <w:tcBorders/>
            <w:shd w:fill="auto" w:val="clear"/>
            <w:vAlign w:val="bottom"/>
          </w:tcPr>
          <w:p>
            <w:pPr>
              <w:pStyle w:val="TableContents"/>
              <w:spacing w:before="0" w:after="283"/>
              <w:rPr/>
            </w:pPr>
            <w:r>
              <w:rPr/>
              <w:t> </w:t>
            </w:r>
          </w:p>
        </w:tc>
        <w:tc>
          <w:tcPr>
            <w:tcW w:w="2303" w:type="dxa"/>
            <w:tcBorders/>
            <w:shd w:fill="auto" w:val="clear"/>
          </w:tcPr>
          <w:p>
            <w:pPr>
              <w:pStyle w:val="TableContents"/>
              <w:spacing w:before="0" w:after="283"/>
              <w:jc w:val="center"/>
              <w:rPr>
                <w:b/>
              </w:rPr>
            </w:pPr>
            <w:r>
              <w:rPr>
                <w:b/>
              </w:rPr>
              <w:t>Morgan Stanley</w:t>
            </w:r>
          </w:p>
        </w:tc>
        <w:tc>
          <w:tcPr>
            <w:tcW w:w="88" w:type="dxa"/>
            <w:tcBorders/>
            <w:shd w:fill="auto" w:val="clear"/>
            <w:vAlign w:val="bottom"/>
          </w:tcPr>
          <w:p>
            <w:pPr>
              <w:pStyle w:val="TableContents"/>
              <w:spacing w:before="0" w:after="283"/>
              <w:rPr/>
            </w:pPr>
            <w:r>
              <w:rPr/>
              <w:t> </w:t>
            </w:r>
          </w:p>
        </w:tc>
        <w:tc>
          <w:tcPr>
            <w:tcW w:w="2168" w:type="dxa"/>
            <w:tcBorders/>
            <w:shd w:fill="auto" w:val="clear"/>
          </w:tcPr>
          <w:p>
            <w:pPr>
              <w:pStyle w:val="TableContents"/>
              <w:spacing w:before="0" w:after="283"/>
              <w:jc w:val="center"/>
              <w:rPr>
                <w:b/>
              </w:rPr>
            </w:pPr>
            <w:r>
              <w:rPr>
                <w:b/>
              </w:rPr>
              <w:t>SMBC Nikko</w:t>
            </w:r>
          </w:p>
        </w:tc>
        <w:tc>
          <w:tcPr>
            <w:tcW w:w="88" w:type="dxa"/>
            <w:tcBorders/>
            <w:shd w:fill="auto" w:val="clear"/>
            <w:vAlign w:val="bottom"/>
          </w:tcPr>
          <w:p>
            <w:pPr>
              <w:pStyle w:val="TableContents"/>
              <w:spacing w:before="0" w:after="283"/>
              <w:rPr/>
            </w:pPr>
            <w:r>
              <w:rPr/>
              <w:t> </w:t>
            </w:r>
          </w:p>
        </w:tc>
        <w:tc>
          <w:tcPr>
            <w:tcW w:w="2606" w:type="dxa"/>
            <w:tcBorders/>
            <w:shd w:fill="auto" w:val="clear"/>
          </w:tcPr>
          <w:p>
            <w:pPr>
              <w:pStyle w:val="TableContents"/>
              <w:spacing w:before="0" w:after="283"/>
              <w:jc w:val="center"/>
              <w:rPr>
                <w:b/>
              </w:rPr>
            </w:pPr>
            <w:r>
              <w:rPr>
                <w:b/>
              </w:rPr>
              <w:t>Wells Fargo Securities</w:t>
            </w:r>
          </w:p>
        </w:tc>
      </w:tr>
      <w:tr>
        <w:trPr>
          <w:trHeight w:val="120" w:hRule="atLeast"/>
        </w:trPr>
        <w:tc>
          <w:tcPr>
            <w:tcW w:w="5255" w:type="dxa"/>
            <w:gridSpan w:val="3"/>
            <w:tcBorders/>
            <w:shd w:fill="auto" w:val="clear"/>
            <w:vAlign w:val="center"/>
          </w:tcPr>
          <w:p>
            <w:pPr>
              <w:pStyle w:val="TableContents"/>
              <w:spacing w:before="0" w:after="283"/>
              <w:rPr>
                <w:sz w:val="4"/>
                <w:szCs w:val="4"/>
              </w:rPr>
            </w:pPr>
            <w:r>
              <w:rPr>
                <w:sz w:val="4"/>
                <w:szCs w:val="4"/>
              </w:rPr>
            </w:r>
          </w:p>
        </w:tc>
        <w:tc>
          <w:tcPr>
            <w:tcW w:w="4950" w:type="dxa"/>
            <w:gridSpan w:val="4"/>
            <w:tcBorders/>
            <w:shd w:fill="auto" w:val="clear"/>
            <w:vAlign w:val="center"/>
          </w:tcPr>
          <w:p>
            <w:pPr>
              <w:pStyle w:val="TableContents"/>
              <w:spacing w:before="0" w:after="283"/>
              <w:rPr>
                <w:sz w:val="4"/>
                <w:szCs w:val="4"/>
              </w:rPr>
            </w:pPr>
            <w:r>
              <w:rPr>
                <w:sz w:val="4"/>
                <w:szCs w:val="4"/>
              </w:rPr>
            </w:r>
          </w:p>
        </w:tc>
      </w:tr>
      <w:tr>
        <w:trPr/>
        <w:tc>
          <w:tcPr>
            <w:tcW w:w="5255" w:type="dxa"/>
            <w:gridSpan w:val="3"/>
            <w:tcBorders/>
            <w:shd w:fill="auto" w:val="clear"/>
          </w:tcPr>
          <w:p>
            <w:pPr>
              <w:pStyle w:val="TableContents"/>
              <w:spacing w:before="0" w:after="283"/>
              <w:jc w:val="center"/>
              <w:rPr>
                <w:b/>
              </w:rPr>
            </w:pPr>
            <w:r>
              <w:rPr>
                <w:b/>
              </w:rPr>
              <w:t>Mizuho</w:t>
            </w:r>
          </w:p>
        </w:tc>
        <w:tc>
          <w:tcPr>
            <w:tcW w:w="88" w:type="dxa"/>
            <w:tcBorders/>
            <w:shd w:fill="auto" w:val="clear"/>
            <w:vAlign w:val="bottom"/>
          </w:tcPr>
          <w:p>
            <w:pPr>
              <w:pStyle w:val="TableContents"/>
              <w:spacing w:before="0" w:after="283"/>
              <w:rPr/>
            </w:pPr>
            <w:r>
              <w:rPr/>
              <w:t> </w:t>
            </w:r>
          </w:p>
        </w:tc>
        <w:tc>
          <w:tcPr>
            <w:tcW w:w="4862" w:type="dxa"/>
            <w:gridSpan w:val="3"/>
            <w:tcBorders/>
            <w:shd w:fill="auto" w:val="clear"/>
          </w:tcPr>
          <w:p>
            <w:pPr>
              <w:pStyle w:val="TableContents"/>
              <w:spacing w:before="0" w:after="283"/>
              <w:jc w:val="center"/>
              <w:rPr>
                <w:b/>
              </w:rPr>
            </w:pPr>
            <w:r>
              <w:rPr>
                <w:b/>
              </w:rPr>
              <w:t>US Bancorp</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480" w:after="0"/>
        <w:jc w:val="center"/>
        <w:rPr>
          <w:rFonts w:ascii="Times New Roman" w:hAnsi="Times New Roman"/>
          <w:b/>
          <w:sz w:val="20"/>
        </w:rPr>
      </w:pPr>
      <w:r>
        <w:rPr>
          <w:rFonts w:ascii="Times New Roman" w:hAnsi="Times New Roman"/>
          <w:b/>
          <w:sz w:val="20"/>
        </w:rPr>
        <w:t xml:space="preserve">May 1, 2023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16" w:space="1" w:color="000000"/>
        </w:pBdr>
        <w:spacing w:lineRule="atLeast" w:line="141" w:before="0" w:after="40"/>
        <w:jc w:val="left"/>
        <w:rPr/>
      </w:pPr>
      <w:r>
        <w:rPr/>
        <w:t> </w:t>
      </w:r>
      <w:r>
        <w:br w:type="page"/>
      </w:r>
    </w:p>
    <w:p>
      <w:pPr>
        <w:pStyle w:val="TextBody"/>
        <w:spacing w:before="0" w:after="0"/>
        <w:jc w:val="right"/>
        <w:rPr>
          <w:rFonts w:ascii="Times New Roman" w:hAnsi="Times New Roman"/>
          <w:b/>
          <w:sz w:val="20"/>
        </w:rPr>
      </w:pPr>
      <w:bookmarkStart w:id="25" w:name="d49739dexfilingfees.htm"/>
      <w:bookmarkStart w:id="26" w:name="ksd49739dexfilingfees"/>
      <w:bookmarkEnd w:id="25"/>
      <w:bookmarkEnd w:id="26"/>
      <w:r>
        <w:rPr>
          <w:rFonts w:ascii="Times New Roman" w:hAnsi="Times New Roman"/>
          <w:b/>
          <w:sz w:val="20"/>
        </w:rPr>
        <w:t xml:space="preserve">Exhibit 107 </w:t>
      </w:r>
    </w:p>
    <w:p>
      <w:pPr>
        <w:pStyle w:val="TextBody"/>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spacing w:before="240" w:after="0"/>
        <w:jc w:val="center"/>
        <w:rPr>
          <w:rFonts w:ascii="Times New Roman" w:hAnsi="Times New Roman"/>
          <w:b/>
          <w:sz w:val="20"/>
        </w:rPr>
      </w:pPr>
      <w:r>
        <w:rPr>
          <w:rFonts w:ascii="Times New Roman" w:hAnsi="Times New Roman"/>
          <w:b/>
          <w:sz w:val="20"/>
        </w:rPr>
        <w:t xml:space="preserve">FORM S-3 </w:t>
      </w:r>
    </w:p>
    <w:p>
      <w:pPr>
        <w:pStyle w:val="TextBody"/>
        <w:spacing w:before="0" w:after="0"/>
        <w:jc w:val="center"/>
        <w:rPr>
          <w:rFonts w:ascii="Times New Roman" w:hAnsi="Times New Roman"/>
          <w:sz w:val="20"/>
        </w:rPr>
      </w:pPr>
      <w:r>
        <w:rPr>
          <w:rFonts w:ascii="Times New Roman" w:hAnsi="Times New Roman"/>
          <w:sz w:val="20"/>
        </w:rPr>
        <w:t xml:space="preserve">(Form Type) </w:t>
      </w:r>
    </w:p>
    <w:p>
      <w:pPr>
        <w:pStyle w:val="TextBody"/>
        <w:spacing w:before="240" w:after="0"/>
        <w:jc w:val="center"/>
        <w:rPr>
          <w:rFonts w:ascii="Times New Roman" w:hAnsi="Times New Roman"/>
          <w:sz w:val="20"/>
        </w:rPr>
      </w:pPr>
      <w:r>
        <w:rPr>
          <w:rFonts w:ascii="Times New Roman" w:hAnsi="Times New Roman"/>
          <w:sz w:val="20"/>
        </w:rPr>
        <w:t xml:space="preserve">Issuer: </w:t>
      </w:r>
    </w:p>
    <w:p>
      <w:pPr>
        <w:pStyle w:val="TextBody"/>
        <w:spacing w:before="0" w:after="0"/>
        <w:jc w:val="center"/>
        <w:rPr>
          <w:rFonts w:ascii="Times New Roman" w:hAnsi="Times New Roman"/>
          <w:b/>
          <w:sz w:val="20"/>
        </w:rPr>
      </w:pPr>
      <w:r>
        <w:rPr>
          <w:rFonts w:ascii="Times New Roman" w:hAnsi="Times New Roman"/>
          <w:b/>
          <w:sz w:val="20"/>
        </w:rPr>
        <w:t xml:space="preserve">Comcast Corporation </w:t>
      </w:r>
    </w:p>
    <w:p>
      <w:pPr>
        <w:pStyle w:val="TextBody"/>
        <w:spacing w:before="240" w:after="0"/>
        <w:jc w:val="center"/>
        <w:rPr>
          <w:rFonts w:ascii="Times New Roman" w:hAnsi="Times New Roman"/>
          <w:sz w:val="20"/>
        </w:rPr>
      </w:pPr>
      <w:r>
        <w:rPr>
          <w:rFonts w:ascii="Times New Roman" w:hAnsi="Times New Roman"/>
          <w:sz w:val="20"/>
        </w:rPr>
        <w:t xml:space="preserve">Guarantors: </w:t>
      </w:r>
    </w:p>
    <w:p>
      <w:pPr>
        <w:pStyle w:val="TextBody"/>
        <w:spacing w:before="0" w:after="0"/>
        <w:jc w:val="center"/>
        <w:rPr>
          <w:rFonts w:ascii="Times New Roman" w:hAnsi="Times New Roman"/>
          <w:b/>
          <w:sz w:val="20"/>
        </w:rPr>
      </w:pPr>
      <w:r>
        <w:rPr>
          <w:rFonts w:ascii="Times New Roman" w:hAnsi="Times New Roman"/>
          <w:b/>
          <w:sz w:val="20"/>
        </w:rPr>
        <w:t xml:space="preserve">Comcast Cable Communications, LLC </w:t>
      </w:r>
    </w:p>
    <w:p>
      <w:pPr>
        <w:pStyle w:val="TextBody"/>
        <w:spacing w:before="0" w:after="0"/>
        <w:jc w:val="center"/>
        <w:rPr>
          <w:rFonts w:ascii="Times New Roman" w:hAnsi="Times New Roman"/>
          <w:b/>
          <w:sz w:val="20"/>
        </w:rPr>
      </w:pPr>
      <w:r>
        <w:rPr>
          <w:rFonts w:ascii="Times New Roman" w:hAnsi="Times New Roman"/>
          <w:b/>
          <w:sz w:val="20"/>
        </w:rPr>
        <w:t xml:space="preserve">NBCUniversal Media, LLC </w:t>
      </w:r>
    </w:p>
    <w:p>
      <w:pPr>
        <w:pStyle w:val="TextBody"/>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spacing w:before="240" w:after="0"/>
        <w:jc w:val="center"/>
        <w:rPr>
          <w:rFonts w:ascii="Times New Roman" w:hAnsi="Times New Roman"/>
          <w:sz w:val="20"/>
          <w:u w:val="single"/>
        </w:rPr>
      </w:pPr>
      <w:r>
        <w:rPr>
          <w:rFonts w:ascii="Times New Roman" w:hAnsi="Times New Roman"/>
          <w:sz w:val="20"/>
          <w:u w:val="single"/>
        </w:rPr>
        <w:t xml:space="preserve">Table 1: Newly Registered Securities </w:t>
      </w:r>
    </w:p>
    <w:p>
      <w:pPr>
        <w:pStyle w:val="TextBody"/>
        <w:spacing w:before="0" w:after="0"/>
        <w:jc w:val="left"/>
        <w:rPr/>
      </w:pPr>
      <w:r>
        <w:rPr/>
        <w:t> </w:t>
      </w:r>
    </w:p>
    <w:tbl>
      <w:tblPr>
        <w:tblW w:w="12750" w:type="dxa"/>
        <w:jc w:val="left"/>
        <w:tblInd w:w="0" w:type="dxa"/>
        <w:tblCellMar>
          <w:top w:w="0" w:type="dxa"/>
          <w:left w:w="0" w:type="dxa"/>
          <w:bottom w:w="0" w:type="dxa"/>
          <w:right w:w="0" w:type="dxa"/>
        </w:tblCellMar>
      </w:tblPr>
      <w:tblGrid>
        <w:gridCol w:w="380"/>
        <w:gridCol w:w="60"/>
        <w:gridCol w:w="1040"/>
        <w:gridCol w:w="60"/>
        <w:gridCol w:w="2375"/>
        <w:gridCol w:w="60"/>
        <w:gridCol w:w="1505"/>
        <w:gridCol w:w="60"/>
        <w:gridCol w:w="1580"/>
        <w:gridCol w:w="60"/>
        <w:gridCol w:w="1370"/>
        <w:gridCol w:w="60"/>
        <w:gridCol w:w="1580"/>
        <w:gridCol w:w="60"/>
        <w:gridCol w:w="1220"/>
        <w:gridCol w:w="60"/>
        <w:gridCol w:w="1220"/>
      </w:tblGrid>
      <w:tr>
        <w:trPr/>
        <w:tc>
          <w:tcPr>
            <w:tcW w:w="3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0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r>
      <w:tr>
        <w:trPr>
          <w:trHeight w:val="15" w:hRule="atLeast"/>
        </w:trPr>
        <w:tc>
          <w:tcPr>
            <w:tcW w:w="38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110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43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6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64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43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64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380" w:type="dxa"/>
            <w:tcBorders>
              <w:left w:val="single" w:sz="2" w:space="0" w:color="000000"/>
            </w:tcBorders>
            <w:shd w:fill="auto" w:val="clear"/>
            <w:tcMar>
              <w:left w:w="160" w:type="dxa"/>
            </w:tcM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center"/>
              <w:rPr/>
            </w:pPr>
            <w:r>
              <w:rPr/>
              <w:t>Security    </w:t>
              <w:br/>
              <w:t>Type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375" w:type="dxa"/>
            <w:tcBorders/>
            <w:shd w:fill="auto" w:val="clear"/>
            <w:vAlign w:val="bottom"/>
          </w:tcPr>
          <w:p>
            <w:pPr>
              <w:pStyle w:val="TableContents"/>
              <w:spacing w:before="0" w:after="283"/>
              <w:jc w:val="center"/>
              <w:rPr/>
            </w:pPr>
            <w:r>
              <w:rPr/>
              <w:t>Security Class Title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05" w:type="dxa"/>
            <w:tcBorders/>
            <w:shd w:fill="auto" w:val="clear"/>
            <w:vAlign w:val="bottom"/>
          </w:tcPr>
          <w:p>
            <w:pPr>
              <w:pStyle w:val="TableContents"/>
              <w:spacing w:before="0" w:after="283"/>
              <w:jc w:val="center"/>
              <w:rPr/>
            </w:pPr>
            <w:r>
              <w:rPr/>
              <w:t>Fee Calculation</w:t>
              <w:br/>
              <w:t>or Carry</w:t>
              <w:br/>
              <w:t>Forward Rule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80" w:type="dxa"/>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Amount</w:t>
            </w:r>
          </w:p>
          <w:p>
            <w:pPr>
              <w:pStyle w:val="TableContents"/>
              <w:spacing w:before="0" w:after="20"/>
              <w:jc w:val="center"/>
              <w:rPr>
                <w:rFonts w:ascii="Times New Roman" w:hAnsi="Times New Roman"/>
                <w:sz w:val="14"/>
              </w:rPr>
            </w:pPr>
            <w:r>
              <w:rPr>
                <w:rFonts w:ascii="Times New Roman" w:hAnsi="Times New Roman"/>
                <w:sz w:val="14"/>
              </w:rPr>
              <w:t>Registered</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370" w:type="dxa"/>
            <w:tcBorders/>
            <w:shd w:fill="auto" w:val="clear"/>
            <w:vAlign w:val="bottom"/>
          </w:tcPr>
          <w:p>
            <w:pPr>
              <w:pStyle w:val="TableContents"/>
              <w:spacing w:before="0" w:after="283"/>
              <w:jc w:val="center"/>
              <w:rPr/>
            </w:pPr>
            <w:r>
              <w:rPr/>
              <w:t>Proposed</w:t>
              <w:br/>
              <w:t>Maximum</w:t>
              <w:br/>
              <w:t>Offering Price</w:t>
              <w:br/>
              <w:t>Per Unit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80" w:type="dxa"/>
            <w:tcBorders/>
            <w:shd w:fill="auto" w:val="clear"/>
            <w:vAlign w:val="bottom"/>
          </w:tcPr>
          <w:p>
            <w:pPr>
              <w:pStyle w:val="TableContents"/>
              <w:spacing w:before="0" w:after="0"/>
              <w:jc w:val="center"/>
              <w:rPr>
                <w:rFonts w:ascii="Times New Roman" w:hAnsi="Times New Roman"/>
                <w:sz w:val="14"/>
              </w:rPr>
            </w:pPr>
            <w:r>
              <w:rPr>
                <w:rFonts w:ascii="Times New Roman" w:hAnsi="Times New Roman"/>
                <w:sz w:val="14"/>
              </w:rPr>
              <w:t>Maximum</w:t>
            </w:r>
          </w:p>
          <w:p>
            <w:pPr>
              <w:pStyle w:val="TableContents"/>
              <w:spacing w:before="0" w:after="0"/>
              <w:jc w:val="center"/>
              <w:rPr>
                <w:rFonts w:ascii="Times New Roman" w:hAnsi="Times New Roman"/>
                <w:sz w:val="14"/>
              </w:rPr>
            </w:pPr>
            <w:r>
              <w:rPr>
                <w:rFonts w:ascii="Times New Roman" w:hAnsi="Times New Roman"/>
                <w:sz w:val="14"/>
              </w:rPr>
              <w:t>Aggregate</w:t>
            </w:r>
          </w:p>
          <w:p>
            <w:pPr>
              <w:pStyle w:val="TableContents"/>
              <w:spacing w:before="0" w:after="20"/>
              <w:jc w:val="center"/>
              <w:rPr>
                <w:rFonts w:ascii="Times New Roman" w:hAnsi="Times New Roman"/>
                <w:sz w:val="14"/>
              </w:rPr>
            </w:pPr>
            <w:r>
              <w:rPr>
                <w:rFonts w:ascii="Times New Roman" w:hAnsi="Times New Roman"/>
                <w:sz w:val="14"/>
              </w:rPr>
              <w:t>Offering Price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center"/>
              <w:rPr/>
            </w:pPr>
            <w:r>
              <w:rPr/>
              <w:t>Fee Rate</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right w:val="single" w:sz="2" w:space="0" w:color="000000"/>
            </w:tcBorders>
            <w:shd w:fill="auto" w:val="clear"/>
            <w:tcMar>
              <w:right w:w="40" w:type="dxa"/>
            </w:tcMar>
            <w:vAlign w:val="bottom"/>
          </w:tcPr>
          <w:p>
            <w:pPr>
              <w:pStyle w:val="TableContents"/>
              <w:spacing w:before="0" w:after="283"/>
              <w:jc w:val="center"/>
              <w:rPr/>
            </w:pPr>
            <w:r>
              <w:rPr/>
              <w:t>Amount of</w:t>
              <w:br/>
              <w:t>Registration Fee</w:t>
            </w:r>
          </w:p>
        </w:tc>
      </w:tr>
      <w:tr>
        <w:trPr>
          <w:trHeight w:val="15" w:hRule="atLeast"/>
        </w:trPr>
        <w:tc>
          <w:tcPr>
            <w:tcW w:w="12750" w:type="dxa"/>
            <w:gridSpan w:val="17"/>
            <w:tcBorders>
              <w:top w:val="single" w:sz="2" w:space="0" w:color="000000"/>
              <w:left w:val="single" w:sz="2" w:space="0" w:color="000000"/>
              <w:right w:val="single" w:sz="2" w:space="0" w:color="000000"/>
            </w:tcBorders>
            <w:shd w:fill="auto" w:val="clear"/>
            <w:tcMar>
              <w:top w:w="28" w:type="dxa"/>
              <w:left w:w="160" w:type="dxa"/>
              <w:right w:w="28" w:type="dxa"/>
            </w:tcMar>
            <w:vAlign w:val="center"/>
          </w:tcPr>
          <w:p>
            <w:pPr>
              <w:pStyle w:val="TableContents"/>
              <w:spacing w:before="0" w:after="283"/>
              <w:rPr/>
            </w:pPr>
            <w:r>
              <w:rPr/>
              <w:t> </w:t>
            </w:r>
          </w:p>
        </w:tc>
      </w:tr>
      <w:tr>
        <w:trPr/>
        <w:tc>
          <w:tcPr>
            <w:tcW w:w="12750" w:type="dxa"/>
            <w:gridSpan w:val="17"/>
            <w:tcBorders>
              <w:left w:val="single" w:sz="2" w:space="0" w:color="000000"/>
              <w:right w:val="single" w:sz="2" w:space="0" w:color="000000"/>
            </w:tcBorders>
            <w:shd w:fill="auto" w:val="clear"/>
            <w:tcMar>
              <w:left w:w="160" w:type="dxa"/>
              <w:right w:w="40" w:type="dxa"/>
            </w:tcMar>
            <w:vAlign w:val="bottom"/>
          </w:tcPr>
          <w:p>
            <w:pPr>
              <w:pStyle w:val="TableContents"/>
              <w:spacing w:before="0" w:after="283"/>
              <w:jc w:val="center"/>
              <w:rPr/>
            </w:pPr>
            <w:r>
              <w:rPr/>
              <w:t>Newly Registered Securities</w:t>
            </w:r>
          </w:p>
        </w:tc>
      </w:tr>
      <w:tr>
        <w:trPr>
          <w:trHeight w:val="15" w:hRule="atLeast"/>
        </w:trPr>
        <w:tc>
          <w:tcPr>
            <w:tcW w:w="38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110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243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6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64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43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64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380" w:type="dxa"/>
            <w:vMerge w:val="restart"/>
            <w:tcBorders>
              <w:left w:val="single" w:sz="2" w:space="0" w:color="000000"/>
            </w:tcBorders>
            <w:shd w:fill="auto" w:val="clear"/>
            <w:tcMar>
              <w:left w:w="160" w:type="dxa"/>
            </w:tcMar>
            <w:vAlign w:val="center"/>
          </w:tcPr>
          <w:p>
            <w:pPr>
              <w:pStyle w:val="TableContents"/>
              <w:spacing w:before="0" w:after="0"/>
              <w:jc w:val="center"/>
              <w:rPr>
                <w:rFonts w:ascii="Times New Roman" w:hAnsi="Times New Roman"/>
                <w:sz w:val="20"/>
              </w:rPr>
            </w:pPr>
            <w:r>
              <w:rPr>
                <w:rFonts w:ascii="Times New Roman" w:hAnsi="Times New Roman"/>
                <w:sz w:val="20"/>
              </w:rPr>
              <w:t>Fees to</w:t>
            </w:r>
          </w:p>
          <w:p>
            <w:pPr>
              <w:pStyle w:val="TableContents"/>
              <w:spacing w:before="0" w:after="20"/>
              <w:jc w:val="center"/>
              <w:rPr>
                <w:rFonts w:ascii="Times New Roman" w:hAnsi="Times New Roman"/>
                <w:sz w:val="20"/>
              </w:rPr>
            </w:pPr>
            <w:r>
              <w:rPr>
                <w:rFonts w:ascii="Times New Roman" w:hAnsi="Times New Roman"/>
                <w:sz w:val="20"/>
              </w:rPr>
              <w:t>Be Paid</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center"/>
              <w:rPr/>
            </w:pPr>
            <w:r>
              <w:rPr/>
              <w:t>Debt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2375" w:type="dxa"/>
            <w:tcBorders/>
            <w:shd w:fill="auto" w:val="clear"/>
            <w:vAlign w:val="bottom"/>
          </w:tcPr>
          <w:p>
            <w:pPr>
              <w:pStyle w:val="TableContents"/>
              <w:spacing w:before="0" w:after="283"/>
              <w:jc w:val="center"/>
              <w:rPr/>
            </w:pPr>
            <w:r>
              <w:rPr/>
              <w:t>4.550% Notes due 2029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05" w:type="dxa"/>
            <w:tcBorders/>
            <w:shd w:fill="auto" w:val="clear"/>
            <w:vAlign w:val="bottom"/>
          </w:tcPr>
          <w:p>
            <w:pPr>
              <w:pStyle w:val="TableContents"/>
              <w:spacing w:before="0" w:after="283"/>
              <w:jc w:val="center"/>
              <w:rPr/>
            </w:pPr>
            <w:r>
              <w:rPr/>
              <w:t>457(r)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80" w:type="dxa"/>
            <w:tcBorders/>
            <w:shd w:fill="auto" w:val="clear"/>
            <w:vAlign w:val="bottom"/>
          </w:tcPr>
          <w:p>
            <w:pPr>
              <w:pStyle w:val="TableContents"/>
              <w:spacing w:before="0" w:after="283"/>
              <w:jc w:val="center"/>
              <w:rPr/>
            </w:pPr>
            <w:r>
              <w:rPr/>
              <w:t>$1,000,000,000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370" w:type="dxa"/>
            <w:tcBorders/>
            <w:shd w:fill="auto" w:val="clear"/>
            <w:vAlign w:val="bottom"/>
          </w:tcPr>
          <w:p>
            <w:pPr>
              <w:pStyle w:val="TableContents"/>
              <w:spacing w:before="0" w:after="283"/>
              <w:jc w:val="center"/>
              <w:rPr/>
            </w:pPr>
            <w:r>
              <w:rPr/>
              <w:t>99.784%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80" w:type="dxa"/>
            <w:tcBorders/>
            <w:shd w:fill="auto" w:val="clear"/>
            <w:vAlign w:val="bottom"/>
          </w:tcPr>
          <w:p>
            <w:pPr>
              <w:pStyle w:val="TableContents"/>
              <w:spacing w:before="0" w:after="283"/>
              <w:jc w:val="center"/>
              <w:rPr/>
            </w:pPr>
            <w:r>
              <w:rPr/>
              <w:t>$997,840,000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center"/>
              <w:rPr/>
            </w:pPr>
            <w:r>
              <w:rPr/>
              <w:t>$110.20 per  $1,000,000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right w:val="single" w:sz="2" w:space="0" w:color="000000"/>
            </w:tcBorders>
            <w:shd w:fill="auto" w:val="clear"/>
            <w:tcMar>
              <w:right w:w="40" w:type="dxa"/>
            </w:tcMar>
            <w:vAlign w:val="bottom"/>
          </w:tcPr>
          <w:p>
            <w:pPr>
              <w:pStyle w:val="TableContents"/>
              <w:spacing w:before="0" w:after="283"/>
              <w:jc w:val="center"/>
              <w:rPr/>
            </w:pPr>
            <w:r>
              <w:rPr/>
              <w:t>$109,961.97</w:t>
            </w:r>
          </w:p>
        </w:tc>
      </w:tr>
      <w:tr>
        <w:trPr/>
        <w:tc>
          <w:tcPr>
            <w:tcW w:w="380" w:type="dxa"/>
            <w:vMerge w:val="continue"/>
            <w:tcBorders>
              <w:left w:val="single" w:sz="2" w:space="0" w:color="000000"/>
            </w:tcBorders>
            <w:shd w:fill="auto" w:val="clear"/>
            <w:tcMar>
              <w:left w:w="160" w:type="dxa"/>
            </w:tcMar>
            <w:vAlign w:val="center"/>
          </w:tcPr>
          <w:p>
            <w:pPr>
              <w:pStyle w:val="Normal"/>
              <w:rPr/>
            </w:pPr>
            <w:r>
              <w:rPr/>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040" w:type="dxa"/>
            <w:tcBorders>
              <w:top w:val="single" w:sz="2" w:space="0" w:color="000000"/>
            </w:tcBorders>
            <w:shd w:fill="auto" w:val="clear"/>
            <w:tcMar>
              <w:top w:w="28" w:type="dxa"/>
            </w:tcMar>
            <w:vAlign w:val="bottom"/>
          </w:tcPr>
          <w:p>
            <w:pPr>
              <w:pStyle w:val="TableContents"/>
              <w:spacing w:before="0" w:after="283"/>
              <w:jc w:val="center"/>
              <w:rPr/>
            </w:pPr>
            <w:r>
              <w:rPr/>
              <w:t>Debt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2375" w:type="dxa"/>
            <w:tcBorders>
              <w:top w:val="single" w:sz="2" w:space="0" w:color="000000"/>
            </w:tcBorders>
            <w:shd w:fill="auto" w:val="clear"/>
            <w:tcMar>
              <w:top w:w="28" w:type="dxa"/>
            </w:tcMar>
            <w:vAlign w:val="bottom"/>
          </w:tcPr>
          <w:p>
            <w:pPr>
              <w:pStyle w:val="TableContents"/>
              <w:spacing w:before="0" w:after="283"/>
              <w:jc w:val="center"/>
              <w:rPr/>
            </w:pPr>
            <w:r>
              <w:rPr/>
              <w:t>Guarantees of 4.550%  Notes due 2029 (1)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05" w:type="dxa"/>
            <w:tcBorders>
              <w:top w:val="single" w:sz="2" w:space="0" w:color="000000"/>
            </w:tcBorders>
            <w:shd w:fill="auto" w:val="clear"/>
            <w:tcMar>
              <w:top w:w="28" w:type="dxa"/>
            </w:tcMar>
            <w:vAlign w:val="bottom"/>
          </w:tcPr>
          <w:p>
            <w:pPr>
              <w:pStyle w:val="TableContents"/>
              <w:spacing w:before="0" w:after="283"/>
              <w:jc w:val="center"/>
              <w:rPr/>
            </w:pPr>
            <w:r>
              <w:rPr/>
              <w:t>Other (2)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80" w:type="dxa"/>
            <w:tcBorders>
              <w:top w:val="single" w:sz="2" w:space="0" w:color="000000"/>
            </w:tcBorders>
            <w:shd w:fill="auto" w:val="clear"/>
            <w:tcMar>
              <w:top w:w="28" w:type="dxa"/>
            </w:tcMar>
            <w:vAlign w:val="bottom"/>
          </w:tcPr>
          <w:p>
            <w:pPr>
              <w:pStyle w:val="TableContents"/>
              <w:spacing w:before="0" w:after="283"/>
              <w:jc w:val="center"/>
              <w:rPr/>
            </w:pPr>
            <w:r>
              <w:rPr/>
              <w:t>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70" w:type="dxa"/>
            <w:tcBorders>
              <w:top w:val="single" w:sz="2" w:space="0" w:color="000000"/>
            </w:tcBorders>
            <w:shd w:fill="auto" w:val="clear"/>
            <w:tcMar>
              <w:top w:w="28" w:type="dxa"/>
            </w:tcMar>
            <w:vAlign w:val="bottom"/>
          </w:tcPr>
          <w:p>
            <w:pPr>
              <w:pStyle w:val="TableContents"/>
              <w:spacing w:before="0" w:after="283"/>
              <w:jc w:val="center"/>
              <w:rPr/>
            </w:pPr>
            <w:r>
              <w:rPr/>
              <w:t>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80" w:type="dxa"/>
            <w:tcBorders>
              <w:top w:val="single" w:sz="2" w:space="0" w:color="000000"/>
            </w:tcBorders>
            <w:shd w:fill="auto" w:val="clear"/>
            <w:tcMar>
              <w:top w:w="28" w:type="dxa"/>
            </w:tcMar>
            <w:vAlign w:val="bottom"/>
          </w:tcPr>
          <w:p>
            <w:pPr>
              <w:pStyle w:val="TableContents"/>
              <w:spacing w:before="0" w:after="283"/>
              <w:jc w:val="center"/>
              <w:rPr/>
            </w:pPr>
            <w:r>
              <w:rPr/>
              <w:t>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220" w:type="dxa"/>
            <w:tcBorders>
              <w:top w:val="single" w:sz="2" w:space="0" w:color="000000"/>
            </w:tcBorders>
            <w:shd w:fill="auto" w:val="clear"/>
            <w:tcMar>
              <w:top w:w="28" w:type="dxa"/>
            </w:tcMar>
            <w:vAlign w:val="bottom"/>
          </w:tcPr>
          <w:p>
            <w:pPr>
              <w:pStyle w:val="TableContents"/>
              <w:spacing w:before="0" w:after="283"/>
              <w:jc w:val="center"/>
              <w:rPr/>
            </w:pPr>
            <w:r>
              <w:rPr/>
              <w:t>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220" w:type="dxa"/>
            <w:tcBorders>
              <w:top w:val="single" w:sz="2" w:space="0" w:color="000000"/>
              <w:right w:val="single" w:sz="2" w:space="0" w:color="000000"/>
            </w:tcBorders>
            <w:shd w:fill="auto" w:val="clear"/>
            <w:tcMar>
              <w:top w:w="28" w:type="dxa"/>
              <w:right w:w="40" w:type="dxa"/>
            </w:tcMar>
            <w:vAlign w:val="bottom"/>
          </w:tcPr>
          <w:p>
            <w:pPr>
              <w:pStyle w:val="TableContents"/>
              <w:spacing w:before="0" w:after="283"/>
              <w:jc w:val="center"/>
              <w:rPr/>
            </w:pPr>
            <w:r>
              <w:rPr/>
              <w:t></w:t>
            </w:r>
          </w:p>
        </w:tc>
      </w:tr>
      <w:tr>
        <w:trPr/>
        <w:tc>
          <w:tcPr>
            <w:tcW w:w="380" w:type="dxa"/>
            <w:vMerge w:val="continue"/>
            <w:tcBorders>
              <w:left w:val="single" w:sz="2" w:space="0" w:color="000000"/>
            </w:tcBorders>
            <w:shd w:fill="auto" w:val="clear"/>
            <w:tcMar>
              <w:left w:w="160" w:type="dxa"/>
            </w:tcMar>
            <w:vAlign w:val="center"/>
          </w:tcPr>
          <w:p>
            <w:pPr>
              <w:pStyle w:val="Normal"/>
              <w:rPr/>
            </w:pPr>
            <w:r>
              <w:rPr/>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040" w:type="dxa"/>
            <w:tcBorders>
              <w:top w:val="single" w:sz="2" w:space="0" w:color="000000"/>
            </w:tcBorders>
            <w:shd w:fill="auto" w:val="clear"/>
            <w:tcMar>
              <w:top w:w="28" w:type="dxa"/>
            </w:tcMar>
            <w:vAlign w:val="bottom"/>
          </w:tcPr>
          <w:p>
            <w:pPr>
              <w:pStyle w:val="TableContents"/>
              <w:spacing w:before="0" w:after="283"/>
              <w:jc w:val="center"/>
              <w:rPr/>
            </w:pPr>
            <w:r>
              <w:rPr/>
              <w:t>Debt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2375" w:type="dxa"/>
            <w:tcBorders>
              <w:top w:val="single" w:sz="2" w:space="0" w:color="000000"/>
            </w:tcBorders>
            <w:shd w:fill="auto" w:val="clear"/>
            <w:tcMar>
              <w:top w:w="28" w:type="dxa"/>
            </w:tcMar>
            <w:vAlign w:val="bottom"/>
          </w:tcPr>
          <w:p>
            <w:pPr>
              <w:pStyle w:val="TableContents"/>
              <w:spacing w:before="0" w:after="283"/>
              <w:jc w:val="center"/>
              <w:rPr/>
            </w:pPr>
            <w:r>
              <w:rPr/>
              <w:t>4.800% Notes due 2033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05" w:type="dxa"/>
            <w:tcBorders>
              <w:top w:val="single" w:sz="2" w:space="0" w:color="000000"/>
            </w:tcBorders>
            <w:shd w:fill="auto" w:val="clear"/>
            <w:tcMar>
              <w:top w:w="28" w:type="dxa"/>
            </w:tcMar>
            <w:vAlign w:val="bottom"/>
          </w:tcPr>
          <w:p>
            <w:pPr>
              <w:pStyle w:val="TableContents"/>
              <w:spacing w:before="0" w:after="283"/>
              <w:jc w:val="center"/>
              <w:rPr/>
            </w:pPr>
            <w:r>
              <w:rPr/>
              <w:t>457(r)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80" w:type="dxa"/>
            <w:tcBorders>
              <w:top w:val="single" w:sz="2" w:space="0" w:color="000000"/>
            </w:tcBorders>
            <w:shd w:fill="auto" w:val="clear"/>
            <w:tcMar>
              <w:top w:w="28" w:type="dxa"/>
            </w:tcMar>
            <w:vAlign w:val="bottom"/>
          </w:tcPr>
          <w:p>
            <w:pPr>
              <w:pStyle w:val="TableContents"/>
              <w:spacing w:before="0" w:after="283"/>
              <w:jc w:val="center"/>
              <w:rPr/>
            </w:pPr>
            <w:r>
              <w:rPr/>
              <w:t>$1,000,000,000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70" w:type="dxa"/>
            <w:tcBorders>
              <w:top w:val="single" w:sz="2" w:space="0" w:color="000000"/>
            </w:tcBorders>
            <w:shd w:fill="auto" w:val="clear"/>
            <w:tcMar>
              <w:top w:w="28" w:type="dxa"/>
            </w:tcMar>
            <w:vAlign w:val="bottom"/>
          </w:tcPr>
          <w:p>
            <w:pPr>
              <w:pStyle w:val="TableContents"/>
              <w:spacing w:before="0" w:after="283"/>
              <w:jc w:val="center"/>
              <w:rPr/>
            </w:pPr>
            <w:r>
              <w:rPr/>
              <w:t>99.692%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80" w:type="dxa"/>
            <w:tcBorders>
              <w:top w:val="single" w:sz="2" w:space="0" w:color="000000"/>
            </w:tcBorders>
            <w:shd w:fill="auto" w:val="clear"/>
            <w:tcMar>
              <w:top w:w="28" w:type="dxa"/>
            </w:tcMar>
            <w:vAlign w:val="bottom"/>
          </w:tcPr>
          <w:p>
            <w:pPr>
              <w:pStyle w:val="TableContents"/>
              <w:spacing w:before="0" w:after="283"/>
              <w:jc w:val="center"/>
              <w:rPr/>
            </w:pPr>
            <w:r>
              <w:rPr/>
              <w:t>$996,920,000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220" w:type="dxa"/>
            <w:tcBorders>
              <w:top w:val="single" w:sz="2" w:space="0" w:color="000000"/>
            </w:tcBorders>
            <w:shd w:fill="auto" w:val="clear"/>
            <w:tcMar>
              <w:top w:w="28" w:type="dxa"/>
            </w:tcMar>
            <w:vAlign w:val="bottom"/>
          </w:tcPr>
          <w:p>
            <w:pPr>
              <w:pStyle w:val="TableContents"/>
              <w:spacing w:before="0" w:after="283"/>
              <w:jc w:val="center"/>
              <w:rPr/>
            </w:pPr>
            <w:r>
              <w:rPr/>
              <w:t>$110.20 per  $1,000,000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220" w:type="dxa"/>
            <w:tcBorders>
              <w:top w:val="single" w:sz="2" w:space="0" w:color="000000"/>
              <w:right w:val="single" w:sz="2" w:space="0" w:color="000000"/>
            </w:tcBorders>
            <w:shd w:fill="auto" w:val="clear"/>
            <w:tcMar>
              <w:top w:w="28" w:type="dxa"/>
              <w:right w:w="40" w:type="dxa"/>
            </w:tcMar>
            <w:vAlign w:val="bottom"/>
          </w:tcPr>
          <w:p>
            <w:pPr>
              <w:pStyle w:val="TableContents"/>
              <w:spacing w:before="0" w:after="283"/>
              <w:jc w:val="center"/>
              <w:rPr/>
            </w:pPr>
            <w:r>
              <w:rPr/>
              <w:t>$109,860.59</w:t>
            </w:r>
          </w:p>
        </w:tc>
      </w:tr>
      <w:tr>
        <w:trPr/>
        <w:tc>
          <w:tcPr>
            <w:tcW w:w="380" w:type="dxa"/>
            <w:vMerge w:val="continue"/>
            <w:tcBorders>
              <w:left w:val="single" w:sz="2" w:space="0" w:color="000000"/>
            </w:tcBorders>
            <w:shd w:fill="auto" w:val="clear"/>
            <w:tcMar>
              <w:left w:w="160" w:type="dxa"/>
            </w:tcMar>
            <w:vAlign w:val="center"/>
          </w:tcPr>
          <w:p>
            <w:pPr>
              <w:pStyle w:val="Normal"/>
              <w:rPr/>
            </w:pPr>
            <w:r>
              <w:rPr/>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040" w:type="dxa"/>
            <w:tcBorders>
              <w:top w:val="single" w:sz="2" w:space="0" w:color="000000"/>
            </w:tcBorders>
            <w:shd w:fill="auto" w:val="clear"/>
            <w:tcMar>
              <w:top w:w="28" w:type="dxa"/>
            </w:tcMar>
            <w:vAlign w:val="bottom"/>
          </w:tcPr>
          <w:p>
            <w:pPr>
              <w:pStyle w:val="TableContents"/>
              <w:spacing w:before="0" w:after="283"/>
              <w:jc w:val="center"/>
              <w:rPr/>
            </w:pPr>
            <w:r>
              <w:rPr/>
              <w:t>Debt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2375" w:type="dxa"/>
            <w:tcBorders>
              <w:top w:val="single" w:sz="2" w:space="0" w:color="000000"/>
            </w:tcBorders>
            <w:shd w:fill="auto" w:val="clear"/>
            <w:tcMar>
              <w:top w:w="28" w:type="dxa"/>
            </w:tcMar>
            <w:vAlign w:val="bottom"/>
          </w:tcPr>
          <w:p>
            <w:pPr>
              <w:pStyle w:val="TableContents"/>
              <w:spacing w:before="0" w:after="283"/>
              <w:jc w:val="center"/>
              <w:rPr/>
            </w:pPr>
            <w:r>
              <w:rPr/>
              <w:t>Guarantees of 4.800%  Notes due 2033 (1)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05" w:type="dxa"/>
            <w:tcBorders>
              <w:top w:val="single" w:sz="2" w:space="0" w:color="000000"/>
            </w:tcBorders>
            <w:shd w:fill="auto" w:val="clear"/>
            <w:tcMar>
              <w:top w:w="28" w:type="dxa"/>
            </w:tcMar>
            <w:vAlign w:val="bottom"/>
          </w:tcPr>
          <w:p>
            <w:pPr>
              <w:pStyle w:val="TableContents"/>
              <w:spacing w:before="0" w:after="283"/>
              <w:jc w:val="center"/>
              <w:rPr/>
            </w:pPr>
            <w:r>
              <w:rPr/>
              <w:t>Other (2)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80" w:type="dxa"/>
            <w:tcBorders>
              <w:top w:val="single" w:sz="2" w:space="0" w:color="000000"/>
            </w:tcBorders>
            <w:shd w:fill="auto" w:val="clear"/>
            <w:tcMar>
              <w:top w:w="28" w:type="dxa"/>
            </w:tcMar>
            <w:vAlign w:val="bottom"/>
          </w:tcPr>
          <w:p>
            <w:pPr>
              <w:pStyle w:val="TableContents"/>
              <w:spacing w:before="0" w:after="283"/>
              <w:jc w:val="center"/>
              <w:rPr/>
            </w:pPr>
            <w:r>
              <w:rPr/>
              <w:t>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70" w:type="dxa"/>
            <w:tcBorders>
              <w:top w:val="single" w:sz="2" w:space="0" w:color="000000"/>
            </w:tcBorders>
            <w:shd w:fill="auto" w:val="clear"/>
            <w:tcMar>
              <w:top w:w="28" w:type="dxa"/>
            </w:tcMar>
            <w:vAlign w:val="bottom"/>
          </w:tcPr>
          <w:p>
            <w:pPr>
              <w:pStyle w:val="TableContents"/>
              <w:spacing w:before="0" w:after="283"/>
              <w:jc w:val="center"/>
              <w:rPr/>
            </w:pPr>
            <w:r>
              <w:rPr/>
              <w:t>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80" w:type="dxa"/>
            <w:tcBorders>
              <w:top w:val="single" w:sz="2" w:space="0" w:color="000000"/>
            </w:tcBorders>
            <w:shd w:fill="auto" w:val="clear"/>
            <w:tcMar>
              <w:top w:w="28" w:type="dxa"/>
            </w:tcMar>
            <w:vAlign w:val="bottom"/>
          </w:tcPr>
          <w:p>
            <w:pPr>
              <w:pStyle w:val="TableContents"/>
              <w:spacing w:before="0" w:after="283"/>
              <w:jc w:val="center"/>
              <w:rPr/>
            </w:pPr>
            <w:r>
              <w:rPr/>
              <w:t>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220" w:type="dxa"/>
            <w:tcBorders>
              <w:top w:val="single" w:sz="2" w:space="0" w:color="000000"/>
            </w:tcBorders>
            <w:shd w:fill="auto" w:val="clear"/>
            <w:tcMar>
              <w:top w:w="28" w:type="dxa"/>
            </w:tcMar>
            <w:vAlign w:val="bottom"/>
          </w:tcPr>
          <w:p>
            <w:pPr>
              <w:pStyle w:val="TableContents"/>
              <w:spacing w:before="0" w:after="283"/>
              <w:jc w:val="center"/>
              <w:rPr/>
            </w:pPr>
            <w:r>
              <w:rPr/>
              <w:t></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220" w:type="dxa"/>
            <w:tcBorders>
              <w:top w:val="single" w:sz="2" w:space="0" w:color="000000"/>
              <w:right w:val="single" w:sz="2" w:space="0" w:color="000000"/>
            </w:tcBorders>
            <w:shd w:fill="auto" w:val="clear"/>
            <w:tcMar>
              <w:top w:w="28" w:type="dxa"/>
              <w:right w:w="40" w:type="dxa"/>
            </w:tcMar>
            <w:vAlign w:val="bottom"/>
          </w:tcPr>
          <w:p>
            <w:pPr>
              <w:pStyle w:val="TableContents"/>
              <w:spacing w:before="0" w:after="283"/>
              <w:jc w:val="center"/>
              <w:rPr/>
            </w:pPr>
            <w:r>
              <w:rPr/>
              <w:t></w:t>
            </w:r>
          </w:p>
        </w:tc>
      </w:tr>
      <w:tr>
        <w:trPr/>
        <w:tc>
          <w:tcPr>
            <w:tcW w:w="380" w:type="dxa"/>
            <w:vMerge w:val="continue"/>
            <w:tcBorders>
              <w:left w:val="single" w:sz="2" w:space="0" w:color="000000"/>
            </w:tcBorders>
            <w:shd w:fill="auto" w:val="clear"/>
            <w:tcMar>
              <w:left w:w="160" w:type="dxa"/>
            </w:tcMar>
            <w:vAlign w:val="center"/>
          </w:tcPr>
          <w:p>
            <w:pPr>
              <w:pStyle w:val="Normal"/>
              <w:rPr/>
            </w:pPr>
            <w:r>
              <w:rPr/>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040" w:type="dxa"/>
            <w:tcBorders>
              <w:top w:val="single" w:sz="2" w:space="0" w:color="000000"/>
            </w:tcBorders>
            <w:shd w:fill="auto" w:val="clear"/>
            <w:tcMar>
              <w:top w:w="28" w:type="dxa"/>
            </w:tcMar>
            <w:vAlign w:val="bottom"/>
          </w:tcPr>
          <w:p>
            <w:pPr>
              <w:pStyle w:val="TableContents"/>
              <w:spacing w:before="0" w:after="283"/>
              <w:jc w:val="center"/>
              <w:rPr/>
            </w:pPr>
            <w:r>
              <w:rPr/>
              <w:t>Debt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2375" w:type="dxa"/>
            <w:tcBorders>
              <w:top w:val="single" w:sz="2" w:space="0" w:color="000000"/>
            </w:tcBorders>
            <w:shd w:fill="auto" w:val="clear"/>
            <w:tcMar>
              <w:top w:w="28" w:type="dxa"/>
            </w:tcMar>
            <w:vAlign w:val="bottom"/>
          </w:tcPr>
          <w:p>
            <w:pPr>
              <w:pStyle w:val="TableContents"/>
              <w:spacing w:before="0" w:after="283"/>
              <w:jc w:val="center"/>
              <w:rPr/>
            </w:pPr>
            <w:r>
              <w:rPr/>
              <w:t>5.350% Notes due 2053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05" w:type="dxa"/>
            <w:tcBorders>
              <w:top w:val="single" w:sz="2" w:space="0" w:color="000000"/>
            </w:tcBorders>
            <w:shd w:fill="auto" w:val="clear"/>
            <w:tcMar>
              <w:top w:w="28" w:type="dxa"/>
            </w:tcMar>
            <w:vAlign w:val="bottom"/>
          </w:tcPr>
          <w:p>
            <w:pPr>
              <w:pStyle w:val="TableContents"/>
              <w:spacing w:before="0" w:after="283"/>
              <w:jc w:val="center"/>
              <w:rPr/>
            </w:pPr>
            <w:r>
              <w:rPr/>
              <w:t>457(r)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80" w:type="dxa"/>
            <w:tcBorders>
              <w:top w:val="single" w:sz="2" w:space="0" w:color="000000"/>
            </w:tcBorders>
            <w:shd w:fill="auto" w:val="clear"/>
            <w:tcMar>
              <w:top w:w="28" w:type="dxa"/>
            </w:tcMar>
            <w:vAlign w:val="bottom"/>
          </w:tcPr>
          <w:p>
            <w:pPr>
              <w:pStyle w:val="TableContents"/>
              <w:spacing w:before="0" w:after="283"/>
              <w:jc w:val="center"/>
              <w:rPr/>
            </w:pPr>
            <w:r>
              <w:rPr/>
              <w:t>$1,600,000,000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70" w:type="dxa"/>
            <w:tcBorders>
              <w:top w:val="single" w:sz="2" w:space="0" w:color="000000"/>
            </w:tcBorders>
            <w:shd w:fill="auto" w:val="clear"/>
            <w:tcMar>
              <w:top w:w="28" w:type="dxa"/>
            </w:tcMar>
            <w:vAlign w:val="bottom"/>
          </w:tcPr>
          <w:p>
            <w:pPr>
              <w:pStyle w:val="TableContents"/>
              <w:spacing w:before="0" w:after="283"/>
              <w:jc w:val="center"/>
              <w:rPr/>
            </w:pPr>
            <w:r>
              <w:rPr/>
              <w:t>99.569%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80" w:type="dxa"/>
            <w:tcBorders>
              <w:top w:val="single" w:sz="2" w:space="0" w:color="000000"/>
            </w:tcBorders>
            <w:shd w:fill="auto" w:val="clear"/>
            <w:tcMar>
              <w:top w:w="28" w:type="dxa"/>
            </w:tcMar>
            <w:vAlign w:val="bottom"/>
          </w:tcPr>
          <w:p>
            <w:pPr>
              <w:pStyle w:val="TableContents"/>
              <w:spacing w:before="0" w:after="283"/>
              <w:jc w:val="center"/>
              <w:rPr/>
            </w:pPr>
            <w:r>
              <w:rPr/>
              <w:t>$1,593,104,000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220" w:type="dxa"/>
            <w:tcBorders>
              <w:top w:val="single" w:sz="2" w:space="0" w:color="000000"/>
            </w:tcBorders>
            <w:shd w:fill="auto" w:val="clear"/>
            <w:tcMar>
              <w:top w:w="28" w:type="dxa"/>
            </w:tcMar>
            <w:vAlign w:val="bottom"/>
          </w:tcPr>
          <w:p>
            <w:pPr>
              <w:pStyle w:val="TableContents"/>
              <w:spacing w:before="0" w:after="283"/>
              <w:jc w:val="center"/>
              <w:rPr/>
            </w:pPr>
            <w:r>
              <w:rPr/>
              <w:t>$110.20 per  $1,000,000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220" w:type="dxa"/>
            <w:tcBorders>
              <w:top w:val="single" w:sz="2" w:space="0" w:color="000000"/>
              <w:right w:val="single" w:sz="2" w:space="0" w:color="000000"/>
            </w:tcBorders>
            <w:shd w:fill="auto" w:val="clear"/>
            <w:tcMar>
              <w:top w:w="28" w:type="dxa"/>
              <w:right w:w="40" w:type="dxa"/>
            </w:tcMar>
            <w:vAlign w:val="bottom"/>
          </w:tcPr>
          <w:p>
            <w:pPr>
              <w:pStyle w:val="TableContents"/>
              <w:spacing w:before="0" w:after="283"/>
              <w:jc w:val="center"/>
              <w:rPr/>
            </w:pPr>
            <w:r>
              <w:rPr/>
              <w:t>$175,560.07</w:t>
            </w:r>
          </w:p>
        </w:tc>
      </w:tr>
      <w:tr>
        <w:trPr/>
        <w:tc>
          <w:tcPr>
            <w:tcW w:w="380" w:type="dxa"/>
            <w:vMerge w:val="continue"/>
            <w:tcBorders>
              <w:left w:val="single" w:sz="2" w:space="0" w:color="000000"/>
            </w:tcBorders>
            <w:shd w:fill="auto" w:val="clear"/>
            <w:tcMar>
              <w:left w:w="160" w:type="dxa"/>
            </w:tcMar>
            <w:vAlign w:val="center"/>
          </w:tcPr>
          <w:p>
            <w:pPr>
              <w:pStyle w:val="Normal"/>
              <w:rPr/>
            </w:pPr>
            <w:r>
              <w:rPr/>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040" w:type="dxa"/>
            <w:tcBorders>
              <w:top w:val="single" w:sz="2" w:space="0" w:color="000000"/>
            </w:tcBorders>
            <w:shd w:fill="auto" w:val="clear"/>
            <w:tcMar>
              <w:top w:w="28" w:type="dxa"/>
            </w:tcMar>
            <w:vAlign w:val="bottom"/>
          </w:tcPr>
          <w:p>
            <w:pPr>
              <w:pStyle w:val="TableContents"/>
              <w:spacing w:before="0" w:after="283"/>
              <w:jc w:val="center"/>
              <w:rPr/>
            </w:pPr>
            <w:r>
              <w:rPr/>
              <w:t>Debt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2375" w:type="dxa"/>
            <w:tcBorders>
              <w:top w:val="single" w:sz="2" w:space="0" w:color="000000"/>
            </w:tcBorders>
            <w:shd w:fill="auto" w:val="clear"/>
            <w:tcMar>
              <w:top w:w="28" w:type="dxa"/>
            </w:tcMar>
            <w:vAlign w:val="bottom"/>
          </w:tcPr>
          <w:p>
            <w:pPr>
              <w:pStyle w:val="TableContents"/>
              <w:spacing w:before="0" w:after="283"/>
              <w:jc w:val="center"/>
              <w:rPr/>
            </w:pPr>
            <w:r>
              <w:rPr/>
              <w:t>Guarantees of 5.350%  Notes due 2053 (1)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05" w:type="dxa"/>
            <w:tcBorders>
              <w:top w:val="single" w:sz="2" w:space="0" w:color="000000"/>
            </w:tcBorders>
            <w:shd w:fill="auto" w:val="clear"/>
            <w:tcMar>
              <w:top w:w="28" w:type="dxa"/>
            </w:tcMar>
            <w:vAlign w:val="bottom"/>
          </w:tcPr>
          <w:p>
            <w:pPr>
              <w:pStyle w:val="TableContents"/>
              <w:spacing w:before="0" w:after="283"/>
              <w:jc w:val="center"/>
              <w:rPr/>
            </w:pPr>
            <w:r>
              <w:rPr/>
              <w:t>Other (2)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80" w:type="dxa"/>
            <w:tcBorders>
              <w:top w:val="single" w:sz="2" w:space="0" w:color="000000"/>
            </w:tcBorders>
            <w:shd w:fill="auto" w:val="clear"/>
            <w:tcMar>
              <w:top w:w="28" w:type="dxa"/>
            </w:tcMar>
            <w:vAlign w:val="bottom"/>
          </w:tcPr>
          <w:p>
            <w:pPr>
              <w:pStyle w:val="TableContents"/>
              <w:spacing w:before="0" w:after="283"/>
              <w:jc w:val="center"/>
              <w:rPr/>
            </w:pPr>
            <w:r>
              <w:rPr/>
              <w:t>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70" w:type="dxa"/>
            <w:tcBorders>
              <w:top w:val="single" w:sz="2" w:space="0" w:color="000000"/>
            </w:tcBorders>
            <w:shd w:fill="auto" w:val="clear"/>
            <w:tcMar>
              <w:top w:w="28" w:type="dxa"/>
            </w:tcMar>
            <w:vAlign w:val="bottom"/>
          </w:tcPr>
          <w:p>
            <w:pPr>
              <w:pStyle w:val="TableContents"/>
              <w:spacing w:before="0" w:after="283"/>
              <w:jc w:val="center"/>
              <w:rPr/>
            </w:pPr>
            <w:r>
              <w:rPr/>
              <w:t>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80" w:type="dxa"/>
            <w:tcBorders>
              <w:top w:val="single" w:sz="2" w:space="0" w:color="000000"/>
            </w:tcBorders>
            <w:shd w:fill="auto" w:val="clear"/>
            <w:tcMar>
              <w:top w:w="28" w:type="dxa"/>
            </w:tcMar>
            <w:vAlign w:val="bottom"/>
          </w:tcPr>
          <w:p>
            <w:pPr>
              <w:pStyle w:val="TableContents"/>
              <w:spacing w:before="0" w:after="283"/>
              <w:jc w:val="center"/>
              <w:rPr/>
            </w:pPr>
            <w:r>
              <w:rPr/>
              <w:t>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220" w:type="dxa"/>
            <w:tcBorders>
              <w:top w:val="single" w:sz="2" w:space="0" w:color="000000"/>
            </w:tcBorders>
            <w:shd w:fill="auto" w:val="clear"/>
            <w:tcMar>
              <w:top w:w="28" w:type="dxa"/>
            </w:tcMar>
            <w:vAlign w:val="bottom"/>
          </w:tcPr>
          <w:p>
            <w:pPr>
              <w:pStyle w:val="TableContents"/>
              <w:spacing w:before="0" w:after="283"/>
              <w:jc w:val="center"/>
              <w:rPr/>
            </w:pPr>
            <w:r>
              <w:rPr/>
              <w:t>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220" w:type="dxa"/>
            <w:tcBorders>
              <w:top w:val="single" w:sz="2" w:space="0" w:color="000000"/>
              <w:right w:val="single" w:sz="2" w:space="0" w:color="000000"/>
            </w:tcBorders>
            <w:shd w:fill="auto" w:val="clear"/>
            <w:tcMar>
              <w:top w:w="28" w:type="dxa"/>
              <w:right w:w="40" w:type="dxa"/>
            </w:tcMar>
            <w:vAlign w:val="bottom"/>
          </w:tcPr>
          <w:p>
            <w:pPr>
              <w:pStyle w:val="TableContents"/>
              <w:spacing w:before="0" w:after="283"/>
              <w:jc w:val="center"/>
              <w:rPr/>
            </w:pPr>
            <w:r>
              <w:rPr/>
              <w:t></w:t>
            </w:r>
          </w:p>
        </w:tc>
      </w:tr>
      <w:tr>
        <w:trPr/>
        <w:tc>
          <w:tcPr>
            <w:tcW w:w="380" w:type="dxa"/>
            <w:vMerge w:val="continue"/>
            <w:tcBorders>
              <w:left w:val="single" w:sz="2" w:space="0" w:color="000000"/>
            </w:tcBorders>
            <w:shd w:fill="auto" w:val="clear"/>
            <w:tcMar>
              <w:left w:w="160" w:type="dxa"/>
            </w:tcMar>
            <w:vAlign w:val="center"/>
          </w:tcPr>
          <w:p>
            <w:pPr>
              <w:pStyle w:val="Normal"/>
              <w:rPr/>
            </w:pPr>
            <w:r>
              <w:rPr/>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040" w:type="dxa"/>
            <w:tcBorders>
              <w:top w:val="single" w:sz="2" w:space="0" w:color="000000"/>
            </w:tcBorders>
            <w:shd w:fill="auto" w:val="clear"/>
            <w:tcMar>
              <w:top w:w="28" w:type="dxa"/>
            </w:tcMar>
            <w:vAlign w:val="bottom"/>
          </w:tcPr>
          <w:p>
            <w:pPr>
              <w:pStyle w:val="TableContents"/>
              <w:spacing w:before="0" w:after="283"/>
              <w:jc w:val="center"/>
              <w:rPr/>
            </w:pPr>
            <w:r>
              <w:rPr/>
              <w:t>Debt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2375" w:type="dxa"/>
            <w:tcBorders>
              <w:top w:val="single" w:sz="2" w:space="0" w:color="000000"/>
            </w:tcBorders>
            <w:shd w:fill="auto" w:val="clear"/>
            <w:tcMar>
              <w:top w:w="28" w:type="dxa"/>
            </w:tcMar>
            <w:vAlign w:val="bottom"/>
          </w:tcPr>
          <w:p>
            <w:pPr>
              <w:pStyle w:val="TableContents"/>
              <w:spacing w:before="0" w:after="283"/>
              <w:jc w:val="center"/>
              <w:rPr/>
            </w:pPr>
            <w:r>
              <w:rPr/>
              <w:t>5.500% Notes due 2064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05" w:type="dxa"/>
            <w:tcBorders>
              <w:top w:val="single" w:sz="2" w:space="0" w:color="000000"/>
            </w:tcBorders>
            <w:shd w:fill="auto" w:val="clear"/>
            <w:tcMar>
              <w:top w:w="28" w:type="dxa"/>
            </w:tcMar>
            <w:vAlign w:val="bottom"/>
          </w:tcPr>
          <w:p>
            <w:pPr>
              <w:pStyle w:val="TableContents"/>
              <w:spacing w:before="0" w:after="283"/>
              <w:jc w:val="center"/>
              <w:rPr/>
            </w:pPr>
            <w:r>
              <w:rPr/>
              <w:t>457(r)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80" w:type="dxa"/>
            <w:tcBorders>
              <w:top w:val="single" w:sz="2" w:space="0" w:color="000000"/>
            </w:tcBorders>
            <w:shd w:fill="auto" w:val="clear"/>
            <w:tcMar>
              <w:top w:w="28" w:type="dxa"/>
            </w:tcMar>
            <w:vAlign w:val="bottom"/>
          </w:tcPr>
          <w:p>
            <w:pPr>
              <w:pStyle w:val="TableContents"/>
              <w:spacing w:before="0" w:after="283"/>
              <w:jc w:val="center"/>
              <w:rPr/>
            </w:pPr>
            <w:r>
              <w:rPr/>
              <w:t>$1,400,000,000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70" w:type="dxa"/>
            <w:tcBorders>
              <w:top w:val="single" w:sz="2" w:space="0" w:color="000000"/>
            </w:tcBorders>
            <w:shd w:fill="auto" w:val="clear"/>
            <w:tcMar>
              <w:top w:w="28" w:type="dxa"/>
            </w:tcMar>
            <w:vAlign w:val="bottom"/>
          </w:tcPr>
          <w:p>
            <w:pPr>
              <w:pStyle w:val="TableContents"/>
              <w:spacing w:before="0" w:after="283"/>
              <w:jc w:val="center"/>
              <w:rPr/>
            </w:pPr>
            <w:r>
              <w:rPr/>
              <w:t>99.530%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80" w:type="dxa"/>
            <w:tcBorders>
              <w:top w:val="single" w:sz="2" w:space="0" w:color="000000"/>
            </w:tcBorders>
            <w:shd w:fill="auto" w:val="clear"/>
            <w:tcMar>
              <w:top w:w="28" w:type="dxa"/>
            </w:tcMar>
            <w:vAlign w:val="bottom"/>
          </w:tcPr>
          <w:p>
            <w:pPr>
              <w:pStyle w:val="TableContents"/>
              <w:spacing w:before="0" w:after="283"/>
              <w:jc w:val="center"/>
              <w:rPr/>
            </w:pPr>
            <w:r>
              <w:rPr/>
              <w:t>$1,393,420,000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220" w:type="dxa"/>
            <w:tcBorders>
              <w:top w:val="single" w:sz="2" w:space="0" w:color="000000"/>
            </w:tcBorders>
            <w:shd w:fill="auto" w:val="clear"/>
            <w:tcMar>
              <w:top w:w="28" w:type="dxa"/>
            </w:tcMar>
            <w:vAlign w:val="bottom"/>
          </w:tcPr>
          <w:p>
            <w:pPr>
              <w:pStyle w:val="TableContents"/>
              <w:spacing w:before="0" w:after="283"/>
              <w:jc w:val="center"/>
              <w:rPr/>
            </w:pPr>
            <w:r>
              <w:rPr/>
              <w:t>$110.20 per  $1,000,000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220" w:type="dxa"/>
            <w:tcBorders>
              <w:top w:val="single" w:sz="2" w:space="0" w:color="000000"/>
              <w:right w:val="single" w:sz="2" w:space="0" w:color="000000"/>
            </w:tcBorders>
            <w:shd w:fill="auto" w:val="clear"/>
            <w:tcMar>
              <w:top w:w="28" w:type="dxa"/>
              <w:right w:w="40" w:type="dxa"/>
            </w:tcMar>
            <w:vAlign w:val="bottom"/>
          </w:tcPr>
          <w:p>
            <w:pPr>
              <w:pStyle w:val="TableContents"/>
              <w:spacing w:before="0" w:after="283"/>
              <w:jc w:val="center"/>
              <w:rPr/>
            </w:pPr>
            <w:r>
              <w:rPr/>
              <w:t>$153,554.89</w:t>
            </w:r>
          </w:p>
        </w:tc>
      </w:tr>
      <w:tr>
        <w:trPr/>
        <w:tc>
          <w:tcPr>
            <w:tcW w:w="380" w:type="dxa"/>
            <w:vMerge w:val="continue"/>
            <w:tcBorders>
              <w:left w:val="single" w:sz="2" w:space="0" w:color="000000"/>
            </w:tcBorders>
            <w:shd w:fill="auto" w:val="clear"/>
            <w:tcMar>
              <w:left w:w="160" w:type="dxa"/>
            </w:tcMar>
            <w:vAlign w:val="center"/>
          </w:tcPr>
          <w:p>
            <w:pPr>
              <w:pStyle w:val="Normal"/>
              <w:rPr/>
            </w:pPr>
            <w:r>
              <w:rPr/>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040" w:type="dxa"/>
            <w:tcBorders>
              <w:top w:val="single" w:sz="2" w:space="0" w:color="000000"/>
            </w:tcBorders>
            <w:shd w:fill="auto" w:val="clear"/>
            <w:tcMar>
              <w:top w:w="28" w:type="dxa"/>
            </w:tcMar>
            <w:vAlign w:val="bottom"/>
          </w:tcPr>
          <w:p>
            <w:pPr>
              <w:pStyle w:val="TableContents"/>
              <w:spacing w:before="0" w:after="283"/>
              <w:jc w:val="center"/>
              <w:rPr/>
            </w:pPr>
            <w:r>
              <w:rPr/>
              <w:t>Debt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2375" w:type="dxa"/>
            <w:tcBorders>
              <w:top w:val="single" w:sz="2" w:space="0" w:color="000000"/>
            </w:tcBorders>
            <w:shd w:fill="auto" w:val="clear"/>
            <w:tcMar>
              <w:top w:w="28" w:type="dxa"/>
            </w:tcMar>
            <w:vAlign w:val="bottom"/>
          </w:tcPr>
          <w:p>
            <w:pPr>
              <w:pStyle w:val="TableContents"/>
              <w:spacing w:before="0" w:after="283"/>
              <w:jc w:val="center"/>
              <w:rPr/>
            </w:pPr>
            <w:r>
              <w:rPr/>
              <w:t>Guarantees of 5.500%  Notes due 2064 (1)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05" w:type="dxa"/>
            <w:tcBorders>
              <w:top w:val="single" w:sz="2" w:space="0" w:color="000000"/>
            </w:tcBorders>
            <w:shd w:fill="auto" w:val="clear"/>
            <w:tcMar>
              <w:top w:w="28" w:type="dxa"/>
            </w:tcMar>
            <w:vAlign w:val="bottom"/>
          </w:tcPr>
          <w:p>
            <w:pPr>
              <w:pStyle w:val="TableContents"/>
              <w:spacing w:before="0" w:after="283"/>
              <w:jc w:val="center"/>
              <w:rPr/>
            </w:pPr>
            <w:r>
              <w:rPr/>
              <w:t>Other (2)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80" w:type="dxa"/>
            <w:tcBorders>
              <w:top w:val="single" w:sz="2" w:space="0" w:color="000000"/>
            </w:tcBorders>
            <w:shd w:fill="auto" w:val="clear"/>
            <w:tcMar>
              <w:top w:w="28" w:type="dxa"/>
            </w:tcMar>
            <w:vAlign w:val="bottom"/>
          </w:tcPr>
          <w:p>
            <w:pPr>
              <w:pStyle w:val="TableContents"/>
              <w:spacing w:before="0" w:after="283"/>
              <w:jc w:val="center"/>
              <w:rPr/>
            </w:pPr>
            <w:r>
              <w:rPr/>
              <w:t>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370" w:type="dxa"/>
            <w:tcBorders>
              <w:top w:val="single" w:sz="2" w:space="0" w:color="000000"/>
            </w:tcBorders>
            <w:shd w:fill="auto" w:val="clear"/>
            <w:tcMar>
              <w:top w:w="28" w:type="dxa"/>
            </w:tcMar>
            <w:vAlign w:val="bottom"/>
          </w:tcPr>
          <w:p>
            <w:pPr>
              <w:pStyle w:val="TableContents"/>
              <w:spacing w:before="0" w:after="283"/>
              <w:jc w:val="center"/>
              <w:rPr/>
            </w:pPr>
            <w:r>
              <w:rPr/>
              <w:t>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580" w:type="dxa"/>
            <w:tcBorders>
              <w:top w:val="single" w:sz="2" w:space="0" w:color="000000"/>
            </w:tcBorders>
            <w:shd w:fill="auto" w:val="clear"/>
            <w:tcMar>
              <w:top w:w="28" w:type="dxa"/>
            </w:tcMar>
            <w:vAlign w:val="bottom"/>
          </w:tcPr>
          <w:p>
            <w:pPr>
              <w:pStyle w:val="TableContents"/>
              <w:spacing w:before="0" w:after="283"/>
              <w:jc w:val="center"/>
              <w:rPr/>
            </w:pPr>
            <w:r>
              <w:rPr/>
              <w:t>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220" w:type="dxa"/>
            <w:tcBorders>
              <w:top w:val="single" w:sz="2" w:space="0" w:color="000000"/>
            </w:tcBorders>
            <w:shd w:fill="auto" w:val="clear"/>
            <w:tcMar>
              <w:top w:w="28" w:type="dxa"/>
            </w:tcMar>
            <w:vAlign w:val="bottom"/>
          </w:tcPr>
          <w:p>
            <w:pPr>
              <w:pStyle w:val="TableContents"/>
              <w:spacing w:before="0" w:after="283"/>
              <w:jc w:val="center"/>
              <w:rPr/>
            </w:pPr>
            <w:r>
              <w:rPr/>
              <w:t> </w:t>
            </w:r>
          </w:p>
        </w:tc>
        <w:tc>
          <w:tcPr>
            <w:tcW w:w="60" w:type="dxa"/>
            <w:tcBorders>
              <w:top w:val="single" w:sz="2" w:space="0" w:color="000000"/>
              <w:left w:val="single" w:sz="2" w:space="0" w:color="000000"/>
            </w:tcBorders>
            <w:shd w:fill="auto" w:val="clear"/>
            <w:tcMar>
              <w:top w:w="28" w:type="dxa"/>
              <w:left w:w="28" w:type="dxa"/>
            </w:tcMar>
            <w:vAlign w:val="bottom"/>
          </w:tcPr>
          <w:p>
            <w:pPr>
              <w:pStyle w:val="TableContents"/>
              <w:spacing w:before="0" w:after="283"/>
              <w:rPr/>
            </w:pPr>
            <w:r>
              <w:rPr/>
              <w:t> </w:t>
            </w:r>
          </w:p>
        </w:tc>
        <w:tc>
          <w:tcPr>
            <w:tcW w:w="1220" w:type="dxa"/>
            <w:tcBorders>
              <w:top w:val="single" w:sz="2" w:space="0" w:color="000000"/>
              <w:right w:val="single" w:sz="2" w:space="0" w:color="000000"/>
            </w:tcBorders>
            <w:shd w:fill="auto" w:val="clear"/>
            <w:tcMar>
              <w:top w:w="28" w:type="dxa"/>
              <w:right w:w="40" w:type="dxa"/>
            </w:tcMar>
            <w:vAlign w:val="bottom"/>
          </w:tcPr>
          <w:p>
            <w:pPr>
              <w:pStyle w:val="TableContents"/>
              <w:spacing w:before="0" w:after="283"/>
              <w:jc w:val="center"/>
              <w:rPr/>
            </w:pPr>
            <w:r>
              <w:rPr/>
              <w:t></w:t>
            </w:r>
          </w:p>
        </w:tc>
      </w:tr>
      <w:tr>
        <w:trPr>
          <w:trHeight w:val="15" w:hRule="atLeast"/>
        </w:trPr>
        <w:tc>
          <w:tcPr>
            <w:tcW w:w="38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6740" w:type="dxa"/>
            <w:gridSpan w:val="8"/>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43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64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380" w:type="dxa"/>
            <w:tcBorders>
              <w:left w:val="single" w:sz="2" w:space="0" w:color="000000"/>
            </w:tcBorders>
            <w:shd w:fill="auto" w:val="clear"/>
            <w:tcMar>
              <w:left w:w="160" w:type="dxa"/>
            </w:tcM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6680" w:type="dxa"/>
            <w:gridSpan w:val="7"/>
            <w:tcBorders/>
            <w:shd w:fill="auto" w:val="clear"/>
            <w:vAlign w:val="bottom"/>
          </w:tcPr>
          <w:p>
            <w:pPr>
              <w:pStyle w:val="TableContents"/>
              <w:spacing w:before="0" w:after="283"/>
              <w:jc w:val="center"/>
              <w:rPr/>
            </w:pPr>
            <w:r>
              <w:rPr/>
              <w:t>Total Offering Amounts</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37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80" w:type="dxa"/>
            <w:tcBorders/>
            <w:shd w:fill="auto" w:val="clear"/>
            <w:vAlign w:val="bottom"/>
          </w:tcPr>
          <w:p>
            <w:pPr>
              <w:pStyle w:val="TableContents"/>
              <w:spacing w:before="0" w:after="283"/>
              <w:jc w:val="center"/>
              <w:rPr/>
            </w:pPr>
            <w:r>
              <w:rPr/>
              <w:t>$4,981,284,000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sz w:val="4"/>
                <w:szCs w:val="4"/>
              </w:rPr>
            </w:pPr>
            <w:r>
              <w:rPr>
                <w:sz w:val="4"/>
                <w:szCs w:val="4"/>
              </w:rPr>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right w:val="single" w:sz="2" w:space="0" w:color="000000"/>
            </w:tcBorders>
            <w:shd w:fill="auto" w:val="clear"/>
            <w:tcMar>
              <w:right w:w="40" w:type="dxa"/>
            </w:tcMar>
            <w:vAlign w:val="bottom"/>
          </w:tcPr>
          <w:p>
            <w:pPr>
              <w:pStyle w:val="TableContents"/>
              <w:spacing w:before="0" w:after="283"/>
              <w:jc w:val="center"/>
              <w:rPr/>
            </w:pPr>
            <w:r>
              <w:rPr/>
              <w:t>$548,937.52</w:t>
            </w:r>
          </w:p>
        </w:tc>
      </w:tr>
      <w:tr>
        <w:trPr>
          <w:trHeight w:val="15" w:hRule="atLeast"/>
        </w:trPr>
        <w:tc>
          <w:tcPr>
            <w:tcW w:w="38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6740" w:type="dxa"/>
            <w:gridSpan w:val="8"/>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43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64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380" w:type="dxa"/>
            <w:tcBorders>
              <w:left w:val="single" w:sz="2" w:space="0" w:color="000000"/>
              <w:bottom w:val="single" w:sz="2" w:space="0" w:color="000000"/>
            </w:tcBorders>
            <w:shd w:fill="auto" w:val="clear"/>
            <w:tcMar>
              <w:left w:w="160" w:type="dxa"/>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6680" w:type="dxa"/>
            <w:gridSpan w:val="7"/>
            <w:tcBorders>
              <w:bottom w:val="single" w:sz="2" w:space="0" w:color="000000"/>
            </w:tcBorders>
            <w:shd w:fill="auto" w:val="clear"/>
            <w:tcMar>
              <w:bottom w:w="28" w:type="dxa"/>
            </w:tcMar>
            <w:vAlign w:val="bottom"/>
          </w:tcPr>
          <w:p>
            <w:pPr>
              <w:pStyle w:val="TableContents"/>
              <w:spacing w:before="0" w:after="283"/>
              <w:jc w:val="center"/>
              <w:rPr/>
            </w:pPr>
            <w:r>
              <w:rPr/>
              <w:t>Net Fee Due</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37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58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220" w:type="dxa"/>
            <w:tcBorders>
              <w:bottom w:val="single" w:sz="2" w:space="0" w:color="000000"/>
            </w:tcBorders>
            <w:shd w:fill="auto" w:val="clear"/>
            <w:tcMar>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220"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283"/>
              <w:jc w:val="center"/>
              <w:rPr/>
            </w:pPr>
            <w:r>
              <w:rPr/>
              <w:t>$548,937.52</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Comcast Cable Communications, LLC and NBCUniversal Media, LLC have each provided a guarantee with respect to the 4.550% Notes due 2029, 4.800% Notes due 2033, 5.350% Notes due 2053 and 5.500% Notes due 2064 issued by Comcast Corporation.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Pursuant to Rule 457(n) under the Securities Act of 1933, as amended, no additional registration fee is due with respect to the guarantees.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166691/000116669123000010/cmcsa-20221231.htm" TargetMode="External"/><Relationship Id="rId4" Type="http://schemas.openxmlformats.org/officeDocument/2006/relationships/hyperlink" Target="http://www.sec.gov/Archives/edgar/data/../../../ix?doc=/Archives/edgar/data/1166691/000116669123000024/cmcsa-20230331.htm" TargetMode="External"/><Relationship Id="rId5" Type="http://schemas.openxmlformats.org/officeDocument/2006/relationships/hyperlink" Target="http://www.sec.gov/Archives/edgar/data/../../../ix?doc=/Archives/edgar/data/1166691/000095010323000208/dp186651_8k.htm" TargetMode="External"/><Relationship Id="rId6" Type="http://schemas.openxmlformats.org/officeDocument/2006/relationships/hyperlink" Target="http://www.sec.gov/Archives/edgar/data/../../../ix?doc=/Archives/edgar/data/1166691/000119312523030148/d411790d8k.htm" TargetMode="External"/><Relationship Id="rId7" Type="http://schemas.openxmlformats.org/officeDocument/2006/relationships/hyperlink" Target="http://www.sec.gov/Archives/edgar/data/../../../ix?doc=/Archives/edgar/data/1166691/000095010323004120/dp190622_8k.htm" TargetMode="External"/><Relationship Id="rId8" Type="http://schemas.openxmlformats.org/officeDocument/2006/relationships/hyperlink" Target="http://www.sec.gov/Archives/edgar/data/../../../ix?doc=/Archives/edgar/data/1166691/000095010323006033/dp190706_8k.htm" TargetMode="External"/><Relationship Id="rId9" Type="http://schemas.openxmlformats.org/officeDocument/2006/relationships/hyperlink" Target="http://www.sec.gov/Archives/edgar/data/../../../ix?doc=/Archives/edgar/data/1166691/000095010323006065/dp192586_8k.htm" TargetMode="External"/><Relationship Id="rId10" Type="http://schemas.openxmlformats.org/officeDocument/2006/relationships/hyperlink" Target="http://www.sec.gov/Archives/edgar/data/../../../ix?doc=/Archives/edgar/data/1166691/000095010323006594/dp193091_8k.htm" TargetMode="External"/><Relationship Id="rId11" Type="http://schemas.openxmlformats.org/officeDocument/2006/relationships/hyperlink" Target="http://www.sec.gov/Archives/edgar/data/../../../ix?doc=/Archives/edgar/data/1166691/000130817923000809/cmcsa4130111-def14a.htm" TargetMode="External"/><Relationship Id="rId12" Type="http://schemas.openxmlformats.org/officeDocument/2006/relationships/hyperlink" Target="http://www.sec.gov/Archives/edgar/data/../../../ix?doc=/Archives/edgar/data/1166691/000116669123000010/cmcsa-20221231.htm" TargetMode="External"/><Relationship Id="rId13" Type="http://schemas.openxmlformats.org/officeDocument/2006/relationships/image" Target="media/image2.jpeg"/><Relationship Id="rId14" Type="http://schemas.openxmlformats.org/officeDocument/2006/relationships/hyperlink" Target="http://www.sec.gov/Archives/edgar/data/../../../ix?doc=/Archives/edgar/data/1166691/000116669122000009/cmcsa-20211231.htm" TargetMode="External"/><Relationship Id="rId15" Type="http://schemas.openxmlformats.org/officeDocument/2006/relationships/hyperlink" Target="http://www.sec.gov/Archives/edgar/data/../../../ix?doc=/Archives/edgar/data/1166691/000116669122000018/cmcsa-20220331.htm" TargetMode="External"/><Relationship Id="rId16" Type="http://schemas.openxmlformats.org/officeDocument/2006/relationships/hyperlink" Target="http://www.sec.gov/Archives/edgar/data/../../../ix?doc=/Archives/edgar/data/1166691/000116669122000030/cmcsa-20220630.htm" TargetMode="External"/><Relationship Id="rId17" Type="http://schemas.openxmlformats.org/officeDocument/2006/relationships/hyperlink" Target="http://www.sec.gov/Archives/edgar/data/../../../ix?doc=/Archives/edgar/data/1166691/000095010322010112/dp174738_8k.htm" TargetMode="External"/><Relationship Id="rId18" Type="http://schemas.openxmlformats.org/officeDocument/2006/relationships/hyperlink" Target="http://www.sec.gov/Archives/edgar/data/1166691/000120677422001186/cmcsa4011221-def14a.htm" TargetMode="External"/><Relationship Id="rId19" Type="http://schemas.openxmlformats.org/officeDocument/2006/relationships/hyperlink" Target="http://www.sec.gov/Archives/edgar/data/../../../ix?doc=/Archives/edgar/data/1166691/000116669122000009/cmcsa-20211231.htm" TargetMode="External"/><Relationship Id="rId20" Type="http://schemas.openxmlformats.org/officeDocument/2006/relationships/hyperlink" Target="http://www.sec.gov/Archives/edgar/data/1166691/000095010315009516/dp61838_8k.htm" TargetMode="External"/><Relationship Id="rId21" Type="http://schemas.openxmlformats.org/officeDocument/2006/relationships/image" Target="media/image3.jpeg"/><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55</Pages>
  <Words>27748</Words>
  <CharactersWithSpaces>170419</CharactersWithSpaces>
  <Paragraphs>2587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