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26, 2018</w:t>
      </w:r>
    </w:p>
    <w:p>
      <w:pPr>
        <w:spacing w:after="0" w:line="31"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27-0000798</w:t>
      </w:r>
    </w:p>
    <w:p>
      <w:pPr>
        <w:spacing w:after="0" w:line="24" w:lineRule="exact"/>
        <w:rPr>
          <w:sz w:val="24"/>
          <w:szCs w:val="24"/>
          <w:color w:val="auto"/>
        </w:rPr>
      </w:pPr>
    </w:p>
    <w:p>
      <w:pPr>
        <w:sectPr>
          <w:pgSz w:w="11900" w:h="16838" w:orient="portrait"/>
          <w:cols w:equalWidth="0" w:num="2">
            <w:col w:w="7500" w:space="720"/>
            <w:col w:w="3200"/>
          </w:cols>
          <w:pgMar w:left="240" w:top="225" w:right="2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5" w:right="2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420"/>
          </w:cols>
          <w:pgMar w:left="240" w:top="225" w:right="239" w:bottom="1440"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2005 DEFERRED COMPENSATION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Arthur R. Block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3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8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7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8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7"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151130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OF REGISTRATION FEE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right w:val="single" w:sz="8" w:color="auto"/>
            </w:tcBorders>
          </w:tcPr>
          <w:p>
            <w:pPr>
              <w:jc w:val="center"/>
              <w:ind w:left="2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00" w:type="dxa"/>
            <w:vAlign w:val="bottom"/>
            <w:tcBorders>
              <w:right w:val="single" w:sz="8" w:color="auto"/>
            </w:tcBorders>
          </w:tcPr>
          <w:p>
            <w:pPr>
              <w:jc w:val="center"/>
              <w:ind w:left="2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securities</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0" w:type="dxa"/>
            <w:vAlign w:val="bottom"/>
            <w:tcBorders>
              <w:right w:val="single" w:sz="8" w:color="auto"/>
            </w:tcBorders>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rPr>
              <w:t>per unit (1)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offering price (2)</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Compensation Obligations</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rPr>
              <w:t>$500,000,000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Times New Roman" w:cs="Times New Roman" w:eastAsia="Times New Roman" w:hAnsi="Times New Roman"/>
                <w:sz w:val="18"/>
                <w:szCs w:val="18"/>
                <w:color w:val="auto"/>
                <w:w w:val="99"/>
              </w:rPr>
              <w:t>100%</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rPr>
              <w:t>$500,000,000</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$62,250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20" w:hanging="452"/>
        <w:spacing w:after="0" w:line="253"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compensation obligations (the “Deferred Compensation Obligations”) to which this registration statement (“Registration Statement”) relates arise under the Comcast Corporation 2005 Deferred Compensation Plan, as amended and restated (the “Deferred Compensation Plan”), and are unsecured general obligations of Comcast Corporation (the “Registrant”) to pay up to $500,000,000 of deferred compensation from time to time in the future pursuant to compensation deferral elections made by participants in the Deferred Compensation Plan in accordance with the terms of the Deferred Compensation Plan.</w:t>
      </w:r>
    </w:p>
    <w:p>
      <w:pPr>
        <w:spacing w:after="0" w:line="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457(h) under the Securities Act of 1933, as amended, solely for the purpose of calculating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is being filed in order to register an additional $500,000,000 of Deferred Compensation Obligations of the Registrant under the Deferred Compensation Plan, which are securities of the same class and relate to the same employee benefit plan as those deferred compensation obligations registered on the Registrant’s registration statements on Form S-8 previously filed with the Commission on March 10, 2016 (Registration No. 333-210085), February 12, 2014 (Registration No. 333-193903), February 23, 2012 (Registration No. 333-179638), and December 8, 2004 (Registration No. 333-121082), all of which are hereby incorporated by reference.</w:t>
      </w:r>
    </w:p>
    <w:p>
      <w:pPr>
        <w:sectPr>
          <w:pgSz w:w="11900" w:h="16838" w:orient="portrait"/>
          <w:cols w:equalWidth="0" w:num="1">
            <w:col w:w="11180"/>
          </w:cols>
          <w:pgMar w:left="240" w:top="266"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80" w:type="dxa"/>
            <w:vAlign w:val="bottom"/>
            <w:gridSpan w:val="4"/>
          </w:tcPr>
          <w:p>
            <w:pPr>
              <w:jc w:val="center"/>
              <w:ind w:right="488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00" w:type="dxa"/>
            <w:vAlign w:val="bottom"/>
            <w:gridSpan w:val="10"/>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INFORMATION REQUIRED IN THE REGISTRATION STATEMENT</w:t>
            </w:r>
          </w:p>
        </w:tc>
        <w:tc>
          <w:tcPr>
            <w:tcW w:w="0" w:type="dxa"/>
            <w:vAlign w:val="bottom"/>
          </w:tcPr>
          <w:p>
            <w:pPr>
              <w:spacing w:after="0"/>
              <w:rPr>
                <w:sz w:val="1"/>
                <w:szCs w:val="1"/>
                <w:color w:val="auto"/>
              </w:rPr>
            </w:pPr>
          </w:p>
        </w:tc>
      </w:tr>
      <w:tr>
        <w:trPr>
          <w:trHeight w:val="432"/>
        </w:trPr>
        <w:tc>
          <w:tcPr>
            <w:tcW w:w="109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0" w:type="dxa"/>
            <w:vAlign w:val="bottom"/>
          </w:tcPr>
          <w:p>
            <w:pPr>
              <w:spacing w:after="0"/>
              <w:rPr>
                <w:sz w:val="1"/>
                <w:szCs w:val="1"/>
                <w:color w:val="auto"/>
              </w:rPr>
            </w:pPr>
          </w:p>
        </w:tc>
      </w:tr>
      <w:tr>
        <w:trPr>
          <w:trHeight w:val="367"/>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100" w:type="dxa"/>
            <w:vAlign w:val="bottom"/>
            <w:gridSpan w:val="1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910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2"/>
                <w:szCs w:val="22"/>
                <w:color w:val="auto"/>
              </w:rPr>
            </w:pPr>
          </w:p>
        </w:tc>
        <w:tc>
          <w:tcPr>
            <w:tcW w:w="9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Comcast Corporation 2005 Deferred Compensation Plan, as amended and restated effective May 20, 2015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20" w:type="dxa"/>
            <w:vAlign w:val="bottom"/>
            <w:gridSpan w:val="11"/>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Exhibit 10.5 to the Registrant’s Quarterly Report on Form 10-Q for the quarter ended June 30, 2015)</w:t>
              </w:r>
            </w:hyperlink>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59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Opinion of Blank Rome LLP (re: validity of Deferred Compensation Obligations)</w:t>
            </w:r>
          </w:p>
        </w:tc>
        <w:tc>
          <w:tcPr>
            <w:tcW w:w="13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tcPr>
          <w:p>
            <w:pPr>
              <w:spacing w:after="0"/>
              <w:rPr>
                <w:sz w:val="24"/>
                <w:szCs w:val="24"/>
                <w:color w:val="auto"/>
              </w:rPr>
            </w:pP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Opinion of Blank Rome LLP (re: ERISA compliance)</w:t>
            </w: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23.1</w:t>
            </w:r>
          </w:p>
        </w:tc>
        <w:tc>
          <w:tcPr>
            <w:tcW w:w="560" w:type="dxa"/>
            <w:vAlign w:val="bottom"/>
          </w:tcPr>
          <w:p>
            <w:pPr>
              <w:spacing w:after="0"/>
              <w:rPr>
                <w:sz w:val="24"/>
                <w:szCs w:val="24"/>
                <w:color w:val="auto"/>
              </w:rPr>
            </w:pPr>
          </w:p>
        </w:tc>
        <w:tc>
          <w:tcPr>
            <w:tcW w:w="38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Consent of Deloitte &amp; Touche LLP</w:t>
            </w:r>
          </w:p>
        </w:tc>
        <w:tc>
          <w:tcPr>
            <w:tcW w:w="59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23.2</w:t>
            </w:r>
          </w:p>
        </w:tc>
        <w:tc>
          <w:tcPr>
            <w:tcW w:w="560" w:type="dxa"/>
            <w:vAlign w:val="bottom"/>
          </w:tcPr>
          <w:p>
            <w:pPr>
              <w:spacing w:after="0"/>
              <w:rPr>
                <w:sz w:val="24"/>
                <w:szCs w:val="24"/>
                <w:color w:val="auto"/>
              </w:rPr>
            </w:pP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 xml:space="preserve">Consent of Blank Rome LLP (contained in Exhibits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EE"/>
              </w:rPr>
              <w:t>5.2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24.1</w:t>
            </w:r>
          </w:p>
        </w:tc>
        <w:tc>
          <w:tcPr>
            <w:tcW w:w="560" w:type="dxa"/>
            <w:vAlign w:val="bottom"/>
          </w:tcPr>
          <w:p>
            <w:pPr>
              <w:spacing w:after="0"/>
              <w:rPr>
                <w:sz w:val="24"/>
                <w:szCs w:val="24"/>
                <w:color w:val="auto"/>
              </w:rPr>
            </w:pPr>
          </w:p>
        </w:tc>
        <w:tc>
          <w:tcPr>
            <w:tcW w:w="9820" w:type="dxa"/>
            <w:vAlign w:val="bottom"/>
            <w:gridSpan w:val="1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Power of Attorney (contained in the signature pages hereto)</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00"/>
          </w:cols>
          <w:pgMar w:left="240" w:top="266" w:right="7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April 26, 2018.</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572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Arthur R. Block</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4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and Secretary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Brian L. Roberts, Michael J. Cavanagh, David L. Cohen, Daniel C. Murdock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8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2920" w:type="dxa"/>
            <w:vAlign w:val="bottom"/>
          </w:tcPr>
          <w:p>
            <w:pPr>
              <w:jc w:val="center"/>
              <w:ind w:right="127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60" w:type="dxa"/>
            <w:vAlign w:val="bottom"/>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3"/>
              </w:rPr>
              <w:t>/s/</w:t>
            </w:r>
          </w:p>
        </w:tc>
        <w:tc>
          <w:tcPr>
            <w:tcW w:w="2920" w:type="dxa"/>
            <w:vAlign w:val="bottom"/>
            <w:tcBorders>
              <w:bottom w:val="single" w:sz="8" w:color="auto"/>
            </w:tcBorders>
          </w:tcPr>
          <w:p>
            <w:pPr>
              <w:jc w:val="center"/>
              <w:ind w:right="1271"/>
              <w:spacing w:after="0"/>
              <w:rPr>
                <w:sz w:val="20"/>
                <w:szCs w:val="20"/>
                <w:color w:val="auto"/>
              </w:rPr>
            </w:pPr>
            <w:r>
              <w:rPr>
                <w:rFonts w:ascii="Times New Roman" w:cs="Times New Roman" w:eastAsia="Times New Roman" w:hAnsi="Times New Roman"/>
                <w:sz w:val="18"/>
                <w:szCs w:val="18"/>
                <w:color w:val="auto"/>
                <w:w w:val="99"/>
              </w:rPr>
              <w:t>Brian L. Roberts</w:t>
            </w:r>
          </w:p>
        </w:tc>
        <w:tc>
          <w:tcPr>
            <w:tcW w:w="5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Chairman and CEO; Director</w:t>
            </w:r>
          </w:p>
        </w:tc>
        <w:tc>
          <w:tcPr>
            <w:tcW w:w="16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Times New Roman" w:cs="Times New Roman" w:eastAsia="Times New Roman" w:hAnsi="Times New Roman"/>
                <w:sz w:val="18"/>
                <w:szCs w:val="18"/>
                <w:color w:val="auto"/>
                <w:w w:val="99"/>
              </w:rPr>
              <w:t>Brian L. Roberts</w:t>
            </w:r>
          </w:p>
        </w:tc>
        <w:tc>
          <w:tcPr>
            <w:tcW w:w="51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60" w:type="dxa"/>
            <w:vAlign w:val="bottom"/>
          </w:tcPr>
          <w:p>
            <w:pPr>
              <w:spacing w:after="0"/>
              <w:rPr>
                <w:sz w:val="19"/>
                <w:szCs w:val="19"/>
                <w:color w:val="auto"/>
              </w:rPr>
            </w:pPr>
          </w:p>
        </w:tc>
      </w:tr>
      <w:tr>
        <w:trPr>
          <w:trHeight w:val="427"/>
        </w:trPr>
        <w:tc>
          <w:tcPr>
            <w:tcW w:w="13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tcPr>
          <w:p>
            <w:pPr>
              <w:jc w:val="center"/>
              <w:ind w:right="1271"/>
              <w:spacing w:after="0"/>
              <w:rPr>
                <w:sz w:val="20"/>
                <w:szCs w:val="20"/>
                <w:color w:val="auto"/>
              </w:rPr>
            </w:pPr>
            <w:r>
              <w:rPr>
                <w:rFonts w:ascii="Times New Roman" w:cs="Times New Roman" w:eastAsia="Times New Roman" w:hAnsi="Times New Roman"/>
                <w:sz w:val="18"/>
                <w:szCs w:val="18"/>
                <w:color w:val="auto"/>
              </w:rPr>
              <w:t>Michael J. Cavanagh</w:t>
            </w:r>
          </w:p>
        </w:tc>
        <w:tc>
          <w:tcPr>
            <w:tcW w:w="51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Senior Executive Vice President and CFO</w:t>
            </w:r>
          </w:p>
        </w:tc>
        <w:tc>
          <w:tcPr>
            <w:tcW w:w="16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Times New Roman" w:cs="Times New Roman" w:eastAsia="Times New Roman" w:hAnsi="Times New Roman"/>
                <w:sz w:val="18"/>
                <w:szCs w:val="18"/>
                <w:color w:val="auto"/>
              </w:rPr>
              <w:t>Michael J. Cavanagh</w:t>
            </w:r>
          </w:p>
        </w:tc>
        <w:tc>
          <w:tcPr>
            <w:tcW w:w="5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660" w:type="dxa"/>
            <w:vAlign w:val="bottom"/>
          </w:tcPr>
          <w:p>
            <w:pPr>
              <w:spacing w:after="0"/>
              <w:rPr>
                <w:sz w:val="19"/>
                <w:szCs w:val="19"/>
                <w:color w:val="auto"/>
              </w:rPr>
            </w:pPr>
          </w:p>
        </w:tc>
      </w:tr>
      <w:tr>
        <w:trPr>
          <w:trHeight w:val="427"/>
        </w:trPr>
        <w:tc>
          <w:tcPr>
            <w:tcW w:w="13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tcPr>
          <w:p>
            <w:pPr>
              <w:jc w:val="center"/>
              <w:ind w:right="1271"/>
              <w:spacing w:after="0"/>
              <w:rPr>
                <w:sz w:val="20"/>
                <w:szCs w:val="20"/>
                <w:color w:val="auto"/>
              </w:rPr>
            </w:pPr>
            <w:r>
              <w:rPr>
                <w:rFonts w:ascii="Times New Roman" w:cs="Times New Roman" w:eastAsia="Times New Roman" w:hAnsi="Times New Roman"/>
                <w:sz w:val="18"/>
                <w:szCs w:val="18"/>
                <w:color w:val="auto"/>
              </w:rPr>
              <w:t>Daniel C. Murdock</w:t>
            </w:r>
          </w:p>
        </w:tc>
        <w:tc>
          <w:tcPr>
            <w:tcW w:w="5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c>
          <w:tcPr>
            <w:tcW w:w="16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Times New Roman" w:cs="Times New Roman" w:eastAsia="Times New Roman" w:hAnsi="Times New Roman"/>
                <w:sz w:val="18"/>
                <w:szCs w:val="18"/>
                <w:color w:val="auto"/>
              </w:rPr>
              <w:t>Daniel C. Murdock</w:t>
            </w:r>
          </w:p>
        </w:tc>
        <w:tc>
          <w:tcPr>
            <w:tcW w:w="51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60" w:type="dxa"/>
            <w:vAlign w:val="bottom"/>
          </w:tcPr>
          <w:p>
            <w:pPr>
              <w:spacing w:after="0"/>
              <w:rPr>
                <w:sz w:val="19"/>
                <w:szCs w:val="19"/>
                <w:color w:val="auto"/>
              </w:rPr>
            </w:pPr>
          </w:p>
        </w:tc>
      </w:tr>
      <w:tr>
        <w:trPr>
          <w:trHeight w:val="427"/>
        </w:trPr>
        <w:tc>
          <w:tcPr>
            <w:tcW w:w="1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spacing w:after="0"/>
              <w:rPr>
                <w:sz w:val="24"/>
                <w:szCs w:val="24"/>
                <w:color w:val="auto"/>
              </w:rPr>
            </w:pP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Times New Roman" w:cs="Times New Roman" w:eastAsia="Times New Roman" w:hAnsi="Times New Roman"/>
                <w:sz w:val="18"/>
                <w:szCs w:val="18"/>
                <w:color w:val="auto"/>
              </w:rPr>
              <w:t>Kenneth J. Bacon</w:t>
            </w:r>
          </w:p>
        </w:tc>
        <w:tc>
          <w:tcPr>
            <w:tcW w:w="5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7"/>
        </w:trPr>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3"/>
              </w:rPr>
              <w:t>/s/</w:t>
            </w:r>
          </w:p>
        </w:tc>
        <w:tc>
          <w:tcPr>
            <w:tcW w:w="2920" w:type="dxa"/>
            <w:vAlign w:val="bottom"/>
            <w:tcBorders>
              <w:bottom w:val="single" w:sz="8" w:color="auto"/>
            </w:tcBorders>
          </w:tcPr>
          <w:p>
            <w:pPr>
              <w:jc w:val="center"/>
              <w:ind w:right="1291"/>
              <w:spacing w:after="0"/>
              <w:rPr>
                <w:sz w:val="20"/>
                <w:szCs w:val="20"/>
                <w:color w:val="auto"/>
              </w:rPr>
            </w:pPr>
            <w:r>
              <w:rPr>
                <w:rFonts w:ascii="Times New Roman" w:cs="Times New Roman" w:eastAsia="Times New Roman" w:hAnsi="Times New Roman"/>
                <w:sz w:val="18"/>
                <w:szCs w:val="18"/>
                <w:color w:val="auto"/>
              </w:rPr>
              <w:t>Madeline S. Bell</w:t>
            </w:r>
          </w:p>
        </w:tc>
        <w:tc>
          <w:tcPr>
            <w:tcW w:w="5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Times New Roman" w:cs="Times New Roman" w:eastAsia="Times New Roman" w:hAnsi="Times New Roman"/>
                <w:sz w:val="18"/>
                <w:szCs w:val="18"/>
                <w:color w:val="auto"/>
                <w:w w:val="98"/>
              </w:rPr>
              <w:t>Madeline S. Bell</w:t>
            </w:r>
          </w:p>
        </w:tc>
        <w:tc>
          <w:tcPr>
            <w:tcW w:w="5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7"/>
        </w:trPr>
        <w:tc>
          <w:tcPr>
            <w:tcW w:w="13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tcPr>
          <w:p>
            <w:pPr>
              <w:jc w:val="center"/>
              <w:ind w:right="1291"/>
              <w:spacing w:after="0"/>
              <w:rPr>
                <w:sz w:val="20"/>
                <w:szCs w:val="20"/>
                <w:color w:val="auto"/>
              </w:rPr>
            </w:pPr>
            <w:r>
              <w:rPr>
                <w:rFonts w:ascii="Times New Roman" w:cs="Times New Roman" w:eastAsia="Times New Roman" w:hAnsi="Times New Roman"/>
                <w:sz w:val="18"/>
                <w:szCs w:val="18"/>
                <w:color w:val="auto"/>
                <w:w w:val="99"/>
              </w:rPr>
              <w:t>Sheldon M. Bonovitz</w:t>
            </w:r>
          </w:p>
        </w:tc>
        <w:tc>
          <w:tcPr>
            <w:tcW w:w="5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Times New Roman" w:cs="Times New Roman" w:eastAsia="Times New Roman" w:hAnsi="Times New Roman"/>
                <w:sz w:val="18"/>
                <w:szCs w:val="18"/>
                <w:color w:val="auto"/>
              </w:rPr>
              <w:t>Sheldon M. Bonovitz</w:t>
            </w:r>
          </w:p>
        </w:tc>
        <w:tc>
          <w:tcPr>
            <w:tcW w:w="5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7"/>
        </w:trPr>
        <w:tc>
          <w:tcPr>
            <w:tcW w:w="13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tcPr>
          <w:p>
            <w:pPr>
              <w:jc w:val="center"/>
              <w:ind w:right="1291"/>
              <w:spacing w:after="0"/>
              <w:rPr>
                <w:sz w:val="20"/>
                <w:szCs w:val="20"/>
                <w:color w:val="auto"/>
              </w:rPr>
            </w:pPr>
            <w:r>
              <w:rPr>
                <w:rFonts w:ascii="Times New Roman" w:cs="Times New Roman" w:eastAsia="Times New Roman" w:hAnsi="Times New Roman"/>
                <w:sz w:val="18"/>
                <w:szCs w:val="18"/>
                <w:color w:val="auto"/>
              </w:rPr>
              <w:t>Edward D. Breen</w:t>
            </w:r>
          </w:p>
        </w:tc>
        <w:tc>
          <w:tcPr>
            <w:tcW w:w="5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Times New Roman" w:cs="Times New Roman" w:eastAsia="Times New Roman" w:hAnsi="Times New Roman"/>
                <w:sz w:val="18"/>
                <w:szCs w:val="18"/>
                <w:color w:val="auto"/>
                <w:w w:val="98"/>
              </w:rPr>
              <w:t>Edward D. Breen</w:t>
            </w:r>
          </w:p>
        </w:tc>
        <w:tc>
          <w:tcPr>
            <w:tcW w:w="514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ectPr>
          <w:pgSz w:w="11900" w:h="16838" w:orient="portrait"/>
          <w:cols w:equalWidth="0" w:num="1">
            <w:col w:w="11400"/>
          </w:cols>
          <w:pgMar w:left="240" w:top="266" w:right="25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3"/>
              </w:rPr>
              <w:t>/s/</w:t>
            </w: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right="1370"/>
              <w:spacing w:after="0"/>
              <w:rPr>
                <w:sz w:val="20"/>
                <w:szCs w:val="20"/>
                <w:color w:val="auto"/>
              </w:rPr>
            </w:pPr>
            <w:r>
              <w:rPr>
                <w:rFonts w:ascii="Times New Roman" w:cs="Times New Roman" w:eastAsia="Times New Roman" w:hAnsi="Times New Roman"/>
                <w:sz w:val="18"/>
                <w:szCs w:val="18"/>
                <w:color w:val="auto"/>
                <w:w w:val="99"/>
              </w:rPr>
              <w:t>Gerald L. Hassell</w:t>
            </w:r>
          </w:p>
        </w:tc>
        <w:tc>
          <w:tcPr>
            <w:tcW w:w="43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April 26, 2018</w:t>
            </w:r>
          </w:p>
        </w:tc>
      </w:tr>
      <w:tr>
        <w:trPr>
          <w:trHeight w:val="228"/>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Gerald L. Hassell</w:t>
            </w: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13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w:t>
            </w:r>
          </w:p>
        </w:tc>
        <w:tc>
          <w:tcPr>
            <w:tcW w:w="2940" w:type="dxa"/>
            <w:vAlign w:val="bottom"/>
            <w:tcBorders>
              <w:bottom w:val="single" w:sz="8" w:color="auto"/>
            </w:tcBorders>
            <w:gridSpan w:val="2"/>
          </w:tcPr>
          <w:p>
            <w:pPr>
              <w:jc w:val="center"/>
              <w:ind w:right="1250"/>
              <w:spacing w:after="0"/>
              <w:rPr>
                <w:sz w:val="20"/>
                <w:szCs w:val="20"/>
                <w:color w:val="auto"/>
              </w:rPr>
            </w:pPr>
            <w:r>
              <w:rPr>
                <w:rFonts w:ascii="Times New Roman" w:cs="Times New Roman" w:eastAsia="Times New Roman" w:hAnsi="Times New Roman"/>
                <w:sz w:val="18"/>
                <w:szCs w:val="18"/>
                <w:color w:val="auto"/>
                <w:w w:val="99"/>
              </w:rPr>
              <w:t>Jeffrey A. Honickman</w:t>
            </w:r>
          </w:p>
        </w:tc>
        <w:tc>
          <w:tcPr>
            <w:tcW w:w="43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April 26, 2018</w:t>
            </w:r>
          </w:p>
        </w:tc>
      </w:tr>
      <w:tr>
        <w:trPr>
          <w:trHeight w:val="228"/>
        </w:trPr>
        <w:tc>
          <w:tcPr>
            <w:tcW w:w="1340" w:type="dxa"/>
            <w:vAlign w:val="bottom"/>
          </w:tcPr>
          <w:p>
            <w:pPr>
              <w:spacing w:after="0"/>
              <w:rPr>
                <w:sz w:val="19"/>
                <w:szCs w:val="19"/>
                <w:color w:val="auto"/>
              </w:rPr>
            </w:pPr>
          </w:p>
        </w:tc>
        <w:tc>
          <w:tcPr>
            <w:tcW w:w="2940" w:type="dxa"/>
            <w:vAlign w:val="bottom"/>
            <w:gridSpan w:val="2"/>
          </w:tcPr>
          <w:p>
            <w:pPr>
              <w:jc w:val="center"/>
              <w:ind w:right="1250"/>
              <w:spacing w:after="0"/>
              <w:rPr>
                <w:sz w:val="20"/>
                <w:szCs w:val="20"/>
                <w:color w:val="auto"/>
              </w:rPr>
            </w:pPr>
            <w:r>
              <w:rPr>
                <w:rFonts w:ascii="Times New Roman" w:cs="Times New Roman" w:eastAsia="Times New Roman" w:hAnsi="Times New Roman"/>
                <w:sz w:val="18"/>
                <w:szCs w:val="18"/>
                <w:color w:val="auto"/>
                <w:w w:val="99"/>
              </w:rPr>
              <w:t>Jeffrey A. Honickman</w:t>
            </w: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144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/s/</w:t>
            </w:r>
          </w:p>
        </w:tc>
        <w:tc>
          <w:tcPr>
            <w:tcW w:w="2840" w:type="dxa"/>
            <w:vAlign w:val="bottom"/>
            <w:tcBorders>
              <w:bottom w:val="single" w:sz="8" w:color="auto"/>
            </w:tcBorders>
          </w:tcPr>
          <w:p>
            <w:pPr>
              <w:jc w:val="center"/>
              <w:ind w:right="1370"/>
              <w:spacing w:after="0"/>
              <w:rPr>
                <w:sz w:val="20"/>
                <w:szCs w:val="20"/>
                <w:color w:val="auto"/>
              </w:rPr>
            </w:pPr>
            <w:r>
              <w:rPr>
                <w:rFonts w:ascii="Times New Roman" w:cs="Times New Roman" w:eastAsia="Times New Roman" w:hAnsi="Times New Roman"/>
                <w:sz w:val="18"/>
                <w:szCs w:val="18"/>
                <w:color w:val="auto"/>
                <w:w w:val="98"/>
              </w:rPr>
              <w:t>Asuka Nakahara</w:t>
            </w:r>
          </w:p>
        </w:tc>
        <w:tc>
          <w:tcPr>
            <w:tcW w:w="43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April 26, 2018</w:t>
            </w:r>
          </w:p>
        </w:tc>
      </w:tr>
      <w:tr>
        <w:trPr>
          <w:trHeight w:val="228"/>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Asuka Nakahara</w:t>
            </w: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144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color w:val="auto"/>
              </w:rPr>
              <w:t>/s/</w:t>
            </w:r>
          </w:p>
        </w:tc>
        <w:tc>
          <w:tcPr>
            <w:tcW w:w="2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David C. Novak</w:t>
            </w:r>
          </w:p>
        </w:tc>
        <w:tc>
          <w:tcPr>
            <w:tcW w:w="43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April 26, 2018</w:t>
            </w:r>
          </w:p>
        </w:tc>
      </w:tr>
      <w:tr>
        <w:trPr>
          <w:trHeight w:val="228"/>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8"/>
              </w:rPr>
              <w:t>David C. Novak</w:t>
            </w: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13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w:t>
            </w:r>
          </w:p>
        </w:tc>
        <w:tc>
          <w:tcPr>
            <w:tcW w:w="2940" w:type="dxa"/>
            <w:vAlign w:val="bottom"/>
            <w:tcBorders>
              <w:bottom w:val="single" w:sz="8" w:color="auto"/>
            </w:tcBorders>
            <w:gridSpan w:val="2"/>
          </w:tcPr>
          <w:p>
            <w:pPr>
              <w:jc w:val="center"/>
              <w:ind w:right="1250"/>
              <w:spacing w:after="0"/>
              <w:rPr>
                <w:sz w:val="20"/>
                <w:szCs w:val="20"/>
                <w:color w:val="auto"/>
              </w:rPr>
            </w:pPr>
            <w:r>
              <w:rPr>
                <w:rFonts w:ascii="Times New Roman" w:cs="Times New Roman" w:eastAsia="Times New Roman" w:hAnsi="Times New Roman"/>
                <w:sz w:val="18"/>
                <w:szCs w:val="18"/>
                <w:color w:val="auto"/>
              </w:rPr>
              <w:t>Johnathan A. Rodgers</w:t>
            </w:r>
          </w:p>
        </w:tc>
        <w:tc>
          <w:tcPr>
            <w:tcW w:w="43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April 26, 2018</w:t>
            </w:r>
          </w:p>
        </w:tc>
      </w:tr>
      <w:tr>
        <w:trPr>
          <w:trHeight w:val="228"/>
        </w:trPr>
        <w:tc>
          <w:tcPr>
            <w:tcW w:w="1340" w:type="dxa"/>
            <w:vAlign w:val="bottom"/>
          </w:tcPr>
          <w:p>
            <w:pPr>
              <w:spacing w:after="0"/>
              <w:rPr>
                <w:sz w:val="19"/>
                <w:szCs w:val="19"/>
                <w:color w:val="auto"/>
              </w:rPr>
            </w:pPr>
          </w:p>
        </w:tc>
        <w:tc>
          <w:tcPr>
            <w:tcW w:w="2940" w:type="dxa"/>
            <w:vAlign w:val="bottom"/>
            <w:gridSpan w:val="2"/>
          </w:tcPr>
          <w:p>
            <w:pPr>
              <w:jc w:val="center"/>
              <w:ind w:right="1250"/>
              <w:spacing w:after="0"/>
              <w:rPr>
                <w:sz w:val="20"/>
                <w:szCs w:val="20"/>
                <w:color w:val="auto"/>
              </w:rPr>
            </w:pPr>
            <w:r>
              <w:rPr>
                <w:rFonts w:ascii="Times New Roman" w:cs="Times New Roman" w:eastAsia="Times New Roman" w:hAnsi="Times New Roman"/>
                <w:sz w:val="18"/>
                <w:szCs w:val="18"/>
                <w:color w:val="auto"/>
              </w:rPr>
              <w:t>Johnathan A. Rodgers</w:t>
            </w: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ectPr>
          <w:pgSz w:w="11900" w:h="16838" w:orient="portrait"/>
          <w:cols w:equalWidth="0" w:num="1">
            <w:col w:w="11080"/>
          </w:cols>
          <w:pgMar w:left="240" w:top="486" w:right="5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92087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9208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Logan Square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North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 Philadelphia, PA 19103-6998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blankrome.com</w:t>
      </w:r>
    </w:p>
    <w:p>
      <w:pPr>
        <w:spacing w:after="0" w:line="23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215-569-5500</w:t>
      </w:r>
    </w:p>
    <w:p>
      <w:pPr>
        <w:spacing w:after="0" w:line="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215-569-5555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26,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have acted as counsel to Comcast Corporation, a Pennsylvania corporation (the “Company”), in connection with the preparation of the Registration Statement on Form S-8 (“Registration Statement”) to be filed by the Company with the Securities and Exchange Commission under the Securities Act of 1933, as amended (the “Act”), relating to the registration by the Company of $500,000,000 of deferred compensation obligations (the “Deferred Compensation Obligations”), which represent general unsecured obligations to pay deferred compensation in the future in accordance with the Comcast Corporation 2005 Deferred Compensation Plan, as amended and restated (the “Deferred Compensation Plan”). This opinion is furnished pursuant to the requirements of Item 601(b)(5) of Regulation S-K.</w:t>
      </w:r>
    </w:p>
    <w:p>
      <w:pPr>
        <w:spacing w:after="0" w:line="18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w:t>
      </w:r>
    </w:p>
    <w:p>
      <w:pPr>
        <w:spacing w:after="0" w:line="17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rendering this opinion, we have examined the following documents: (i) the Company’s Amended and Restated Articles of Incorporation; (ii) the Company’s Amended and Restated By-Laws; (iii) resolutions adopted by the Compensation Committee of the Board of Directors and the Board of Directors of the Company related to the Deferred Compensation Plan; (iv) the Registration Statement (including all exhibits thereto); (v) the Deferred Compensation Plan; and (vi) a certificate from an assistant secretary of the Company.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opinion is limited to the Pennsylvania Business Corporation Law of 1988, as amended.</w:t>
      </w:r>
    </w:p>
    <w:p>
      <w:pPr>
        <w:spacing w:after="0" w:line="22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Deferred Compensation Obligations, when issued in accordance with the Deferred Compensation Plan, will constitute valid and binding obligations of the Company enforceable against the Company in accordance with the terms of the Deferred Compensation Plan, except to the extent that enforcement thereof may be limited by (a) bankruptcy, insolvency, reorganization, receivership, fraudulent transfer, moratorium or other laws</w:t>
      </w:r>
    </w:p>
    <w:p>
      <w:pPr>
        <w:sectPr>
          <w:pgSz w:w="11900" w:h="16838" w:orient="portrait"/>
          <w:cols w:equalWidth="0" w:num="1">
            <w:col w:w="11420"/>
          </w:cols>
          <w:pgMar w:left="240" w:top="117" w:right="2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92087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920875" cy="257175"/>
                    </a:xfrm>
                    <a:prstGeom prst="rect">
                      <a:avLst/>
                    </a:prstGeom>
                    <a:noFill/>
                  </pic:spPr>
                </pic:pic>
              </a:graphicData>
            </a:graphic>
          </wp:anchor>
        </w:drawing>
        <w:t>relating to or affecting creditors’ rights generally and (b) general principles of equity, regardless of whether enforceability is considered in a proceeding at law or in equity.</w:t>
      </w:r>
    </w:p>
    <w:p>
      <w:pPr>
        <w:spacing w:after="0" w:line="162"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62" w:lineRule="exact"/>
        <w:rPr>
          <w:sz w:val="20"/>
          <w:szCs w:val="20"/>
          <w:color w:val="auto"/>
        </w:rPr>
      </w:pPr>
    </w:p>
    <w:p>
      <w:pPr>
        <w:ind w:right="180" w:firstLine="913"/>
        <w:spacing w:after="0" w:line="282" w:lineRule="auto"/>
        <w:rPr>
          <w:sz w:val="20"/>
          <w:szCs w:val="20"/>
          <w:color w:val="auto"/>
        </w:rPr>
      </w:pPr>
      <w:r>
        <w:rPr>
          <w:rFonts w:ascii="Times New Roman" w:cs="Times New Roman" w:eastAsia="Times New Roman" w:hAnsi="Times New Roman"/>
          <w:sz w:val="18"/>
          <w:szCs w:val="18"/>
          <w:color w:val="auto"/>
        </w:rPr>
        <w:t>This opinion is strictly limited to the matters stated herein and no other or more extensive opinion is intended, implied or to be inferred beyond the matters expressly stated herein.</w:t>
      </w:r>
    </w:p>
    <w:p>
      <w:pPr>
        <w:spacing w:after="0" w:line="162" w:lineRule="exact"/>
        <w:rPr>
          <w:sz w:val="20"/>
          <w:szCs w:val="20"/>
          <w:color w:val="auto"/>
        </w:rPr>
      </w:pPr>
    </w:p>
    <w:p>
      <w:pPr>
        <w:ind w:right="180" w:firstLine="913"/>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w:t>
      </w:r>
    </w:p>
    <w:p>
      <w:pPr>
        <w:spacing w:after="0" w:line="3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Blank Rome LLP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BLANK ROME LLP</w:t>
      </w:r>
    </w:p>
    <w:p>
      <w:pPr>
        <w:sectPr>
          <w:pgSz w:w="11900" w:h="16838" w:orient="portrait"/>
          <w:cols w:equalWidth="0" w:num="1">
            <w:col w:w="11400"/>
          </w:cols>
          <w:pgMar w:left="240" w:top="823" w:right="2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Logan Square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North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26, 2018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234"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Comcast Corporation 2005 Deferred Compensation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have served as counsel to Comcast Corporation, a Pennsylvania Corporation (the “Company”), in connection with the registration by the Company of obligations (“Deferred Compensation Obligations”) which may be incurred by the Company pursuant to the Company’s 2005 Deferred Compensation Plan (the “Plan”) and the filing of a registration statement on Form S-8 relating to the Deferred Compensation Obligations (the “Registration Statement”). Unless otherwise defined herein, capitalized terms used herein shall have the meanings assigned to them in the Registration Statement.</w:t>
      </w:r>
    </w:p>
    <w:p>
      <w:pPr>
        <w:spacing w:after="0" w:line="18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62"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The Plan document states that the Plan was established to permit eligible employees and non-employee directors to defer the receipt of compensation otherwise payable to such outside directors and eligible employees in accordance with the terms of the Plan. The Plan is unfunded and states that it is maintained primarily for the purpose of providing deferred compensation to outside directors and to a select group of management or highly compensated employees. For the purpose of this opinion, we have assumed that (1) the Plan has been duly adopted by the Company, and (2) the Plan is, and at all times since it was adopted by the Company has been, maintained primarily for the purpose of providing the opportunity to defer the receipt of compensation to non-employee directors and a select group of management or highly compensated employees.</w:t>
      </w:r>
    </w:p>
    <w:p>
      <w:pPr>
        <w:sectPr>
          <w:pgSz w:w="11900" w:h="16838" w:orient="portrait"/>
          <w:cols w:equalWidth="0" w:num="1">
            <w:col w:w="11420"/>
          </w:cols>
          <w:pgMar w:left="240" w:top="117" w:right="239" w:bottom="1440" w:gutter="0" w:footer="0" w:header="0"/>
        </w:sectPr>
      </w:pPr>
    </w:p>
    <w:bookmarkStart w:id="9" w:name="page10"/>
    <w:bookmarkEnd w:id="9"/>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Plan is subject to parts 1 and 5 of Title I of ERISA, but not to any other provisions of ERISA.</w:t>
      </w:r>
    </w:p>
    <w:p>
      <w:pPr>
        <w:spacing w:after="0" w:line="184"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Plan is not designed or operated with the purpose of satisfying the requirements for qualification under section 401(a) of the Internal Revenue Code of 1986, as amended.</w:t>
      </w:r>
    </w:p>
    <w:p>
      <w:pPr>
        <w:spacing w:after="0" w:line="162"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On the basis of the foregoing, we are of the opinion that the provisions of the written document constituting the Plan comply with the requirements of ERISA pertaining to such provisions.</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Blank Rome LLP</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Blank Rome LLP</w:t>
      </w:r>
    </w:p>
    <w:p>
      <w:pPr>
        <w:sectPr>
          <w:pgSz w:w="11900" w:h="16838" w:orient="portrait"/>
          <w:cols w:equalWidth="0" w:num="1">
            <w:col w:w="11320"/>
          </w:cols>
          <w:pgMar w:left="240" w:top="27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January 31, 2018,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2018</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19" Type="http://schemas.openxmlformats.org/officeDocument/2006/relationships/hyperlink" Target="http://www.sec.gov/Archives/edgar/data/902739/000119312515260886/d948790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2019-12-06T19:52:02Z</dcterms:created>
  <dcterms:modified xsi:type="dcterms:W3CDTF">2019-12-06T19:52:02Z</dcterms:modified>
</cp:coreProperties>
</file>