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w:t>
      </w:r>
    </w:p>
    <w:p>
      <w:pPr>
        <w:jc w:val="center"/>
        <w:ind w:right="-6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May 15,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480" w:type="dxa"/>
            <w:vAlign w:val="bottom"/>
          </w:tcPr>
          <w:p>
            <w:pPr>
              <w:spacing w:after="0"/>
              <w:rPr>
                <w:sz w:val="18"/>
                <w:szCs w:val="18"/>
                <w:color w:val="auto"/>
              </w:rPr>
            </w:pPr>
          </w:p>
        </w:tc>
        <w:tc>
          <w:tcPr>
            <w:tcW w:w="5420" w:type="dxa"/>
            <w:vAlign w:val="bottom"/>
          </w:tcPr>
          <w:p>
            <w:pPr>
              <w:jc w:val="center"/>
              <w:ind w:right="2342"/>
              <w:spacing w:after="0"/>
              <w:rPr>
                <w:sz w:val="20"/>
                <w:szCs w:val="20"/>
                <w:color w:val="auto"/>
              </w:rPr>
            </w:pPr>
            <w:r>
              <w:rPr>
                <w:rFonts w:ascii="Arial" w:cs="Arial" w:eastAsia="Arial" w:hAnsi="Arial"/>
                <w:sz w:val="18"/>
                <w:szCs w:val="18"/>
                <w:b w:val="1"/>
                <w:bCs w:val="1"/>
                <w:color w:val="auto"/>
                <w:w w:val="86"/>
              </w:rPr>
              <w:t>Pennsylvania</w:t>
            </w:r>
          </w:p>
        </w:tc>
      </w:tr>
      <w:tr>
        <w:trPr>
          <w:trHeight w:val="174"/>
        </w:trPr>
        <w:tc>
          <w:tcPr>
            <w:tcW w:w="2480" w:type="dxa"/>
            <w:vAlign w:val="bottom"/>
          </w:tcPr>
          <w:p>
            <w:pPr>
              <w:spacing w:after="0"/>
              <w:rPr>
                <w:sz w:val="15"/>
                <w:szCs w:val="15"/>
                <w:color w:val="auto"/>
              </w:rPr>
            </w:pPr>
          </w:p>
        </w:tc>
        <w:tc>
          <w:tcPr>
            <w:tcW w:w="5420" w:type="dxa"/>
            <w:vAlign w:val="bottom"/>
          </w:tcPr>
          <w:p>
            <w:pPr>
              <w:jc w:val="center"/>
              <w:ind w:right="2342"/>
              <w:spacing w:after="0"/>
              <w:rPr>
                <w:sz w:val="20"/>
                <w:szCs w:val="20"/>
                <w:color w:val="auto"/>
              </w:rPr>
            </w:pPr>
            <w:r>
              <w:rPr>
                <w:rFonts w:ascii="Arial" w:cs="Arial" w:eastAsia="Arial" w:hAnsi="Arial"/>
                <w:sz w:val="14"/>
                <w:szCs w:val="14"/>
                <w:b w:val="1"/>
                <w:bCs w:val="1"/>
                <w:color w:val="auto"/>
                <w:w w:val="88"/>
              </w:rPr>
              <w:t>(State or Other Jurisdiction of Incorporation)</w:t>
            </w:r>
          </w:p>
        </w:tc>
      </w:tr>
      <w:tr>
        <w:trPr>
          <w:trHeight w:val="393"/>
        </w:trPr>
        <w:tc>
          <w:tcPr>
            <w:tcW w:w="2480" w:type="dxa"/>
            <w:vAlign w:val="bottom"/>
          </w:tcPr>
          <w:p>
            <w:pPr>
              <w:jc w:val="center"/>
              <w:ind w:right="80"/>
              <w:spacing w:after="0"/>
              <w:rPr>
                <w:sz w:val="20"/>
                <w:szCs w:val="20"/>
                <w:color w:val="auto"/>
              </w:rPr>
            </w:pPr>
            <w:r>
              <w:rPr>
                <w:rFonts w:ascii="Arial" w:cs="Arial" w:eastAsia="Arial" w:hAnsi="Arial"/>
                <w:sz w:val="18"/>
                <w:szCs w:val="18"/>
                <w:b w:val="1"/>
                <w:bCs w:val="1"/>
                <w:color w:val="auto"/>
                <w:w w:val="88"/>
              </w:rPr>
              <w:t>001-32871</w:t>
            </w:r>
          </w:p>
        </w:tc>
        <w:tc>
          <w:tcPr>
            <w:tcW w:w="5420" w:type="dxa"/>
            <w:vAlign w:val="bottom"/>
          </w:tcPr>
          <w:p>
            <w:pPr>
              <w:jc w:val="center"/>
              <w:ind w:left="3362"/>
              <w:spacing w:after="0"/>
              <w:rPr>
                <w:sz w:val="20"/>
                <w:szCs w:val="20"/>
                <w:color w:val="auto"/>
              </w:rPr>
            </w:pPr>
            <w:r>
              <w:rPr>
                <w:rFonts w:ascii="Arial" w:cs="Arial" w:eastAsia="Arial" w:hAnsi="Arial"/>
                <w:sz w:val="18"/>
                <w:szCs w:val="18"/>
                <w:b w:val="1"/>
                <w:bCs w:val="1"/>
                <w:color w:val="auto"/>
                <w:w w:val="89"/>
              </w:rPr>
              <w:t>27-0000798</w:t>
            </w:r>
          </w:p>
        </w:tc>
      </w:tr>
      <w:tr>
        <w:trPr>
          <w:trHeight w:val="174"/>
        </w:trPr>
        <w:tc>
          <w:tcPr>
            <w:tcW w:w="2480" w:type="dxa"/>
            <w:vAlign w:val="bottom"/>
          </w:tcPr>
          <w:p>
            <w:pPr>
              <w:jc w:val="center"/>
              <w:ind w:right="100"/>
              <w:spacing w:after="0"/>
              <w:rPr>
                <w:sz w:val="20"/>
                <w:szCs w:val="20"/>
                <w:color w:val="auto"/>
              </w:rPr>
            </w:pPr>
            <w:r>
              <w:rPr>
                <w:rFonts w:ascii="Arial" w:cs="Arial" w:eastAsia="Arial" w:hAnsi="Arial"/>
                <w:sz w:val="14"/>
                <w:szCs w:val="14"/>
                <w:b w:val="1"/>
                <w:bCs w:val="1"/>
                <w:color w:val="auto"/>
                <w:w w:val="88"/>
              </w:rPr>
              <w:t>(Commission File Number)</w:t>
            </w:r>
          </w:p>
        </w:tc>
        <w:tc>
          <w:tcPr>
            <w:tcW w:w="5420" w:type="dxa"/>
            <w:vAlign w:val="bottom"/>
          </w:tcPr>
          <w:p>
            <w:pPr>
              <w:jc w:val="center"/>
              <w:ind w:left="336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405"/>
        </w:trPr>
        <w:tc>
          <w:tcPr>
            <w:tcW w:w="2480" w:type="dxa"/>
            <w:vAlign w:val="bottom"/>
          </w:tcPr>
          <w:p>
            <w:pPr>
              <w:jc w:val="center"/>
              <w:ind w:right="100"/>
              <w:spacing w:after="0"/>
              <w:rPr>
                <w:sz w:val="20"/>
                <w:szCs w:val="20"/>
                <w:color w:val="auto"/>
              </w:rPr>
            </w:pPr>
            <w:r>
              <w:rPr>
                <w:rFonts w:ascii="Arial" w:cs="Arial" w:eastAsia="Arial" w:hAnsi="Arial"/>
                <w:sz w:val="18"/>
                <w:szCs w:val="18"/>
                <w:b w:val="1"/>
                <w:bCs w:val="1"/>
                <w:color w:val="auto"/>
                <w:w w:val="88"/>
              </w:rPr>
              <w:t>One Comcast Center</w:t>
            </w:r>
          </w:p>
        </w:tc>
        <w:tc>
          <w:tcPr>
            <w:tcW w:w="5420" w:type="dxa"/>
            <w:vAlign w:val="bottom"/>
          </w:tcPr>
          <w:p>
            <w:pPr>
              <w:spacing w:after="0"/>
              <w:rPr>
                <w:sz w:val="24"/>
                <w:szCs w:val="24"/>
                <w:color w:val="auto"/>
              </w:rPr>
            </w:pPr>
          </w:p>
        </w:tc>
      </w:tr>
      <w:tr>
        <w:trPr>
          <w:trHeight w:val="231"/>
        </w:trPr>
        <w:tc>
          <w:tcPr>
            <w:tcW w:w="2480" w:type="dxa"/>
            <w:vAlign w:val="bottom"/>
          </w:tcPr>
          <w:p>
            <w:pPr>
              <w:jc w:val="center"/>
              <w:ind w:right="100"/>
              <w:spacing w:after="0"/>
              <w:rPr>
                <w:sz w:val="20"/>
                <w:szCs w:val="20"/>
                <w:color w:val="auto"/>
              </w:rPr>
            </w:pPr>
            <w:r>
              <w:rPr>
                <w:rFonts w:ascii="Arial" w:cs="Arial" w:eastAsia="Arial" w:hAnsi="Arial"/>
                <w:sz w:val="18"/>
                <w:szCs w:val="18"/>
                <w:b w:val="1"/>
                <w:bCs w:val="1"/>
                <w:color w:val="auto"/>
                <w:w w:val="89"/>
              </w:rPr>
              <w:t>Philadelphia, PA</w:t>
            </w:r>
          </w:p>
        </w:tc>
        <w:tc>
          <w:tcPr>
            <w:tcW w:w="5420" w:type="dxa"/>
            <w:vAlign w:val="bottom"/>
          </w:tcPr>
          <w:p>
            <w:pPr>
              <w:jc w:val="center"/>
              <w:ind w:left="3362"/>
              <w:spacing w:after="0"/>
              <w:rPr>
                <w:sz w:val="20"/>
                <w:szCs w:val="20"/>
                <w:color w:val="auto"/>
              </w:rPr>
            </w:pPr>
            <w:r>
              <w:rPr>
                <w:rFonts w:ascii="Arial" w:cs="Arial" w:eastAsia="Arial" w:hAnsi="Arial"/>
                <w:sz w:val="18"/>
                <w:szCs w:val="18"/>
                <w:b w:val="1"/>
                <w:bCs w:val="1"/>
                <w:color w:val="auto"/>
                <w:w w:val="89"/>
              </w:rPr>
              <w:t>19103-2838</w:t>
            </w:r>
          </w:p>
        </w:tc>
      </w:tr>
      <w:tr>
        <w:trPr>
          <w:trHeight w:val="174"/>
        </w:trPr>
        <w:tc>
          <w:tcPr>
            <w:tcW w:w="2480" w:type="dxa"/>
            <w:vAlign w:val="bottom"/>
          </w:tcPr>
          <w:p>
            <w:pPr>
              <w:jc w:val="center"/>
              <w:ind w:right="1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420" w:type="dxa"/>
            <w:vAlign w:val="bottom"/>
          </w:tcPr>
          <w:p>
            <w:pPr>
              <w:jc w:val="center"/>
              <w:ind w:left="336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our annual meeting of shareholders held on May 15, 2013, our shareholders approved, or did not approve, the following proposals.</w:t>
      </w:r>
    </w:p>
    <w:p>
      <w:pPr>
        <w:spacing w:after="0" w:line="171" w:lineRule="exact"/>
        <w:rPr>
          <w:rFonts w:ascii="Arial" w:cs="Arial" w:eastAsia="Arial" w:hAnsi="Arial"/>
          <w:sz w:val="18"/>
          <w:szCs w:val="18"/>
          <w:color w:val="auto"/>
        </w:rPr>
      </w:pPr>
    </w:p>
    <w:p>
      <w:pPr>
        <w:ind w:firstLine="8"/>
        <w:spacing w:after="0" w:line="332"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following proposals are described in detail in Comcast Corporation’s definitive proxy statement dated April 5, 2013. The number of votes cast for and against (or withheld) and the number of abstentions and broker non-votes with respect to each matter voted upon are set forth below.</w:t>
      </w:r>
    </w:p>
    <w:p>
      <w:pPr>
        <w:spacing w:after="0" w:line="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the director nominees named in the Proxy Statement were elected to serve as directors for one-year terms.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Director</w:t>
            </w:r>
          </w:p>
        </w:tc>
        <w:tc>
          <w:tcPr>
            <w:tcW w:w="5320" w:type="dxa"/>
            <w:vAlign w:val="bottom"/>
          </w:tcPr>
          <w:p>
            <w:pPr>
              <w:spacing w:after="0"/>
              <w:rPr>
                <w:sz w:val="15"/>
                <w:szCs w:val="15"/>
                <w:color w:val="auto"/>
              </w:rPr>
            </w:pPr>
          </w:p>
        </w:tc>
        <w:tc>
          <w:tcPr>
            <w:tcW w:w="1400" w:type="dxa"/>
            <w:vAlign w:val="bottom"/>
            <w:gridSpan w:val="2"/>
          </w:tcPr>
          <w:p>
            <w:pPr>
              <w:ind w:left="380"/>
              <w:spacing w:after="0"/>
              <w:rPr>
                <w:sz w:val="20"/>
                <w:szCs w:val="20"/>
                <w:color w:val="auto"/>
              </w:rPr>
            </w:pPr>
            <w:r>
              <w:rPr>
                <w:rFonts w:ascii="Arial" w:cs="Arial" w:eastAsia="Arial" w:hAnsi="Arial"/>
                <w:sz w:val="14"/>
                <w:szCs w:val="14"/>
                <w:color w:val="auto"/>
              </w:rPr>
              <w:t>For</w:t>
            </w: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Withheld</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w w:val="86"/>
              </w:rPr>
              <w:t>Broker Non-Votes</w:t>
            </w:r>
          </w:p>
        </w:tc>
      </w:tr>
      <w:tr>
        <w:trPr>
          <w:trHeight w:val="203"/>
        </w:trPr>
        <w:tc>
          <w:tcPr>
            <w:tcW w:w="5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Kenneth J. Bacon</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338,616,175</w:t>
            </w: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19,205,599</w:t>
            </w:r>
          </w:p>
        </w:tc>
        <w:tc>
          <w:tcPr>
            <w:tcW w:w="4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18,175,644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Sheldon M. Bonovitz</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355,289,042</w:t>
            </w:r>
          </w:p>
        </w:tc>
        <w:tc>
          <w:tcPr>
            <w:tcW w:w="840" w:type="dxa"/>
            <w:vAlign w:val="bottom"/>
          </w:tcPr>
          <w:p>
            <w:pPr>
              <w:jc w:val="right"/>
              <w:spacing w:after="0"/>
              <w:rPr>
                <w:sz w:val="20"/>
                <w:szCs w:val="20"/>
                <w:color w:val="auto"/>
              </w:rPr>
            </w:pPr>
            <w:r>
              <w:rPr>
                <w:rFonts w:ascii="Arial" w:cs="Arial" w:eastAsia="Arial" w:hAnsi="Arial"/>
                <w:sz w:val="18"/>
                <w:szCs w:val="18"/>
                <w:color w:val="auto"/>
              </w:rPr>
              <w:t>2,532,732</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18,175,644</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J. Collins</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351,946,724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5,875,050</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18,175,644</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J. Michael Cook</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356,766,372</w:t>
            </w:r>
          </w:p>
        </w:tc>
        <w:tc>
          <w:tcPr>
            <w:tcW w:w="840" w:type="dxa"/>
            <w:vAlign w:val="bottom"/>
          </w:tcPr>
          <w:p>
            <w:pPr>
              <w:jc w:val="right"/>
              <w:spacing w:after="0"/>
              <w:rPr>
                <w:sz w:val="20"/>
                <w:szCs w:val="20"/>
                <w:color w:val="auto"/>
              </w:rPr>
            </w:pPr>
            <w:r>
              <w:rPr>
                <w:rFonts w:ascii="Arial" w:cs="Arial" w:eastAsia="Arial" w:hAnsi="Arial"/>
                <w:sz w:val="18"/>
                <w:szCs w:val="18"/>
                <w:color w:val="auto"/>
              </w:rPr>
              <w:t>1,055,402</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18,175,644</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L. Hassell</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352,676,482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5,145,292</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18,175,644</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Jeffrey A. Honickman</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356,956,383</w:t>
            </w:r>
          </w:p>
        </w:tc>
        <w:tc>
          <w:tcPr>
            <w:tcW w:w="840" w:type="dxa"/>
            <w:vAlign w:val="bottom"/>
          </w:tcPr>
          <w:p>
            <w:pPr>
              <w:jc w:val="right"/>
              <w:spacing w:after="0"/>
              <w:rPr>
                <w:sz w:val="20"/>
                <w:szCs w:val="20"/>
                <w:color w:val="auto"/>
              </w:rPr>
            </w:pPr>
            <w:r>
              <w:rPr>
                <w:rFonts w:ascii="Arial" w:cs="Arial" w:eastAsia="Arial" w:hAnsi="Arial"/>
                <w:sz w:val="18"/>
                <w:szCs w:val="18"/>
                <w:color w:val="auto"/>
              </w:rPr>
              <w:t>865,391</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18,175,644</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Eduardo G. Mestre</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356,977,459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844,315</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18,175,644</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354,359,786</w:t>
            </w:r>
          </w:p>
        </w:tc>
        <w:tc>
          <w:tcPr>
            <w:tcW w:w="840" w:type="dxa"/>
            <w:vAlign w:val="bottom"/>
          </w:tcPr>
          <w:p>
            <w:pPr>
              <w:jc w:val="right"/>
              <w:spacing w:after="0"/>
              <w:rPr>
                <w:sz w:val="20"/>
                <w:szCs w:val="20"/>
                <w:color w:val="auto"/>
              </w:rPr>
            </w:pPr>
            <w:r>
              <w:rPr>
                <w:rFonts w:ascii="Arial" w:cs="Arial" w:eastAsia="Arial" w:hAnsi="Arial"/>
                <w:sz w:val="18"/>
                <w:szCs w:val="18"/>
                <w:color w:val="auto"/>
              </w:rPr>
              <w:t>3,461,988</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18,175,644</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J. Roberts</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356,242,828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1,578,946</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18,175,644</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Johnathan A. Rodgers</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356,790,126</w:t>
            </w:r>
          </w:p>
        </w:tc>
        <w:tc>
          <w:tcPr>
            <w:tcW w:w="840" w:type="dxa"/>
            <w:vAlign w:val="bottom"/>
          </w:tcPr>
          <w:p>
            <w:pPr>
              <w:jc w:val="right"/>
              <w:spacing w:after="0"/>
              <w:rPr>
                <w:sz w:val="20"/>
                <w:szCs w:val="20"/>
                <w:color w:val="auto"/>
              </w:rPr>
            </w:pPr>
            <w:r>
              <w:rPr>
                <w:rFonts w:ascii="Arial" w:cs="Arial" w:eastAsia="Arial" w:hAnsi="Arial"/>
                <w:sz w:val="18"/>
                <w:szCs w:val="18"/>
                <w:color w:val="auto"/>
              </w:rPr>
              <w:t>1,031,648</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18,175,644</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Judith Rodin</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336,993,865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20,827,909</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18,175,644</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appointment of Deloitte &amp; Touche LLP as our independent auditors for the 2013 fiscal year was ratified.</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0" w:type="dxa"/>
            <w:vAlign w:val="bottom"/>
            <w:gridSpan w:val="2"/>
          </w:tcPr>
          <w:p>
            <w:pPr>
              <w:ind w:left="380"/>
              <w:spacing w:after="0"/>
              <w:rPr>
                <w:sz w:val="20"/>
                <w:szCs w:val="20"/>
                <w:color w:val="auto"/>
              </w:rPr>
            </w:pPr>
            <w:r>
              <w:rPr>
                <w:rFonts w:ascii="Arial" w:cs="Arial" w:eastAsia="Arial" w:hAnsi="Arial"/>
                <w:sz w:val="14"/>
                <w:szCs w:val="14"/>
                <w:color w:val="auto"/>
              </w:rPr>
              <w:t>For</w:t>
            </w:r>
          </w:p>
        </w:tc>
        <w:tc>
          <w:tcPr>
            <w:tcW w:w="2800" w:type="dxa"/>
            <w:vAlign w:val="bottom"/>
            <w:gridSpan w:val="2"/>
          </w:tcPr>
          <w:p>
            <w:pPr>
              <w:ind w:left="160"/>
              <w:spacing w:after="0"/>
              <w:rPr>
                <w:sz w:val="20"/>
                <w:szCs w:val="20"/>
                <w:color w:val="auto"/>
              </w:rPr>
            </w:pPr>
            <w:r>
              <w:rPr>
                <w:rFonts w:ascii="Arial" w:cs="Arial" w:eastAsia="Arial" w:hAnsi="Arial"/>
                <w:sz w:val="14"/>
                <w:szCs w:val="14"/>
                <w:color w:val="auto"/>
              </w:rPr>
              <w:t>Against</w:t>
            </w:r>
          </w:p>
        </w:tc>
        <w:tc>
          <w:tcPr>
            <w:tcW w:w="2700" w:type="dxa"/>
            <w:vAlign w:val="bottom"/>
            <w:gridSpan w:val="2"/>
          </w:tcPr>
          <w:p>
            <w:pPr>
              <w:ind w:left="100"/>
              <w:spacing w:after="0"/>
              <w:rPr>
                <w:sz w:val="20"/>
                <w:szCs w:val="20"/>
                <w:color w:val="auto"/>
              </w:rPr>
            </w:pPr>
            <w:r>
              <w:rPr>
                <w:rFonts w:ascii="Arial" w:cs="Arial" w:eastAsia="Arial" w:hAnsi="Arial"/>
                <w:sz w:val="14"/>
                <w:szCs w:val="14"/>
                <w:color w:val="auto"/>
              </w:rPr>
              <w:t>Abstain</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w w:val="86"/>
              </w:rPr>
              <w:t>Broker Non-Votes</w:t>
            </w:r>
          </w:p>
        </w:tc>
      </w:tr>
      <w:tr>
        <w:trPr>
          <w:trHeight w:val="210"/>
        </w:trPr>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373,023,338</w:t>
            </w:r>
          </w:p>
        </w:tc>
        <w:tc>
          <w:tcPr>
            <w:tcW w:w="20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2,439,485</w:t>
            </w:r>
          </w:p>
        </w:tc>
        <w:tc>
          <w:tcPr>
            <w:tcW w:w="20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534,595</w:t>
            </w:r>
          </w:p>
        </w:tc>
        <w:tc>
          <w:tcPr>
            <w:tcW w:w="20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7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shareholder proposal to prohibit accelerated vesting upon a change in control was not approved.</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60" w:type="dxa"/>
            <w:vAlign w:val="bottom"/>
            <w:gridSpan w:val="2"/>
          </w:tcPr>
          <w:p>
            <w:pPr>
              <w:ind w:left="340"/>
              <w:spacing w:after="0"/>
              <w:rPr>
                <w:sz w:val="20"/>
                <w:szCs w:val="20"/>
                <w:color w:val="auto"/>
              </w:rPr>
            </w:pPr>
            <w:r>
              <w:rPr>
                <w:rFonts w:ascii="Arial" w:cs="Arial" w:eastAsia="Arial" w:hAnsi="Arial"/>
                <w:sz w:val="14"/>
                <w:szCs w:val="14"/>
                <w:color w:val="auto"/>
              </w:rPr>
              <w:t>For</w:t>
            </w:r>
          </w:p>
        </w:tc>
        <w:tc>
          <w:tcPr>
            <w:tcW w:w="2960" w:type="dxa"/>
            <w:vAlign w:val="bottom"/>
            <w:gridSpan w:val="2"/>
          </w:tcPr>
          <w:p>
            <w:pPr>
              <w:ind w:left="280"/>
              <w:spacing w:after="0"/>
              <w:rPr>
                <w:sz w:val="20"/>
                <w:szCs w:val="20"/>
                <w:color w:val="auto"/>
              </w:rPr>
            </w:pPr>
            <w:r>
              <w:rPr>
                <w:rFonts w:ascii="Arial" w:cs="Arial" w:eastAsia="Arial" w:hAnsi="Arial"/>
                <w:sz w:val="14"/>
                <w:szCs w:val="14"/>
                <w:color w:val="auto"/>
              </w:rPr>
              <w:t>Against</w:t>
            </w:r>
          </w:p>
        </w:tc>
        <w:tc>
          <w:tcPr>
            <w:tcW w:w="2640" w:type="dxa"/>
            <w:vAlign w:val="bottom"/>
            <w:gridSpan w:val="2"/>
          </w:tcPr>
          <w:p>
            <w:pPr>
              <w:ind w:left="100"/>
              <w:spacing w:after="0"/>
              <w:rPr>
                <w:sz w:val="20"/>
                <w:szCs w:val="20"/>
                <w:color w:val="auto"/>
              </w:rPr>
            </w:pPr>
            <w:r>
              <w:rPr>
                <w:rFonts w:ascii="Arial" w:cs="Arial" w:eastAsia="Arial" w:hAnsi="Arial"/>
                <w:sz w:val="14"/>
                <w:szCs w:val="14"/>
                <w:color w:val="auto"/>
              </w:rPr>
              <w:t>Abstain</w:t>
            </w:r>
          </w:p>
        </w:tc>
        <w:tc>
          <w:tcPr>
            <w:tcW w:w="1120" w:type="dxa"/>
            <w:vAlign w:val="bottom"/>
            <w:gridSpan w:val="2"/>
          </w:tcPr>
          <w:p>
            <w:pPr>
              <w:ind w:left="20"/>
              <w:spacing w:after="0"/>
              <w:rPr>
                <w:sz w:val="20"/>
                <w:szCs w:val="20"/>
                <w:color w:val="auto"/>
              </w:rPr>
            </w:pPr>
            <w:r>
              <w:rPr>
                <w:rFonts w:ascii="Arial" w:cs="Arial" w:eastAsia="Arial" w:hAnsi="Arial"/>
                <w:sz w:val="14"/>
                <w:szCs w:val="14"/>
                <w:color w:val="auto"/>
                <w:w w:val="97"/>
              </w:rPr>
              <w:t>Broker Non-Votes</w:t>
            </w:r>
          </w:p>
        </w:tc>
      </w:tr>
      <w:tr>
        <w:trPr>
          <w:trHeight w:val="210"/>
        </w:trPr>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93,635,863</w:t>
            </w:r>
          </w:p>
        </w:tc>
        <w:tc>
          <w:tcPr>
            <w:tcW w:w="1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263,300,421</w:t>
            </w:r>
          </w:p>
        </w:tc>
        <w:tc>
          <w:tcPr>
            <w:tcW w:w="20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885,490</w:t>
            </w:r>
          </w:p>
        </w:tc>
        <w:tc>
          <w:tcPr>
            <w:tcW w:w="20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18,175,644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7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shareholder proposal to adopt a recapitalization plan was not approved.</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40" w:type="dxa"/>
            <w:vAlign w:val="bottom"/>
            <w:gridSpan w:val="2"/>
          </w:tcPr>
          <w:p>
            <w:pPr>
              <w:ind w:left="380"/>
              <w:spacing w:after="0"/>
              <w:rPr>
                <w:sz w:val="20"/>
                <w:szCs w:val="20"/>
                <w:color w:val="auto"/>
              </w:rPr>
            </w:pPr>
            <w:r>
              <w:rPr>
                <w:rFonts w:ascii="Arial" w:cs="Arial" w:eastAsia="Arial" w:hAnsi="Arial"/>
                <w:sz w:val="14"/>
                <w:szCs w:val="14"/>
                <w:color w:val="auto"/>
              </w:rPr>
              <w:t>For</w:t>
            </w:r>
          </w:p>
        </w:tc>
        <w:tc>
          <w:tcPr>
            <w:tcW w:w="2920" w:type="dxa"/>
            <w:vAlign w:val="bottom"/>
            <w:gridSpan w:val="2"/>
          </w:tcPr>
          <w:p>
            <w:pPr>
              <w:ind w:left="260"/>
              <w:spacing w:after="0"/>
              <w:rPr>
                <w:sz w:val="20"/>
                <w:szCs w:val="20"/>
                <w:color w:val="auto"/>
              </w:rPr>
            </w:pPr>
            <w:r>
              <w:rPr>
                <w:rFonts w:ascii="Arial" w:cs="Arial" w:eastAsia="Arial" w:hAnsi="Arial"/>
                <w:sz w:val="14"/>
                <w:szCs w:val="14"/>
                <w:color w:val="auto"/>
              </w:rPr>
              <w:t>Against</w:t>
            </w:r>
          </w:p>
        </w:tc>
        <w:tc>
          <w:tcPr>
            <w:tcW w:w="2640" w:type="dxa"/>
            <w:vAlign w:val="bottom"/>
            <w:gridSpan w:val="2"/>
          </w:tcPr>
          <w:p>
            <w:pPr>
              <w:ind w:left="120"/>
              <w:spacing w:after="0"/>
              <w:rPr>
                <w:sz w:val="20"/>
                <w:szCs w:val="20"/>
                <w:color w:val="auto"/>
              </w:rPr>
            </w:pPr>
            <w:r>
              <w:rPr>
                <w:rFonts w:ascii="Arial" w:cs="Arial" w:eastAsia="Arial" w:hAnsi="Arial"/>
                <w:sz w:val="14"/>
                <w:szCs w:val="14"/>
                <w:color w:val="auto"/>
              </w:rPr>
              <w:t>Abstain</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w w:val="86"/>
              </w:rPr>
              <w:t>Broker Non-Votes</w:t>
            </w:r>
          </w:p>
        </w:tc>
      </w:tr>
      <w:tr>
        <w:trPr>
          <w:trHeight w:val="210"/>
        </w:trPr>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148,232,108</w:t>
            </w:r>
          </w:p>
        </w:tc>
        <w:tc>
          <w:tcPr>
            <w:tcW w:w="20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208,664,878</w:t>
            </w:r>
          </w:p>
        </w:tc>
        <w:tc>
          <w:tcPr>
            <w:tcW w:w="20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924,788</w:t>
            </w:r>
          </w:p>
        </w:tc>
        <w:tc>
          <w:tcPr>
            <w:tcW w:w="20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18,175,644</w:t>
            </w:r>
          </w:p>
        </w:tc>
        <w:tc>
          <w:tcPr>
            <w:tcW w:w="10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120"/>
          </w:cols>
          <w:pgMar w:left="240" w:top="274" w:right="5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 May 16, 2013</w:t>
      </w:r>
      <w:r>
        <w:rPr>
          <w:sz w:val="20"/>
          <w:szCs w:val="20"/>
          <w:color w:val="auto"/>
        </w:rPr>
        <w:tab/>
      </w:r>
      <w:r>
        <w:rPr>
          <w:rFonts w:ascii="Arial" w:cs="Arial" w:eastAsia="Arial" w:hAnsi="Arial"/>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10795</wp:posOffset>
            </wp:positionV>
            <wp:extent cx="31902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Arthur R. Block</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2019-12-07T04:00:13Z</dcterms:created>
  <dcterms:modified xsi:type="dcterms:W3CDTF">2019-12-07T04:00:13Z</dcterms:modified>
</cp:coreProperties>
</file>