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4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jc w:val="center"/>
              <w:ind w:right="20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19"/>
            <w:vMerge w:val="restart"/>
          </w:tcPr>
          <w:p>
            <w:pPr>
              <w:jc w:val="center"/>
              <w:ind w:left="10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jc w:val="center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  <w:vMerge w:val="restart"/>
          </w:tcPr>
          <w:p>
            <w:pPr>
              <w:jc w:val="center"/>
              <w:ind w:left="7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4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2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ROBERTS BRIAN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COMCAST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6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1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Board, Pres.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2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1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7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267,240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2,699,932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131,805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2,568,127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64,711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2,503,416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13,712,646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286,044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8,114,490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Elizabeth Wideman, Attorney-</w:t>
            </w:r>
          </w:p>
        </w:tc>
        <w:tc>
          <w:tcPr>
            <w:tcW w:w="13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-7548245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-7556500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-7531100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-7344410</wp:posOffset>
            </wp:positionV>
            <wp:extent cx="7031355" cy="6768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676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-7344410</wp:posOffset>
            </wp:positionV>
            <wp:extent cx="7031355" cy="6768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676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8" Type="http://schemas.openxmlformats.org/officeDocument/2006/relationships/hyperlink" Target="http://www.sec.gov/cgi-bin/browse-edgar?action=getcompany&amp;CIK=0001063948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2021-02-12T15:39:01Z</dcterms:created>
  <dcterms:modified xsi:type="dcterms:W3CDTF">2021-02-12T15:39:01Z</dcterms:modified>
</cp:coreProperties>
</file>