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243205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1000" w:hanging="803"/>
        <w:spacing w:after="0"/>
        <w:tabs>
          <w:tab w:leader="none" w:pos="1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960" w:hanging="77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34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233045</wp:posOffset>
            </wp:positionV>
            <wp:extent cx="3188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318770</wp:posOffset>
            </wp:positionV>
            <wp:extent cx="137160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State of</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0"/>
              </w:rPr>
              <w:t>Incorporation; Address and Telephone</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80" w:type="dxa"/>
            <w:vAlign w:val="bottom"/>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3"/>
              </w:rPr>
              <w:t>Number of Principal Executive Offices</w:t>
            </w:r>
          </w:p>
        </w:tc>
        <w:tc>
          <w:tcPr>
            <w:tcW w:w="408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 No.</w:t>
            </w:r>
          </w:p>
        </w:tc>
        <w:tc>
          <w:tcPr>
            <w:tcW w:w="4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3980" w:type="dxa"/>
            <w:vAlign w:val="bottom"/>
          </w:tcPr>
          <w:p>
            <w:pPr>
              <w:jc w:val="right"/>
              <w:ind w:right="1990"/>
              <w:spacing w:after="0"/>
              <w:rPr>
                <w:sz w:val="20"/>
                <w:szCs w:val="20"/>
                <w:color w:val="auto"/>
              </w:rPr>
            </w:pPr>
            <w:r>
              <w:rPr>
                <w:rFonts w:ascii="Arial" w:cs="Arial" w:eastAsia="Arial" w:hAnsi="Arial"/>
                <w:sz w:val="18"/>
                <w:szCs w:val="18"/>
                <w:b w:val="1"/>
                <w:bCs w:val="1"/>
                <w:color w:val="auto"/>
              </w:rPr>
              <w:t>001-32871</w:t>
            </w:r>
          </w:p>
        </w:tc>
        <w:tc>
          <w:tcPr>
            <w:tcW w:w="400" w:type="dxa"/>
            <w:vAlign w:val="bottom"/>
          </w:tcPr>
          <w:p>
            <w:pPr>
              <w:spacing w:after="0"/>
              <w:rPr>
                <w:sz w:val="20"/>
                <w:szCs w:val="20"/>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COMCAST CORPORATION</w:t>
            </w:r>
          </w:p>
        </w:tc>
        <w:tc>
          <w:tcPr>
            <w:tcW w:w="4080" w:type="dxa"/>
            <w:vAlign w:val="bottom"/>
          </w:tcPr>
          <w:p>
            <w:pPr>
              <w:jc w:val="right"/>
              <w:ind w:right="1050"/>
              <w:spacing w:after="0"/>
              <w:rPr>
                <w:sz w:val="20"/>
                <w:szCs w:val="20"/>
                <w:color w:val="auto"/>
              </w:rPr>
            </w:pPr>
            <w:r>
              <w:rPr>
                <w:rFonts w:ascii="Arial" w:cs="Arial" w:eastAsia="Arial" w:hAnsi="Arial"/>
                <w:sz w:val="18"/>
                <w:szCs w:val="18"/>
                <w:b w:val="1"/>
                <w:bCs w:val="1"/>
                <w:color w:val="auto"/>
              </w:rPr>
              <w:t>27-0000798</w:t>
            </w:r>
          </w:p>
        </w:tc>
        <w:tc>
          <w:tcPr>
            <w:tcW w:w="40" w:type="dxa"/>
            <w:vAlign w:val="bottom"/>
          </w:tcPr>
          <w:p>
            <w:pPr>
              <w:spacing w:after="0"/>
              <w:rPr>
                <w:sz w:val="20"/>
                <w:szCs w:val="20"/>
                <w:color w:val="auto"/>
              </w:rPr>
            </w:pPr>
          </w:p>
        </w:tc>
      </w:tr>
      <w:tr>
        <w:trPr>
          <w:trHeight w:val="225"/>
        </w:trPr>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8"/>
              </w:rPr>
              <w:t>Pennsylvania</w:t>
            </w:r>
          </w:p>
        </w:tc>
        <w:tc>
          <w:tcPr>
            <w:tcW w:w="4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9"/>
              </w:rPr>
              <w:t>One Comcast Center</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Philadelphia, PA 19103-2838</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(215) 286-1700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5"/>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398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Title of each class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1"/>
              </w:rPr>
              <w:t>Trading Symbol(s)</w:t>
            </w:r>
          </w:p>
        </w:tc>
        <w:tc>
          <w:tcPr>
            <w:tcW w:w="408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40" w:type="dxa"/>
            <w:vAlign w:val="bottom"/>
          </w:tcPr>
          <w:p>
            <w:pPr>
              <w:spacing w:after="0"/>
              <w:rPr>
                <w:sz w:val="24"/>
                <w:szCs w:val="24"/>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jc w:val="center"/>
              <w:ind w:left="670"/>
              <w:spacing w:after="0"/>
              <w:rPr>
                <w:sz w:val="20"/>
                <w:szCs w:val="20"/>
                <w:color w:val="auto"/>
              </w:rPr>
            </w:pPr>
            <w:r>
              <w:rPr>
                <w:rFonts w:ascii="Arial" w:cs="Arial" w:eastAsia="Arial" w:hAnsi="Arial"/>
                <w:sz w:val="18"/>
                <w:szCs w:val="18"/>
                <w:color w:val="auto"/>
                <w:w w:val="90"/>
              </w:rPr>
              <w:t>Class A Common Stock, $0.01 par value</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8"/>
              </w:rPr>
              <w:t>CMCSA</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3"/>
              </w:rPr>
              <w:t>NASDAQ Global Select Market</w:t>
            </w:r>
          </w:p>
        </w:tc>
        <w:tc>
          <w:tcPr>
            <w:tcW w:w="40" w:type="dxa"/>
            <w:vAlign w:val="bottom"/>
          </w:tcPr>
          <w:p>
            <w:pPr>
              <w:spacing w:after="0"/>
              <w:rPr>
                <w:sz w:val="20"/>
                <w:szCs w:val="20"/>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0.250% Notes due 2027</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CMCS27</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1.500% Notes due 2029</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CMCS29</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0.750% Notes due 2032</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CMCS32</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1.875% Notes due 2036</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CMCS36</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1.250% Notes due 2040</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CMCS40</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5"/>
              </w:rPr>
              <w:t>NASDAQ Global Market</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8"/>
              </w:rPr>
              <w:t>9.455% Guaranteed Notes due 2022</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CMCSA/22</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23"/>
                <w:szCs w:val="23"/>
                <w:color w:val="auto"/>
              </w:rPr>
            </w:pPr>
          </w:p>
        </w:tc>
      </w:tr>
      <w:tr>
        <w:trPr>
          <w:trHeight w:val="270"/>
        </w:trPr>
        <w:tc>
          <w:tcPr>
            <w:tcW w:w="3980" w:type="dxa"/>
            <w:vAlign w:val="bottom"/>
          </w:tcPr>
          <w:p>
            <w:pPr>
              <w:jc w:val="center"/>
              <w:ind w:left="650"/>
              <w:spacing w:after="0"/>
              <w:rPr>
                <w:sz w:val="20"/>
                <w:szCs w:val="20"/>
                <w:color w:val="auto"/>
              </w:rPr>
            </w:pPr>
            <w:r>
              <w:rPr>
                <w:rFonts w:ascii="Arial" w:cs="Arial" w:eastAsia="Arial" w:hAnsi="Arial"/>
                <w:sz w:val="18"/>
                <w:szCs w:val="18"/>
                <w:color w:val="auto"/>
                <w:w w:val="89"/>
              </w:rPr>
              <w:t>5.50% Notes due 2029</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CCGBP29</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23"/>
                <w:szCs w:val="23"/>
                <w:color w:val="auto"/>
              </w:rPr>
            </w:pPr>
          </w:p>
        </w:tc>
      </w:tr>
      <w:tr>
        <w:trPr>
          <w:trHeight w:val="270"/>
        </w:trPr>
        <w:tc>
          <w:tcPr>
            <w:tcW w:w="438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2.0% Exchangeable Subordinated Debentures due 2029</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CCZ</w:t>
            </w:r>
          </w:p>
        </w:tc>
        <w:tc>
          <w:tcPr>
            <w:tcW w:w="4080" w:type="dxa"/>
            <w:vAlign w:val="bottom"/>
          </w:tcPr>
          <w:p>
            <w:pPr>
              <w:jc w:val="center"/>
              <w:ind w:right="350"/>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23"/>
                <w:szCs w:val="23"/>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90"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1" w:lineRule="exact"/>
        <w:rPr>
          <w:sz w:val="24"/>
          <w:szCs w:val="24"/>
          <w:color w:val="auto"/>
        </w:rPr>
      </w:pPr>
    </w:p>
    <w:p>
      <w:pPr>
        <w:jc w:val="both"/>
        <w:spacing w:after="0" w:line="22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37"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3" w:lineRule="exact"/>
        <w:rPr>
          <w:sz w:val="24"/>
          <w:szCs w:val="24"/>
          <w:color w:val="auto"/>
        </w:rPr>
      </w:pPr>
    </w:p>
    <w:p>
      <w:pPr>
        <w:ind w:left="40"/>
        <w:spacing w:after="0" w:line="196" w:lineRule="exact"/>
        <w:tabs>
          <w:tab w:leader="none" w:pos="1820" w:val="left"/>
          <w:tab w:leader="none" w:pos="3400" w:val="left"/>
          <w:tab w:leader="none" w:pos="5340" w:val="left"/>
          <w:tab w:leader="none" w:pos="7680" w:val="left"/>
          <w:tab w:leader="none" w:pos="100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Non-accelerated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Smaller reporting company</w:t>
      </w:r>
      <w:r>
        <w:rPr>
          <w:rFonts w:ascii="MS PGothic" w:cs="MS PGothic" w:eastAsia="MS PGothic" w:hAnsi="MS PGothic"/>
          <w:sz w:val="17"/>
          <w:szCs w:val="17"/>
          <w:color w:val="auto"/>
        </w:rPr>
        <w:tab/>
        <w:t xml:space="preserve">☐ </w:t>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36"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09"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As of June 30, 2020, there were 4,558,656,239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330200</wp:posOffset>
            </wp:positionV>
            <wp:extent cx="7020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244475</wp:posOffset>
            </wp:positionV>
            <wp:extent cx="7020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960" w:type="dxa"/>
            <w:vAlign w:val="bottom"/>
          </w:tcPr>
          <w:p>
            <w:pPr>
              <w:jc w:val="right"/>
              <w:ind w:right="172"/>
              <w:spacing w:after="0"/>
              <w:rPr>
                <w:sz w:val="20"/>
                <w:szCs w:val="20"/>
                <w:color w:val="auto"/>
              </w:rPr>
            </w:pPr>
            <w:r>
              <w:rPr>
                <w:rFonts w:ascii="Arial" w:cs="Arial" w:eastAsia="Arial" w:hAnsi="Arial"/>
                <w:sz w:val="14"/>
                <w:szCs w:val="14"/>
                <w:color w:val="auto"/>
              </w:rPr>
              <w:t>Page</w:t>
            </w:r>
          </w:p>
        </w:tc>
      </w:tr>
      <w:tr>
        <w:trPr>
          <w:trHeight w:val="188"/>
        </w:trPr>
        <w:tc>
          <w:tcPr>
            <w:tcW w:w="1340" w:type="dxa"/>
            <w:vAlign w:val="bottom"/>
            <w:tcBorders>
              <w:bottom w:val="single" w:sz="8" w:color="auto"/>
            </w:tcBorders>
          </w:tcPr>
          <w:p>
            <w:pPr>
              <w:spacing w:after="0"/>
              <w:rPr>
                <w:sz w:val="16"/>
                <w:szCs w:val="16"/>
                <w:color w:val="auto"/>
              </w:rPr>
            </w:pPr>
          </w:p>
        </w:tc>
        <w:tc>
          <w:tcPr>
            <w:tcW w:w="79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r>
      <w:tr>
        <w:trPr>
          <w:trHeight w:val="243"/>
        </w:trPr>
        <w:tc>
          <w:tcPr>
            <w:tcW w:w="9280" w:type="dxa"/>
            <w:vAlign w:val="bottom"/>
            <w:gridSpan w:val="2"/>
          </w:tcPr>
          <w:p>
            <w:pPr>
              <w:ind w:left="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1960" w:type="dxa"/>
            <w:vAlign w:val="bottom"/>
          </w:tcPr>
          <w:p>
            <w:pPr>
              <w:spacing w:after="0"/>
              <w:rPr>
                <w:sz w:val="21"/>
                <w:szCs w:val="21"/>
                <w:color w:val="auto"/>
              </w:rPr>
            </w:pPr>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1.</w:t>
            </w:r>
          </w:p>
        </w:tc>
        <w:tc>
          <w:tcPr>
            <w:tcW w:w="794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Comcast Corporation Financial Statements</w:t>
              </w:r>
            </w:hyperlink>
          </w:p>
        </w:tc>
        <w:tc>
          <w:tcPr>
            <w:tcW w:w="196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 of Income (Unaudited)</w:t>
              </w:r>
            </w:hyperlink>
          </w:p>
        </w:tc>
        <w:tc>
          <w:tcPr>
            <w:tcW w:w="196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 of Comprehensive Income (Unaudited)</w:t>
              </w:r>
            </w:hyperlink>
          </w:p>
        </w:tc>
        <w:tc>
          <w:tcPr>
            <w:tcW w:w="196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2</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 of Cash Flows (Unaudited)</w:t>
              </w:r>
            </w:hyperlink>
          </w:p>
        </w:tc>
        <w:tc>
          <w:tcPr>
            <w:tcW w:w="196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3</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Balance Sheet (Unaudited)</w:t>
              </w:r>
            </w:hyperlink>
          </w:p>
        </w:tc>
        <w:tc>
          <w:tcPr>
            <w:tcW w:w="196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4</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 of Changes in Equity (Unaudited)</w:t>
              </w:r>
            </w:hyperlink>
          </w:p>
        </w:tc>
        <w:tc>
          <w:tcPr>
            <w:tcW w:w="1960" w:type="dxa"/>
            <w:vAlign w:val="bottom"/>
          </w:tcPr>
          <w:p>
            <w:pPr>
              <w:jc w:val="right"/>
              <w:spacing w:after="0"/>
              <w:rPr>
                <w:rFonts w:ascii="Arial" w:cs="Arial" w:eastAsia="Arial" w:hAnsi="Arial"/>
                <w:sz w:val="18"/>
                <w:szCs w:val="18"/>
                <w:color w:val="2C2C2C"/>
              </w:rPr>
            </w:pPr>
            <w:hyperlink w:anchor="page8">
              <w:r>
                <w:rPr>
                  <w:rFonts w:ascii="Arial" w:cs="Arial" w:eastAsia="Arial" w:hAnsi="Arial"/>
                  <w:sz w:val="18"/>
                  <w:szCs w:val="18"/>
                  <w:color w:val="2C2C2C"/>
                </w:rPr>
                <w:t>5</w:t>
              </w:r>
            </w:hyperlink>
          </w:p>
        </w:tc>
      </w:tr>
      <w:tr>
        <w:trPr>
          <w:trHeight w:val="270"/>
        </w:trPr>
        <w:tc>
          <w:tcPr>
            <w:tcW w:w="1340" w:type="dxa"/>
            <w:vAlign w:val="bottom"/>
          </w:tcPr>
          <w:p>
            <w:pPr>
              <w:spacing w:after="0"/>
              <w:rPr>
                <w:sz w:val="23"/>
                <w:szCs w:val="23"/>
                <w:color w:val="auto"/>
              </w:rPr>
            </w:pPr>
          </w:p>
        </w:tc>
        <w:tc>
          <w:tcPr>
            <w:tcW w:w="7940" w:type="dxa"/>
            <w:vAlign w:val="bottom"/>
          </w:tcPr>
          <w:p>
            <w:pPr>
              <w:ind w:left="1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1960" w:type="dxa"/>
            <w:vAlign w:val="bottom"/>
          </w:tcPr>
          <w:p>
            <w:pPr>
              <w:jc w:val="right"/>
              <w:spacing w:after="0"/>
              <w:rPr>
                <w:rFonts w:ascii="Arial" w:cs="Arial" w:eastAsia="Arial" w:hAnsi="Arial"/>
                <w:sz w:val="18"/>
                <w:szCs w:val="18"/>
                <w:color w:val="2C2C2C"/>
              </w:rPr>
            </w:pPr>
            <w:hyperlink w:anchor="page9">
              <w:r>
                <w:rPr>
                  <w:rFonts w:ascii="Arial" w:cs="Arial" w:eastAsia="Arial" w:hAnsi="Arial"/>
                  <w:sz w:val="18"/>
                  <w:szCs w:val="18"/>
                  <w:color w:val="2C2C2C"/>
                </w:rPr>
                <w:t>6</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2.</w:t>
            </w:r>
          </w:p>
        </w:tc>
        <w:tc>
          <w:tcPr>
            <w:tcW w:w="7940" w:type="dxa"/>
            <w:vAlign w:val="bottom"/>
          </w:tcPr>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96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17</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3.</w:t>
            </w:r>
          </w:p>
        </w:tc>
        <w:tc>
          <w:tcPr>
            <w:tcW w:w="794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19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40</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4.</w:t>
            </w:r>
          </w:p>
        </w:tc>
        <w:tc>
          <w:tcPr>
            <w:tcW w:w="794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Controls and Procedures</w:t>
              </w:r>
            </w:hyperlink>
          </w:p>
        </w:tc>
        <w:tc>
          <w:tcPr>
            <w:tcW w:w="19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40</w:t>
              </w:r>
            </w:hyperlink>
          </w:p>
        </w:tc>
      </w:tr>
      <w:tr>
        <w:trPr>
          <w:trHeight w:val="270"/>
        </w:trPr>
        <w:tc>
          <w:tcPr>
            <w:tcW w:w="9280" w:type="dxa"/>
            <w:vAlign w:val="bottom"/>
            <w:gridSpan w:val="2"/>
          </w:tcPr>
          <w:p>
            <w:pPr>
              <w:ind w:left="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PART II. OTHER INFORMATION</w:t>
              </w:r>
            </w:hyperlink>
          </w:p>
        </w:tc>
        <w:tc>
          <w:tcPr>
            <w:tcW w:w="1960" w:type="dxa"/>
            <w:vAlign w:val="bottom"/>
          </w:tcPr>
          <w:p>
            <w:pPr>
              <w:spacing w:after="0"/>
              <w:rPr>
                <w:sz w:val="23"/>
                <w:szCs w:val="23"/>
                <w:color w:val="auto"/>
              </w:rPr>
            </w:pPr>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1.</w:t>
            </w:r>
          </w:p>
        </w:tc>
        <w:tc>
          <w:tcPr>
            <w:tcW w:w="7940" w:type="dxa"/>
            <w:vAlign w:val="bottom"/>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19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41</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1A.</w:t>
            </w:r>
          </w:p>
        </w:tc>
        <w:tc>
          <w:tcPr>
            <w:tcW w:w="7940" w:type="dxa"/>
            <w:vAlign w:val="bottom"/>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 Factors</w:t>
              </w:r>
            </w:hyperlink>
          </w:p>
        </w:tc>
        <w:tc>
          <w:tcPr>
            <w:tcW w:w="19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41</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5.</w:t>
            </w:r>
          </w:p>
        </w:tc>
        <w:tc>
          <w:tcPr>
            <w:tcW w:w="7940" w:type="dxa"/>
            <w:vAlign w:val="bottom"/>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19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41</w:t>
              </w:r>
            </w:hyperlink>
          </w:p>
        </w:tc>
      </w:tr>
      <w:tr>
        <w:trPr>
          <w:trHeight w:val="270"/>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Item 6.</w:t>
            </w:r>
          </w:p>
        </w:tc>
        <w:tc>
          <w:tcPr>
            <w:tcW w:w="7940" w:type="dxa"/>
            <w:vAlign w:val="bottom"/>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Exhibits</w:t>
              </w:r>
            </w:hyperlink>
          </w:p>
        </w:tc>
        <w:tc>
          <w:tcPr>
            <w:tcW w:w="19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41</w:t>
              </w:r>
            </w:hyperlink>
          </w:p>
        </w:tc>
      </w:tr>
      <w:tr>
        <w:trPr>
          <w:trHeight w:val="270"/>
        </w:trPr>
        <w:tc>
          <w:tcPr>
            <w:tcW w:w="1340" w:type="dxa"/>
            <w:vAlign w:val="bottom"/>
          </w:tcPr>
          <w:p>
            <w:pPr>
              <w:ind w:left="4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SIGNATURES</w:t>
              </w:r>
            </w:hyperlink>
          </w:p>
        </w:tc>
        <w:tc>
          <w:tcPr>
            <w:tcW w:w="7940" w:type="dxa"/>
            <w:vAlign w:val="bottom"/>
          </w:tcPr>
          <w:p>
            <w:pPr>
              <w:spacing w:after="0"/>
              <w:rPr>
                <w:sz w:val="23"/>
                <w:szCs w:val="23"/>
                <w:color w:val="auto"/>
              </w:rPr>
            </w:pPr>
          </w:p>
        </w:tc>
        <w:tc>
          <w:tcPr>
            <w:tcW w:w="19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42</w:t>
              </w:r>
            </w:hyperlink>
          </w:p>
        </w:tc>
      </w:tr>
      <w:tr>
        <w:trPr>
          <w:trHeight w:val="27"/>
        </w:trPr>
        <w:tc>
          <w:tcPr>
            <w:tcW w:w="1340" w:type="dxa"/>
            <w:vAlign w:val="bottom"/>
            <w:tcBorders>
              <w:bottom w:val="single" w:sz="8" w:color="auto"/>
            </w:tcBorders>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with our Quarterly Report on Form 10-Q for the quarter ended March 31, 2020, we are voluntarily complying with new disclosure rules for guarantors and issuers of guaranteed debt securities issued by the Securities and Exchange Commission (“SEC”) in March 2020, as permitted by the transition guidance contained in the SEC’s final rule release “Financial Disclosures about Guarantors and Issuers of Guaranteed Securities and Affiliates Whose Securities Collateralize a Registrant’s Securities.” As a result, this report includes disclosures related to our consolidated subsidiaries that guarantee or have issued guaranteed debt securities registered with the SEC that are included within our guarantee structure (refer to Guarantee Structure within the Liquidity and Capital Resources section of Item 2: Management’s Discussion and Analysis of Financial Condition and Results of Operations). As a result of these rules, NBCUniversal Media, LLC is no longer required to prepare stand-alone periodic reports under SEC rules, and our periodic reports are no longer prepared as a combined report being filed separately by Comcast Corporation and NBCUniversal Media, LLC.</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LLC as “NBCUniversal Holdings;” NBCUniversal Enterprise, Inc. as “NBCUniversal Enterprise;” NBCUniversal Media, LLC and its consolidated subsidiaries as “NBCUniversal;” and Sky Limited and its consolidated subsidiaries as “Sky.”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and six months ended June 30, 2020. This Quarterly Report on Form 10-Q modifies and supersedes documents filed before it. The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w:t>
      </w:r>
    </w:p>
    <w:p>
      <w:pPr>
        <w:sectPr>
          <w:pgSz w:w="11900" w:h="16838" w:orient="portrait"/>
          <w:cols w:equalWidth="0" w:num="1">
            <w:col w:w="11240"/>
          </w:cols>
          <w:pgMar w:left="320" w:top="391"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has had, and we expect will continue to have, a material adverse effect on our businesses and results of operations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operate in highly competitive and dynamic industries,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continue to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Cable Communications’ and Sky’s video businesses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programming distribution and licensing agreements, or the renewal of these agreements on less favorable terms, could adversely affect our businesses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favorable telecommunications access regulations, the loss of Sky’s transmission agreements with satellite or telecommunications providers or the renewal of these agreements on less favorable terms could adversely affect Sky’s businesses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litigation or governmental investigation results could require us to pay significant amounts or lead to onerous operating procedures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240"/>
          </w:cols>
          <w:pgMar w:left="320" w:top="40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w w:val="96"/>
              </w:rPr>
              <w:t>2019</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23,715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26,858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50,324</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53,717</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6,817</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8,255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15,118</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16,824</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7,646</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8,086</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15,900</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15,986</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1,341</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1,885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3,279</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3,773</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2,099</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2,197</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4,206</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4,437</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1,165</w:t>
            </w:r>
          </w:p>
        </w:tc>
        <w:tc>
          <w:tcPr>
            <w:tcW w:w="66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1,079</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2,322</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2,159</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19,068</w:t>
            </w:r>
          </w:p>
        </w:tc>
        <w:tc>
          <w:tcPr>
            <w:tcW w:w="66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21,502</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40,825</w:t>
            </w:r>
          </w:p>
        </w:tc>
        <w:tc>
          <w:tcPr>
            <w:tcW w:w="6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43,179</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4,647</w:t>
            </w:r>
          </w:p>
        </w:tc>
        <w:tc>
          <w:tcPr>
            <w:tcW w:w="66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5,356</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9,499</w:t>
            </w:r>
          </w:p>
        </w:tc>
        <w:tc>
          <w:tcPr>
            <w:tcW w:w="6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10,538</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(1,112)</w:t>
            </w:r>
          </w:p>
        </w:tc>
        <w:tc>
          <w:tcPr>
            <w:tcW w:w="6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(1,137)</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(2,324)</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420</w:t>
            </w:r>
          </w:p>
        </w:tc>
        <w:tc>
          <w:tcPr>
            <w:tcW w:w="6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(296)</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621</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3,955</w:t>
            </w:r>
          </w:p>
        </w:tc>
        <w:tc>
          <w:tcPr>
            <w:tcW w:w="66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4,164</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6,879</w:t>
            </w:r>
          </w:p>
        </w:tc>
        <w:tc>
          <w:tcPr>
            <w:tcW w:w="6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8,872</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(946)</w:t>
            </w:r>
          </w:p>
        </w:tc>
        <w:tc>
          <w:tcPr>
            <w:tcW w:w="6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(961)</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(1,646)</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3,009</w:t>
            </w:r>
          </w:p>
        </w:tc>
        <w:tc>
          <w:tcPr>
            <w:tcW w:w="66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3,203</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5,233</w:t>
            </w:r>
          </w:p>
        </w:tc>
        <w:tc>
          <w:tcPr>
            <w:tcW w:w="6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6,835</w:t>
            </w:r>
          </w:p>
        </w:tc>
      </w:tr>
      <w:tr>
        <w:trPr>
          <w:trHeight w:val="256"/>
        </w:trPr>
        <w:tc>
          <w:tcPr>
            <w:tcW w:w="4740" w:type="dxa"/>
            <w:vAlign w:val="bottom"/>
          </w:tcPr>
          <w:p>
            <w:pPr>
              <w:ind w:left="40"/>
              <w:spacing w:after="0"/>
              <w:rPr>
                <w:sz w:val="20"/>
                <w:szCs w:val="20"/>
                <w:color w:val="auto"/>
              </w:rPr>
            </w:pPr>
            <w:r>
              <w:rPr>
                <w:rFonts w:ascii="Arial" w:cs="Arial" w:eastAsia="Arial" w:hAnsi="Arial"/>
                <w:sz w:val="18"/>
                <w:szCs w:val="18"/>
                <w:color w:val="auto"/>
                <w:w w:val="95"/>
              </w:rPr>
              <w:t>Less: Net income (loss) attributable to noncontrolling interests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98</w:t>
            </w:r>
          </w:p>
        </w:tc>
        <w:tc>
          <w:tcPr>
            <w:tcW w:w="6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2,988</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3,125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5,135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6,678</w:t>
            </w:r>
          </w:p>
        </w:tc>
      </w:tr>
      <w:tr>
        <w:trPr>
          <w:trHeight w:val="34"/>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w w:val="93"/>
              </w:rPr>
              <w:t>Basic earnings per common share attributable to Comcast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74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0.65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0.69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1.12</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1.47</w:t>
            </w:r>
          </w:p>
        </w:tc>
      </w:tr>
      <w:tr>
        <w:trPr>
          <w:trHeight w:val="252"/>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w w:val="91"/>
              </w:rPr>
              <w:t>Diluted earnings per common share attributable to Comcast</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74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0.65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0.68</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1.11</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3"/>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w w:val="96"/>
              </w:rPr>
              <w:t>2019</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3,009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3,203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5,233</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6,835</w:t>
            </w:r>
          </w:p>
        </w:tc>
      </w:tr>
      <w:tr>
        <w:trPr>
          <w:trHeight w:val="256"/>
        </w:trPr>
        <w:tc>
          <w:tcPr>
            <w:tcW w:w="47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deferred taxes of $1, $—, $1 and $—</w:t>
            </w:r>
          </w:p>
        </w:tc>
        <w:tc>
          <w:tcPr>
            <w:tcW w:w="360" w:type="dxa"/>
            <w:vAlign w:val="bottom"/>
          </w:tcPr>
          <w:p>
            <w:pPr>
              <w:spacing w:after="0"/>
              <w:rPr>
                <w:sz w:val="20"/>
                <w:szCs w:val="20"/>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56"/>
        </w:trPr>
        <w:tc>
          <w:tcPr>
            <w:tcW w:w="4740" w:type="dxa"/>
            <w:vAlign w:val="bottom"/>
          </w:tcPr>
          <w:p>
            <w:pPr>
              <w:ind w:left="40"/>
              <w:spacing w:after="0"/>
              <w:rPr>
                <w:sz w:val="20"/>
                <w:szCs w:val="20"/>
                <w:color w:val="auto"/>
              </w:rPr>
            </w:pPr>
            <w:r>
              <w:rPr>
                <w:rFonts w:ascii="Arial" w:cs="Arial" w:eastAsia="Arial" w:hAnsi="Arial"/>
                <w:sz w:val="18"/>
                <w:szCs w:val="18"/>
                <w:color w:val="auto"/>
                <w:w w:val="97"/>
              </w:rPr>
              <w:t>Deferred gains (losses) on cash flow hedges, net of deferred</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taxes of $7, $2, $17 and $11</w:t>
            </w:r>
          </w:p>
        </w:tc>
        <w:tc>
          <w:tcPr>
            <w:tcW w:w="360" w:type="dxa"/>
            <w:vAlign w:val="bottom"/>
          </w:tcPr>
          <w:p>
            <w:pPr>
              <w:spacing w:after="0"/>
              <w:rPr>
                <w:sz w:val="20"/>
                <w:szCs w:val="20"/>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6"/>
        </w:trPr>
        <w:tc>
          <w:tcPr>
            <w:tcW w:w="4740" w:type="dxa"/>
            <w:vAlign w:val="bottom"/>
          </w:tcPr>
          <w:p>
            <w:pPr>
              <w:ind w:left="380"/>
              <w:spacing w:after="0"/>
              <w:rPr>
                <w:sz w:val="20"/>
                <w:szCs w:val="20"/>
                <w:color w:val="auto"/>
              </w:rPr>
            </w:pPr>
            <w:r>
              <w:rPr>
                <w:rFonts w:ascii="Arial" w:cs="Arial" w:eastAsia="Arial" w:hAnsi="Arial"/>
                <w:sz w:val="18"/>
                <w:szCs w:val="18"/>
                <w:color w:val="auto"/>
                <w:w w:val="89"/>
              </w:rPr>
              <w:t>Realized (gains) losses on cash flow hedges, net of deferred</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540"/>
              <w:spacing w:after="0"/>
              <w:rPr>
                <w:sz w:val="20"/>
                <w:szCs w:val="20"/>
                <w:color w:val="auto"/>
              </w:rPr>
            </w:pPr>
            <w:r>
              <w:rPr>
                <w:rFonts w:ascii="Arial" w:cs="Arial" w:eastAsia="Arial" w:hAnsi="Arial"/>
                <w:sz w:val="18"/>
                <w:szCs w:val="18"/>
                <w:color w:val="auto"/>
              </w:rPr>
              <w:t>taxes of $4, $7, $21 and $(4)</w:t>
            </w:r>
          </w:p>
        </w:tc>
        <w:tc>
          <w:tcPr>
            <w:tcW w:w="360" w:type="dxa"/>
            <w:vAlign w:val="bottom"/>
          </w:tcPr>
          <w:p>
            <w:pPr>
              <w:spacing w:after="0"/>
              <w:rPr>
                <w:sz w:val="20"/>
                <w:szCs w:val="20"/>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(127)</w:t>
            </w:r>
          </w:p>
        </w:tc>
        <w:tc>
          <w:tcPr>
            <w:tcW w:w="6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56"/>
        </w:trPr>
        <w:tc>
          <w:tcPr>
            <w:tcW w:w="474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$2, $2, $5 and $5</w:t>
            </w:r>
          </w:p>
        </w:tc>
        <w:tc>
          <w:tcPr>
            <w:tcW w:w="360" w:type="dxa"/>
            <w:vAlign w:val="bottom"/>
          </w:tcPr>
          <w:p>
            <w:pPr>
              <w:spacing w:after="0"/>
              <w:rPr>
                <w:sz w:val="20"/>
                <w:szCs w:val="20"/>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4740" w:type="dxa"/>
            <w:vAlign w:val="bottom"/>
          </w:tcPr>
          <w:p>
            <w:pPr>
              <w:ind w:left="40"/>
              <w:spacing w:after="0"/>
              <w:rPr>
                <w:sz w:val="20"/>
                <w:szCs w:val="20"/>
                <w:color w:val="auto"/>
              </w:rPr>
            </w:pPr>
            <w:r>
              <w:rPr>
                <w:rFonts w:ascii="Arial" w:cs="Arial" w:eastAsia="Arial" w:hAnsi="Arial"/>
                <w:sz w:val="18"/>
                <w:szCs w:val="18"/>
                <w:color w:val="auto"/>
                <w:w w:val="93"/>
              </w:rPr>
              <w:t>Currency translation adjustments, net of deferred taxes of $(9),</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$(6), $(16) and $(18)</w:t>
            </w:r>
          </w:p>
        </w:tc>
        <w:tc>
          <w:tcPr>
            <w:tcW w:w="360" w:type="dxa"/>
            <w:vAlign w:val="bottom"/>
          </w:tcPr>
          <w:p>
            <w:pPr>
              <w:spacing w:after="0"/>
              <w:rPr>
                <w:sz w:val="20"/>
                <w:szCs w:val="20"/>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(566)</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(2,231)</w:t>
            </w:r>
          </w:p>
        </w:tc>
        <w:tc>
          <w:tcPr>
            <w:tcW w:w="6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2,876</w:t>
            </w:r>
          </w:p>
        </w:tc>
        <w:tc>
          <w:tcPr>
            <w:tcW w:w="6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2,707</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2,884</w:t>
            </w:r>
          </w:p>
        </w:tc>
        <w:tc>
          <w:tcPr>
            <w:tcW w:w="6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7,139</w:t>
            </w:r>
          </w:p>
        </w:tc>
      </w:tr>
      <w:tr>
        <w:trPr>
          <w:trHeight w:val="256"/>
        </w:trPr>
        <w:tc>
          <w:tcPr>
            <w:tcW w:w="4740" w:type="dxa"/>
            <w:vAlign w:val="bottom"/>
          </w:tcPr>
          <w:p>
            <w:pPr>
              <w:ind w:left="40"/>
              <w:spacing w:after="0"/>
              <w:rPr>
                <w:sz w:val="20"/>
                <w:szCs w:val="20"/>
                <w:color w:val="auto"/>
              </w:rPr>
            </w:pPr>
            <w:r>
              <w:rPr>
                <w:rFonts w:ascii="Arial" w:cs="Arial" w:eastAsia="Arial" w:hAnsi="Arial"/>
                <w:sz w:val="18"/>
                <w:szCs w:val="18"/>
                <w:color w:val="auto"/>
                <w:w w:val="95"/>
              </w:rPr>
              <w:t>Less: Net income (loss) attributable to noncontrolling interests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98</w:t>
            </w:r>
          </w:p>
        </w:tc>
        <w:tc>
          <w:tcPr>
            <w:tcW w:w="6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56"/>
        </w:trPr>
        <w:tc>
          <w:tcPr>
            <w:tcW w:w="474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Comcast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74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2,853</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2,641</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2,809</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6,984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5,233</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6,835</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6,528</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6,596</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621</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533</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352</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168</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399</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466</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900</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295</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573</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970</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(879)</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824</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14,467</w:t>
            </w:r>
          </w:p>
        </w:tc>
        <w:tc>
          <w:tcPr>
            <w:tcW w:w="6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14,271</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(3,957)</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(4,355)</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(1,219)</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(708)</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(198)</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sales of businesses and investments</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2,042</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(471)</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(4,478)</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(7,414)</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13,612</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363</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(10,712)</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Repurchases of common stock under employee plans</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(269)</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(2,028)</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(1,823)</w:t>
            </w:r>
          </w:p>
        </w:tc>
      </w:tr>
      <w:tr>
        <w:trPr>
          <w:trHeight w:val="270"/>
        </w:trPr>
        <w:tc>
          <w:tcPr>
            <w:tcW w:w="81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(2,128)</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(1,525)</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(6,732)</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36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(77)</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8,387</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5,589</w:t>
            </w: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3,909</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13,976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4,019</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81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11"/>
        </w:trPr>
        <w:tc>
          <w:tcPr>
            <w:tcW w:w="8100" w:type="dxa"/>
            <w:vAlign w:val="bottom"/>
          </w:tcPr>
          <w:p>
            <w:pPr>
              <w:ind w:left="55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color w:val="auto"/>
              </w:rPr>
              <w:t>December 31,</w:t>
            </w:r>
          </w:p>
        </w:tc>
      </w:tr>
      <w:tr>
        <w:trPr>
          <w:trHeight w:val="188"/>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13,935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5,500</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10,227</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11,292</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3,877</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3,323</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4,723</w:t>
            </w:r>
          </w:p>
        </w:tc>
      </w:tr>
      <w:tr>
        <w:trPr>
          <w:trHeight w:val="27"/>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0"/>
                <w:szCs w:val="20"/>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27,485</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25,392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12,213</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8,933</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6,845</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6,989</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Investment securing collateralized obligation</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694</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$53,765 and $53,239</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48,985</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48,322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67,354</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68,725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59,365</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59,365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$17,210 and $17,217</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34,186</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36,128</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9,012</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8,866</w:t>
            </w:r>
          </w:p>
        </w:tc>
      </w:tr>
      <w:tr>
        <w:trPr>
          <w:trHeight w:val="27"/>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265,978</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263,414</w:t>
            </w:r>
          </w:p>
        </w:tc>
      </w:tr>
      <w:tr>
        <w:trPr>
          <w:trHeight w:val="34"/>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10,426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10,826</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1,800</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1,730</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2,403</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2,768</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9,770</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10,516</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4,046</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4,452</w:t>
            </w:r>
          </w:p>
        </w:tc>
      </w:tr>
      <w:tr>
        <w:trPr>
          <w:trHeight w:val="27"/>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0"/>
                <w:szCs w:val="20"/>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28,445</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30,292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100,764</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97,765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Collateralized obligation</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5,167</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5,166</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27,947</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28,180</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17,608</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16,765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1,256</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1,372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Equity:</w:t>
            </w: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7960" w:type="dxa"/>
            <w:vAlign w:val="bottom"/>
          </w:tcPr>
          <w:p>
            <w:pPr>
              <w:ind w:left="380"/>
              <w:spacing w:after="0"/>
              <w:rPr>
                <w:sz w:val="20"/>
                <w:szCs w:val="20"/>
                <w:color w:val="auto"/>
              </w:rPr>
            </w:pPr>
            <w:r>
              <w:rPr>
                <w:rFonts w:ascii="Arial" w:cs="Arial" w:eastAsia="Arial" w:hAnsi="Arial"/>
                <w:sz w:val="18"/>
                <w:szCs w:val="18"/>
                <w:color w:val="auto"/>
                <w:w w:val="91"/>
              </w:rPr>
              <w:t>Class A common stock, $0.01 par value—authorized, 7,500,000,000 shares; issued, 5,431,447,267 and</w:t>
            </w: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5,416,381,298; outstanding, 4,558,656,239 and 4,543,590,270</w:t>
            </w:r>
          </w:p>
        </w:tc>
        <w:tc>
          <w:tcPr>
            <w:tcW w:w="440" w:type="dxa"/>
            <w:vAlign w:val="bottom"/>
          </w:tcPr>
          <w:p>
            <w:pPr>
              <w:spacing w:after="0"/>
              <w:rPr>
                <w:sz w:val="20"/>
                <w:szCs w:val="20"/>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56"/>
        </w:trPr>
        <w:tc>
          <w:tcPr>
            <w:tcW w:w="7960" w:type="dxa"/>
            <w:vAlign w:val="bottom"/>
          </w:tcPr>
          <w:p>
            <w:pPr>
              <w:ind w:left="380"/>
              <w:spacing w:after="0"/>
              <w:rPr>
                <w:sz w:val="20"/>
                <w:szCs w:val="20"/>
                <w:color w:val="auto"/>
              </w:rPr>
            </w:pPr>
            <w:r>
              <w:rPr>
                <w:rFonts w:ascii="Arial" w:cs="Arial" w:eastAsia="Arial" w:hAnsi="Arial"/>
                <w:sz w:val="18"/>
                <w:szCs w:val="18"/>
                <w:color w:val="auto"/>
                <w:w w:val="97"/>
              </w:rPr>
              <w:t>Class B common stock, $0.01 par value—authorized, 75,000,000 shares; issued and outstanding,</w:t>
            </w: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9,444,375</w:t>
            </w:r>
          </w:p>
        </w:tc>
        <w:tc>
          <w:tcPr>
            <w:tcW w:w="440" w:type="dxa"/>
            <w:vAlign w:val="bottom"/>
          </w:tcPr>
          <w:p>
            <w:pPr>
              <w:spacing w:after="0"/>
              <w:rPr>
                <w:sz w:val="20"/>
                <w:szCs w:val="20"/>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38,936</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38,447</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53,420</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50,695</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44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79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(1,279)</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1,047</w:t>
            </w:r>
          </w:p>
        </w:tc>
      </w:tr>
      <w:tr>
        <w:trPr>
          <w:trHeight w:val="27"/>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796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440" w:type="dxa"/>
            <w:vAlign w:val="bottom"/>
          </w:tcPr>
          <w:p>
            <w:pPr>
              <w:spacing w:after="0"/>
              <w:rPr>
                <w:sz w:val="20"/>
                <w:szCs w:val="20"/>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83,614</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82,726</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440" w:type="dxa"/>
            <w:vAlign w:val="bottom"/>
          </w:tcPr>
          <w:p>
            <w:pPr>
              <w:spacing w:after="0"/>
              <w:rPr>
                <w:sz w:val="23"/>
                <w:szCs w:val="23"/>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1,177</w:t>
            </w: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1,148</w:t>
            </w:r>
          </w:p>
        </w:tc>
      </w:tr>
      <w:tr>
        <w:trPr>
          <w:trHeight w:val="27"/>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796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440" w:type="dxa"/>
            <w:vAlign w:val="bottom"/>
          </w:tcPr>
          <w:p>
            <w:pPr>
              <w:spacing w:after="0"/>
              <w:rPr>
                <w:sz w:val="20"/>
                <w:szCs w:val="20"/>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84,791</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83,874</w:t>
            </w:r>
          </w:p>
        </w:tc>
      </w:tr>
      <w:tr>
        <w:trPr>
          <w:trHeight w:val="27"/>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265,978</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263,414</w:t>
            </w:r>
          </w:p>
        </w:tc>
      </w:tr>
      <w:tr>
        <w:trPr>
          <w:trHeight w:val="34"/>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96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3"/>
          </w:tcPr>
          <w:p>
            <w:pPr>
              <w:jc w:val="right"/>
              <w:ind w:right="851"/>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June 30,</w:t>
            </w: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r>
      <w:tr>
        <w:trPr>
          <w:trHeight w:val="263"/>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2019</w:t>
            </w:r>
          </w:p>
        </w:tc>
      </w:tr>
      <w:tr>
        <w:trPr>
          <w:trHeight w:val="224"/>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w w:val="90"/>
              </w:rPr>
              <w:t>Redeemable Noncontrolling Interests and Redeemable Subsidiary</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180" w:type="dxa"/>
            <w:vAlign w:val="bottom"/>
          </w:tcPr>
          <w:p>
            <w:pPr>
              <w:ind w:left="200"/>
              <w:spacing w:after="0"/>
              <w:rPr>
                <w:sz w:val="20"/>
                <w:szCs w:val="20"/>
                <w:color w:val="auto"/>
              </w:rPr>
            </w:pPr>
            <w:r>
              <w:rPr>
                <w:rFonts w:ascii="Arial" w:cs="Arial" w:eastAsia="Arial" w:hAnsi="Arial"/>
                <w:sz w:val="18"/>
                <w:szCs w:val="18"/>
                <w:b w:val="1"/>
                <w:bCs w:val="1"/>
                <w:color w:val="auto"/>
              </w:rPr>
              <w:t>Preferred Stock</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1,259</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1,316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1,316</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w w:val="96"/>
              </w:rPr>
              <w:t>Contributions from (distributions to) noncontrolling interests,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1,256</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1,329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1,256</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1,329</w:t>
            </w:r>
          </w:p>
        </w:tc>
      </w:tr>
      <w:tr>
        <w:trPr>
          <w:trHeight w:val="34"/>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Class A common stock</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54</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54</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54</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54</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72"/>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38,597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37,621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38,447</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37,461</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Stock compensation plans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237</w:t>
            </w:r>
          </w:p>
        </w:tc>
        <w:tc>
          <w:tcPr>
            <w:tcW w:w="4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411</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Repurchases of common stock under employee plans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38,936</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37,950</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38,936</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37,950</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5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51,516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44,379</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50,695</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41,983</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Repurchases of common stock under employee plans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(112)</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Dividends declared</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(964)</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(2,125)</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(1,928)</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2,988</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3,125</w:t>
            </w:r>
          </w:p>
        </w:tc>
        <w:tc>
          <w:tcPr>
            <w:tcW w:w="4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5,135</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6,678</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53,420</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46,425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53,420</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46,425</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5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(7,517)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(7,517)</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(7,517)</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5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422</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1,047</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(484)</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(2,326)</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306</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(1,279)</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(62)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(1,279)</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5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1,277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903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1,148</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w w:val="96"/>
              </w:rPr>
              <w:t>Contributions from (distributions to) noncontrolling interests,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51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1,177</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980</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1,177</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980</w:t>
            </w:r>
          </w:p>
        </w:tc>
      </w:tr>
      <w:tr>
        <w:trPr>
          <w:trHeight w:val="27"/>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84,791</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77,830</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84,791</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77,830</w:t>
            </w:r>
          </w:p>
        </w:tc>
      </w:tr>
      <w:tr>
        <w:trPr>
          <w:trHeight w:val="34"/>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0.23</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0.21</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0.46</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0.42</w:t>
            </w:r>
          </w:p>
        </w:tc>
      </w:tr>
      <w:tr>
        <w:trPr>
          <w:trHeight w:val="34"/>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518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83" w:lineRule="exact"/>
        <w:rPr>
          <w:sz w:val="20"/>
          <w:szCs w:val="20"/>
          <w:color w:val="auto"/>
        </w:rPr>
      </w:pPr>
    </w:p>
    <w:p>
      <w:pPr>
        <w:ind w:right="420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2019 Annual Report on Form 10-K and the notes within this Form 10-Q.</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our operations in six reportable business segments: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is a leading provider of high-speed internet, video, voice, wireless, and security and automation services to residential customers under the Xfinity brand; we also provide these and other services to business customers and sell advertising.</w:t>
      </w:r>
    </w:p>
    <w:p>
      <w:pPr>
        <w:spacing w:after="0" w:line="2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Cable Networks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Broadcast Television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Filmed Entertainment consists primarily of the operations of Universal Pictures, which produces, acquires, markets and distributes filmed entertainment worldwide; our films are also produced under the Illumination, DreamWorks Animation and Focus Features names.</w:t>
      </w:r>
    </w:p>
    <w:p>
      <w:pPr>
        <w:spacing w:after="0" w:line="2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Peacock, our new direct-to-consumer streaming service that primarily features NBCUniversal content.</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business segment is presented in the tables below.</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color w:val="auto"/>
                <w:w w:val="92"/>
              </w:rPr>
              <w:t>Three Months Ended June 30, 2020</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14"/>
              <w:spacing w:after="0" w:line="156"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40" w:type="dxa"/>
            <w:vAlign w:val="bottom"/>
          </w:tcPr>
          <w:p>
            <w:pPr>
              <w:jc w:val="center"/>
              <w:ind w:right="13"/>
              <w:spacing w:after="0" w:line="156" w:lineRule="exact"/>
              <w:rPr>
                <w:sz w:val="20"/>
                <w:szCs w:val="20"/>
                <w:color w:val="auto"/>
              </w:rPr>
            </w:pPr>
            <w:r>
              <w:rPr>
                <w:rFonts w:ascii="Arial" w:cs="Arial" w:eastAsia="Arial" w:hAnsi="Arial"/>
                <w:sz w:val="14"/>
                <w:szCs w:val="14"/>
                <w:color w:val="auto"/>
                <w:w w:val="94"/>
              </w:rPr>
              <w:t>Depreciation and</w:t>
            </w:r>
          </w:p>
        </w:tc>
        <w:tc>
          <w:tcPr>
            <w:tcW w:w="220" w:type="dxa"/>
            <w:vAlign w:val="bottom"/>
          </w:tcPr>
          <w:p>
            <w:pPr>
              <w:spacing w:after="0"/>
              <w:rPr>
                <w:sz w:val="13"/>
                <w:szCs w:val="13"/>
                <w:color w:val="auto"/>
              </w:rPr>
            </w:pPr>
          </w:p>
        </w:tc>
        <w:tc>
          <w:tcPr>
            <w:tcW w:w="1020" w:type="dxa"/>
            <w:vAlign w:val="bottom"/>
          </w:tcPr>
          <w:p>
            <w:pPr>
              <w:jc w:val="center"/>
              <w:ind w:right="33"/>
              <w:spacing w:after="0" w:line="156"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center"/>
              <w:ind w:right="53"/>
              <w:spacing w:after="0" w:line="156"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(d)</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7"/>
              </w:rPr>
              <w:t>Amortization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14,428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6,176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326</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2,515</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1,194</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6,124</w:t>
            </w:r>
          </w:p>
        </w:tc>
        <w:tc>
          <w:tcPr>
            <w:tcW w:w="2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1,638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66</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4,079</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170</w:t>
            </w:r>
          </w:p>
        </w:tc>
      </w:tr>
      <w:tr>
        <w:trPr>
          <w:trHeight w:val="310"/>
        </w:trPr>
        <w:tc>
          <w:tcPr>
            <w:tcW w:w="4920" w:type="dxa"/>
            <w:vAlign w:val="bottom"/>
          </w:tcPr>
          <w:p>
            <w:pPr>
              <w:ind w:left="2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w:t>
            </w:r>
          </w:p>
        </w:tc>
      </w:tr>
      <w:tr>
        <w:trPr>
          <w:trHeight w:val="257"/>
        </w:trPr>
        <w:tc>
          <w:tcPr>
            <w:tcW w:w="492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23,715</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7,927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3,264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2,076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601</w:t>
            </w:r>
          </w:p>
        </w:tc>
      </w:tr>
      <w:tr>
        <w:trPr>
          <w:trHeight w:val="34"/>
        </w:trPr>
        <w:tc>
          <w:tcPr>
            <w:tcW w:w="4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99"/>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color w:val="auto"/>
                <w:w w:val="92"/>
              </w:rPr>
              <w:t>Three Months Ended June 30, 2019</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14"/>
              <w:spacing w:after="0" w:line="156"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40" w:type="dxa"/>
            <w:vAlign w:val="bottom"/>
          </w:tcPr>
          <w:p>
            <w:pPr>
              <w:jc w:val="center"/>
              <w:ind w:right="13"/>
              <w:spacing w:after="0" w:line="156" w:lineRule="exact"/>
              <w:rPr>
                <w:sz w:val="20"/>
                <w:szCs w:val="20"/>
                <w:color w:val="auto"/>
              </w:rPr>
            </w:pPr>
            <w:r>
              <w:rPr>
                <w:rFonts w:ascii="Arial" w:cs="Arial" w:eastAsia="Arial" w:hAnsi="Arial"/>
                <w:sz w:val="14"/>
                <w:szCs w:val="14"/>
                <w:color w:val="auto"/>
                <w:w w:val="94"/>
              </w:rPr>
              <w:t>Depreciation and</w:t>
            </w:r>
          </w:p>
        </w:tc>
        <w:tc>
          <w:tcPr>
            <w:tcW w:w="220" w:type="dxa"/>
            <w:vAlign w:val="bottom"/>
          </w:tcPr>
          <w:p>
            <w:pPr>
              <w:spacing w:after="0"/>
              <w:rPr>
                <w:sz w:val="13"/>
                <w:szCs w:val="13"/>
                <w:color w:val="auto"/>
              </w:rPr>
            </w:pPr>
          </w:p>
        </w:tc>
        <w:tc>
          <w:tcPr>
            <w:tcW w:w="1020" w:type="dxa"/>
            <w:vAlign w:val="bottom"/>
          </w:tcPr>
          <w:p>
            <w:pPr>
              <w:jc w:val="center"/>
              <w:ind w:right="33"/>
              <w:spacing w:after="0" w:line="156"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center"/>
              <w:ind w:right="53"/>
              <w:spacing w:after="0" w:line="156"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(d)</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7"/>
              </w:rPr>
              <w:t>Amortization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5,854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303</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2,402</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1,464</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35</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8,206</w:t>
            </w:r>
          </w:p>
        </w:tc>
        <w:tc>
          <w:tcPr>
            <w:tcW w:w="2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2,324</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4,828</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152</w:t>
            </w:r>
          </w:p>
        </w:tc>
      </w:tr>
      <w:tr>
        <w:trPr>
          <w:trHeight w:val="310"/>
        </w:trPr>
        <w:tc>
          <w:tcPr>
            <w:tcW w:w="4920" w:type="dxa"/>
            <w:vAlign w:val="bottom"/>
          </w:tcPr>
          <w:p>
            <w:pPr>
              <w:ind w:left="2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w:t>
            </w:r>
          </w:p>
        </w:tc>
      </w:tr>
      <w:tr>
        <w:trPr>
          <w:trHeight w:val="257"/>
        </w:trPr>
        <w:tc>
          <w:tcPr>
            <w:tcW w:w="492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26,858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8,716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3,276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2,263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531</w:t>
            </w:r>
          </w:p>
        </w:tc>
      </w:tr>
      <w:tr>
        <w:trPr>
          <w:trHeight w:val="34"/>
        </w:trPr>
        <w:tc>
          <w:tcPr>
            <w:tcW w:w="4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85"/>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color w:val="auto"/>
                <w:w w:val="92"/>
              </w:rPr>
              <w:t>Six Months Ended June 30, 2020</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14"/>
              <w:spacing w:after="0" w:line="156"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40" w:type="dxa"/>
            <w:vAlign w:val="bottom"/>
          </w:tcPr>
          <w:p>
            <w:pPr>
              <w:jc w:val="center"/>
              <w:ind w:right="13"/>
              <w:spacing w:after="0" w:line="156" w:lineRule="exact"/>
              <w:rPr>
                <w:sz w:val="20"/>
                <w:szCs w:val="20"/>
                <w:color w:val="auto"/>
              </w:rPr>
            </w:pPr>
            <w:r>
              <w:rPr>
                <w:rFonts w:ascii="Arial" w:cs="Arial" w:eastAsia="Arial" w:hAnsi="Arial"/>
                <w:sz w:val="14"/>
                <w:szCs w:val="14"/>
                <w:color w:val="auto"/>
                <w:w w:val="94"/>
              </w:rPr>
              <w:t>Depreciation and</w:t>
            </w:r>
          </w:p>
        </w:tc>
        <w:tc>
          <w:tcPr>
            <w:tcW w:w="220" w:type="dxa"/>
            <w:vAlign w:val="bottom"/>
          </w:tcPr>
          <w:p>
            <w:pPr>
              <w:spacing w:after="0"/>
              <w:rPr>
                <w:sz w:val="13"/>
                <w:szCs w:val="13"/>
                <w:color w:val="auto"/>
              </w:rPr>
            </w:pPr>
          </w:p>
        </w:tc>
        <w:tc>
          <w:tcPr>
            <w:tcW w:w="1020" w:type="dxa"/>
            <w:vAlign w:val="bottom"/>
          </w:tcPr>
          <w:p>
            <w:pPr>
              <w:jc w:val="center"/>
              <w:ind w:right="33"/>
              <w:spacing w:after="0" w:line="156"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center"/>
              <w:ind w:right="53"/>
              <w:spacing w:after="0" w:line="156"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(d)</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7"/>
              </w:rPr>
              <w:t>Amortization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29,346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12,252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682</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5,374</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2,491</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5,048</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2,564</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79</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13,858</w:t>
            </w:r>
          </w:p>
        </w:tc>
        <w:tc>
          <w:tcPr>
            <w:tcW w:w="2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133</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8,596</w:t>
            </w:r>
          </w:p>
        </w:tc>
        <w:tc>
          <w:tcPr>
            <w:tcW w:w="2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1,300</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336</w:t>
            </w:r>
          </w:p>
        </w:tc>
      </w:tr>
      <w:tr>
        <w:trPr>
          <w:trHeight w:val="310"/>
        </w:trPr>
        <w:tc>
          <w:tcPr>
            <w:tcW w:w="4920" w:type="dxa"/>
            <w:vAlign w:val="bottom"/>
          </w:tcPr>
          <w:p>
            <w:pPr>
              <w:ind w:left="2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68</w:t>
            </w:r>
          </w:p>
        </w:tc>
      </w:tr>
      <w:tr>
        <w:trPr>
          <w:trHeight w:val="257"/>
        </w:trPr>
        <w:tc>
          <w:tcPr>
            <w:tcW w:w="492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50,324</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16,057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6,528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3,957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1,219</w:t>
            </w:r>
          </w:p>
        </w:tc>
      </w:tr>
      <w:tr>
        <w:trPr>
          <w:trHeight w:val="34"/>
        </w:trPr>
        <w:tc>
          <w:tcPr>
            <w:tcW w:w="4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color w:val="auto"/>
                <w:w w:val="93"/>
              </w:rPr>
              <w:t>Six Months Ended June 30, 2019</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54"/>
              <w:spacing w:after="0" w:line="156" w:lineRule="exact"/>
              <w:rPr>
                <w:sz w:val="20"/>
                <w:szCs w:val="20"/>
                <w:color w:val="auto"/>
              </w:rPr>
            </w:pPr>
            <w:r>
              <w:rPr>
                <w:rFonts w:ascii="Arial" w:cs="Arial" w:eastAsia="Arial" w:hAnsi="Arial"/>
                <w:sz w:val="14"/>
                <w:szCs w:val="14"/>
                <w:color w:val="auto"/>
              </w:rPr>
              <w:t>Adjusted</w:t>
            </w:r>
          </w:p>
        </w:tc>
        <w:tc>
          <w:tcPr>
            <w:tcW w:w="160" w:type="dxa"/>
            <w:vAlign w:val="bottom"/>
          </w:tcPr>
          <w:p>
            <w:pPr>
              <w:spacing w:after="0"/>
              <w:rPr>
                <w:sz w:val="13"/>
                <w:szCs w:val="13"/>
                <w:color w:val="auto"/>
              </w:rPr>
            </w:pPr>
          </w:p>
        </w:tc>
        <w:tc>
          <w:tcPr>
            <w:tcW w:w="1160" w:type="dxa"/>
            <w:vAlign w:val="bottom"/>
          </w:tcPr>
          <w:p>
            <w:pPr>
              <w:jc w:val="center"/>
              <w:ind w:right="13"/>
              <w:spacing w:after="0" w:line="156" w:lineRule="exact"/>
              <w:rPr>
                <w:sz w:val="20"/>
                <w:szCs w:val="20"/>
                <w:color w:val="auto"/>
              </w:rPr>
            </w:pPr>
            <w:r>
              <w:rPr>
                <w:rFonts w:ascii="Arial" w:cs="Arial" w:eastAsia="Arial" w:hAnsi="Arial"/>
                <w:sz w:val="14"/>
                <w:szCs w:val="14"/>
                <w:color w:val="auto"/>
                <w:w w:val="92"/>
              </w:rPr>
              <w:t>Depreciation and</w:t>
            </w:r>
          </w:p>
        </w:tc>
        <w:tc>
          <w:tcPr>
            <w:tcW w:w="220" w:type="dxa"/>
            <w:vAlign w:val="bottom"/>
          </w:tcPr>
          <w:p>
            <w:pPr>
              <w:spacing w:after="0"/>
              <w:rPr>
                <w:sz w:val="13"/>
                <w:szCs w:val="13"/>
                <w:color w:val="auto"/>
              </w:rPr>
            </w:pPr>
          </w:p>
        </w:tc>
        <w:tc>
          <w:tcPr>
            <w:tcW w:w="1000" w:type="dxa"/>
            <w:vAlign w:val="bottom"/>
          </w:tcPr>
          <w:p>
            <w:pPr>
              <w:jc w:val="right"/>
              <w:ind w:right="273"/>
              <w:spacing w:after="0" w:line="156"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20" w:type="dxa"/>
            <w:vAlign w:val="bottom"/>
          </w:tcPr>
          <w:p>
            <w:pPr>
              <w:jc w:val="right"/>
              <w:ind w:right="133"/>
              <w:spacing w:after="0" w:line="156"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5"/>
              </w:rPr>
              <w:t>Expenditures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28,730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11,582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626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5,815</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4,869</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3,225</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16,519</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9,625</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1,414</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303</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53,717</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17,269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6,596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4,355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1,078</w:t>
            </w:r>
          </w:p>
        </w:tc>
      </w:tr>
      <w:tr>
        <w:trPr>
          <w:trHeight w:val="34"/>
        </w:trPr>
        <w:tc>
          <w:tcPr>
            <w:tcW w:w="4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w:t>
      </w:r>
    </w:p>
    <w:p>
      <w:pPr>
        <w:spacing w:after="0" w:line="36" w:lineRule="exact"/>
        <w:rPr>
          <w:rFonts w:ascii="Arial" w:cs="Arial" w:eastAsia="Arial" w:hAnsi="Arial"/>
          <w:sz w:val="14"/>
          <w:szCs w:val="14"/>
          <w:color w:val="auto"/>
        </w:rPr>
      </w:pPr>
    </w:p>
    <w:p>
      <w:pPr>
        <w:jc w:val="both"/>
        <w:ind w:left="340"/>
        <w:spacing w:after="0" w:line="277" w:lineRule="auto"/>
        <w:rPr>
          <w:rFonts w:ascii="Arial" w:cs="Arial" w:eastAsia="Arial" w:hAnsi="Arial"/>
          <w:sz w:val="14"/>
          <w:szCs w:val="14"/>
          <w:color w:val="auto"/>
        </w:rPr>
      </w:pPr>
      <w:r>
        <w:rPr>
          <w:rFonts w:ascii="Arial" w:cs="Arial" w:eastAsia="Arial" w:hAnsi="Arial"/>
          <w:sz w:val="13"/>
          <w:szCs w:val="13"/>
          <w:color w:val="auto"/>
        </w:rPr>
        <w:t>The most significant transactions between our segments include distribution revenue at Cable Networks for the sale of programming to Cable Communications; content licensing revenue in our NBCUniversal segments (Broadcast Television, Filmed Entertainment and Cable Networks) for the license of owned content to Peacock and Sky, and for licenses of owned content to other NBCUniversal segments; advertising revenue at Cable Communications, Cable Networks and Broadcast Television; and distribution revenue at Broadcast Television for fees received under retransmission consent agreements from Cable Communications. For segment reporting purposes, we account for intercompany content licenses as follows:</w:t>
      </w:r>
    </w:p>
    <w:p>
      <w:pPr>
        <w:spacing w:after="0" w:line="11" w:lineRule="exact"/>
        <w:rPr>
          <w:rFonts w:ascii="Arial" w:cs="Arial" w:eastAsia="Arial" w:hAnsi="Arial"/>
          <w:sz w:val="14"/>
          <w:szCs w:val="14"/>
          <w:color w:val="auto"/>
        </w:rPr>
      </w:pPr>
    </w:p>
    <w:p>
      <w:pPr>
        <w:jc w:val="both"/>
        <w:ind w:left="980" w:hanging="324"/>
        <w:spacing w:after="0" w:line="252" w:lineRule="auto"/>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Revenue for licenses of content from NBCUniversal segments to Peacock and Sky are generally recognized at a point in time, consistent with the recognition of transactions with third parties, when the content is delivered and made available for use. The costs of these licenses at Peacock and Sky are recognized as the content is used over the license period. The difference in timing of recognition between segments results in an Adjusted EBITDA impact in eliminations as the profits on these transactions are deferred in our consolidated results and recognized as the content is used over the license period.</w:t>
      </w:r>
    </w:p>
    <w:p>
      <w:pPr>
        <w:spacing w:after="0" w:line="133" w:lineRule="exact"/>
        <w:rPr>
          <w:rFonts w:ascii="Arial" w:cs="Arial" w:eastAsia="Arial" w:hAnsi="Arial"/>
          <w:sz w:val="14"/>
          <w:szCs w:val="14"/>
          <w:color w:val="auto"/>
        </w:rPr>
      </w:pPr>
    </w:p>
    <w:p>
      <w:pPr>
        <w:ind w:left="980" w:hanging="324"/>
        <w:spacing w:after="0" w:line="273" w:lineRule="auto"/>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Revenue for licenses of content between NBCUniversal segments is recognized over time to correspond with the amortization of the programming rights asset for the licensed content as the content is used over the license period.</w:t>
      </w:r>
    </w:p>
    <w:p>
      <w:pPr>
        <w:spacing w:after="0" w:line="119"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our other business interests, including Peacock.</w:t>
      </w:r>
    </w:p>
    <w:p>
      <w:pPr>
        <w:spacing w:after="0" w:line="176"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780" w:type="dxa"/>
            <w:vAlign w:val="bottom"/>
          </w:tcPr>
          <w:p>
            <w:pPr>
              <w:spacing w:after="0"/>
              <w:rPr>
                <w:sz w:val="14"/>
                <w:szCs w:val="14"/>
                <w:color w:val="auto"/>
              </w:rPr>
            </w:pPr>
          </w:p>
        </w:tc>
      </w:tr>
      <w:tr>
        <w:trPr>
          <w:trHeight w:val="188"/>
        </w:trPr>
        <w:tc>
          <w:tcPr>
            <w:tcW w:w="4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26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96"/>
              </w:rPr>
              <w:t>2019</w:t>
            </w:r>
          </w:p>
        </w:tc>
      </w:tr>
      <w:tr>
        <w:trPr>
          <w:trHeight w:val="258"/>
        </w:trPr>
        <w:tc>
          <w:tcPr>
            <w:tcW w:w="48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7,927</w:t>
            </w:r>
          </w:p>
        </w:tc>
        <w:tc>
          <w:tcPr>
            <w:tcW w:w="9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8,716</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16,057</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17,269</w:t>
            </w:r>
          </w:p>
        </w:tc>
      </w:tr>
      <w:tr>
        <w:trPr>
          <w:trHeight w:val="270"/>
        </w:trPr>
        <w:tc>
          <w:tcPr>
            <w:tcW w:w="482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78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92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38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70"/>
        </w:trPr>
        <w:tc>
          <w:tcPr>
            <w:tcW w:w="482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78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(2,099)</w:t>
            </w:r>
          </w:p>
        </w:tc>
        <w:tc>
          <w:tcPr>
            <w:tcW w:w="92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(2,197)</w:t>
            </w:r>
          </w:p>
        </w:tc>
        <w:tc>
          <w:tcPr>
            <w:tcW w:w="38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(4,206)</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(4,437)</w:t>
            </w:r>
          </w:p>
        </w:tc>
      </w:tr>
      <w:tr>
        <w:trPr>
          <w:trHeight w:val="270"/>
        </w:trPr>
        <w:tc>
          <w:tcPr>
            <w:tcW w:w="48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8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(1,165)</w:t>
            </w:r>
          </w:p>
        </w:tc>
        <w:tc>
          <w:tcPr>
            <w:tcW w:w="92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(1,079)</w:t>
            </w:r>
          </w:p>
        </w:tc>
        <w:tc>
          <w:tcPr>
            <w:tcW w:w="38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(2,322)</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(2,159)</w:t>
            </w:r>
          </w:p>
        </w:tc>
      </w:tr>
      <w:tr>
        <w:trPr>
          <w:trHeight w:val="270"/>
        </w:trPr>
        <w:tc>
          <w:tcPr>
            <w:tcW w:w="4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78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(1,112)</w:t>
            </w:r>
          </w:p>
        </w:tc>
        <w:tc>
          <w:tcPr>
            <w:tcW w:w="92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(1,137)</w:t>
            </w:r>
          </w:p>
        </w:tc>
        <w:tc>
          <w:tcPr>
            <w:tcW w:w="38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(2,324)</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(2,287)</w:t>
            </w:r>
          </w:p>
        </w:tc>
      </w:tr>
      <w:tr>
        <w:trPr>
          <w:trHeight w:val="27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420</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(296)</w:t>
            </w: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w:t>
            </w:r>
          </w:p>
        </w:tc>
      </w:tr>
      <w:tr>
        <w:trPr>
          <w:trHeight w:val="27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3,955</w:t>
            </w:r>
          </w:p>
        </w:tc>
        <w:tc>
          <w:tcPr>
            <w:tcW w:w="9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4,164</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6,879</w:t>
            </w:r>
          </w:p>
        </w:tc>
        <w:tc>
          <w:tcPr>
            <w:tcW w:w="5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8,872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6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r>
      <w:tr>
        <w:trPr>
          <w:trHeight w:val="263"/>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w w:val="89"/>
              </w:rPr>
              <w:t>2019</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96"/>
              </w:rPr>
              <w:t>2019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18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5,000</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4,663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10,001</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9,240</w:t>
            </w:r>
          </w:p>
        </w:tc>
      </w:tr>
      <w:tr>
        <w:trPr>
          <w:trHeight w:val="270"/>
        </w:trPr>
        <w:tc>
          <w:tcPr>
            <w:tcW w:w="5180" w:type="dxa"/>
            <w:vAlign w:val="bottom"/>
          </w:tcPr>
          <w:p>
            <w:pPr>
              <w:ind w:left="180"/>
              <w:spacing w:after="0"/>
              <w:rPr>
                <w:sz w:val="20"/>
                <w:szCs w:val="20"/>
                <w:color w:val="auto"/>
              </w:rPr>
            </w:pPr>
            <w:r>
              <w:rPr>
                <w:rFonts w:ascii="Arial" w:cs="Arial" w:eastAsia="Arial" w:hAnsi="Arial"/>
                <w:sz w:val="18"/>
                <w:szCs w:val="18"/>
                <w:color w:val="auto"/>
              </w:rPr>
              <w:t>Video</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5,415</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5,594</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11,047</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11,222</w:t>
            </w:r>
          </w:p>
        </w:tc>
      </w:tr>
      <w:tr>
        <w:trPr>
          <w:trHeight w:val="270"/>
        </w:trPr>
        <w:tc>
          <w:tcPr>
            <w:tcW w:w="5180" w:type="dxa"/>
            <w:vAlign w:val="bottom"/>
          </w:tcPr>
          <w:p>
            <w:pPr>
              <w:ind w:left="180"/>
              <w:spacing w:after="0"/>
              <w:rPr>
                <w:sz w:val="20"/>
                <w:szCs w:val="20"/>
                <w:color w:val="auto"/>
              </w:rPr>
            </w:pPr>
            <w:r>
              <w:rPr>
                <w:rFonts w:ascii="Arial" w:cs="Arial" w:eastAsia="Arial" w:hAnsi="Arial"/>
                <w:sz w:val="18"/>
                <w:szCs w:val="18"/>
                <w:color w:val="auto"/>
              </w:rPr>
              <w:t>Voice</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877</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982</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1,776</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1,972</w:t>
            </w:r>
          </w:p>
        </w:tc>
      </w:tr>
      <w:tr>
        <w:trPr>
          <w:trHeight w:val="270"/>
        </w:trPr>
        <w:tc>
          <w:tcPr>
            <w:tcW w:w="5180" w:type="dxa"/>
            <w:vAlign w:val="bottom"/>
          </w:tcPr>
          <w:p>
            <w:pPr>
              <w:ind w:left="180"/>
              <w:spacing w:after="0"/>
              <w:rPr>
                <w:sz w:val="20"/>
                <w:szCs w:val="20"/>
                <w:color w:val="auto"/>
              </w:rPr>
            </w:pPr>
            <w:r>
              <w:rPr>
                <w:rFonts w:ascii="Arial" w:cs="Arial" w:eastAsia="Arial" w:hAnsi="Arial"/>
                <w:sz w:val="18"/>
                <w:szCs w:val="18"/>
                <w:color w:val="auto"/>
              </w:rPr>
              <w:t>Wireless</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326</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244</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669</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469</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2,004</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1,933</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4,047</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3,824</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428</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607</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985</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1,163</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378</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427</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821</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840</w:t>
            </w:r>
          </w:p>
        </w:tc>
      </w:tr>
      <w:tr>
        <w:trPr>
          <w:trHeight w:val="27"/>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35"/>
        </w:trPr>
        <w:tc>
          <w:tcPr>
            <w:tcW w:w="518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w:t>
            </w: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14,428</w:t>
            </w:r>
          </w:p>
        </w:tc>
        <w:tc>
          <w:tcPr>
            <w:tcW w:w="640" w:type="dxa"/>
            <w:vAlign w:val="bottom"/>
          </w:tcPr>
          <w:p>
            <w:pPr>
              <w:spacing w:after="0"/>
              <w:rPr>
                <w:sz w:val="24"/>
                <w:szCs w:val="24"/>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14,450</w:t>
            </w: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29,346</w:t>
            </w:r>
          </w:p>
        </w:tc>
        <w:tc>
          <w:tcPr>
            <w:tcW w:w="6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28,730</w:t>
            </w:r>
          </w:p>
        </w:tc>
      </w:tr>
      <w:tr>
        <w:trPr>
          <w:trHeight w:val="334"/>
        </w:trPr>
        <w:tc>
          <w:tcPr>
            <w:tcW w:w="51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1,455</w:t>
            </w:r>
          </w:p>
        </w:tc>
        <w:tc>
          <w:tcPr>
            <w:tcW w:w="640" w:type="dxa"/>
            <w:vAlign w:val="bottom"/>
          </w:tcPr>
          <w:p>
            <w:pPr>
              <w:spacing w:after="0"/>
              <w:rPr>
                <w:sz w:val="24"/>
                <w:szCs w:val="24"/>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1,707</w:t>
            </w: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3,163</w:t>
            </w:r>
          </w:p>
        </w:tc>
        <w:tc>
          <w:tcPr>
            <w:tcW w:w="6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3,442</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679</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931</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1,513</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1,783</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381</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309</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698</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590</w:t>
            </w:r>
          </w:p>
        </w:tc>
      </w:tr>
      <w:tr>
        <w:trPr>
          <w:trHeight w:val="27"/>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2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2,515</w:t>
            </w:r>
          </w:p>
        </w:tc>
        <w:tc>
          <w:tcPr>
            <w:tcW w:w="64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2,947</w:t>
            </w:r>
          </w:p>
        </w:tc>
        <w:tc>
          <w:tcPr>
            <w:tcW w:w="44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5,374</w:t>
            </w:r>
          </w:p>
        </w:tc>
        <w:tc>
          <w:tcPr>
            <w:tcW w:w="6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5,815</w:t>
            </w:r>
          </w:p>
        </w:tc>
      </w:tr>
      <w:tr>
        <w:trPr>
          <w:trHeight w:val="432"/>
        </w:trPr>
        <w:tc>
          <w:tcPr>
            <w:tcW w:w="51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959</w:t>
            </w:r>
          </w:p>
        </w:tc>
        <w:tc>
          <w:tcPr>
            <w:tcW w:w="640" w:type="dxa"/>
            <w:vAlign w:val="bottom"/>
          </w:tcPr>
          <w:p>
            <w:pPr>
              <w:spacing w:after="0"/>
              <w:rPr>
                <w:sz w:val="24"/>
                <w:szCs w:val="24"/>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1,329</w:t>
            </w: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2,277</w:t>
            </w:r>
          </w:p>
        </w:tc>
        <w:tc>
          <w:tcPr>
            <w:tcW w:w="6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2,646</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749</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472</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1,484</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1,032</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656</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601</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1,287</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1,191</w:t>
            </w:r>
          </w:p>
        </w:tc>
      </w:tr>
      <w:tr>
        <w:trPr>
          <w:trHeight w:val="27"/>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2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2,364</w:t>
            </w:r>
          </w:p>
        </w:tc>
        <w:tc>
          <w:tcPr>
            <w:tcW w:w="64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2,402</w:t>
            </w:r>
          </w:p>
        </w:tc>
        <w:tc>
          <w:tcPr>
            <w:tcW w:w="44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5,048</w:t>
            </w:r>
          </w:p>
        </w:tc>
        <w:tc>
          <w:tcPr>
            <w:tcW w:w="6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4,869</w:t>
            </w:r>
          </w:p>
        </w:tc>
      </w:tr>
      <w:tr>
        <w:trPr>
          <w:trHeight w:val="432"/>
        </w:trPr>
        <w:tc>
          <w:tcPr>
            <w:tcW w:w="518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4"/>
                <w:szCs w:val="24"/>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252</w:t>
            </w: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325</w:t>
            </w:r>
          </w:p>
        </w:tc>
        <w:tc>
          <w:tcPr>
            <w:tcW w:w="6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697</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850</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712</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1,541</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1,529</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229</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229</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496</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264</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298</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503</w:t>
            </w:r>
          </w:p>
        </w:tc>
      </w:tr>
      <w:tr>
        <w:trPr>
          <w:trHeight w:val="27"/>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2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1,194</w:t>
            </w:r>
          </w:p>
        </w:tc>
        <w:tc>
          <w:tcPr>
            <w:tcW w:w="64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1,457</w:t>
            </w:r>
          </w:p>
        </w:tc>
        <w:tc>
          <w:tcPr>
            <w:tcW w:w="44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2,564</w:t>
            </w:r>
          </w:p>
        </w:tc>
        <w:tc>
          <w:tcPr>
            <w:tcW w:w="6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3,225</w:t>
            </w:r>
          </w:p>
        </w:tc>
      </w:tr>
      <w:tr>
        <w:trPr>
          <w:trHeight w:val="432"/>
        </w:trPr>
        <w:tc>
          <w:tcPr>
            <w:tcW w:w="518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87</w:t>
            </w:r>
          </w:p>
        </w:tc>
        <w:tc>
          <w:tcPr>
            <w:tcW w:w="640" w:type="dxa"/>
            <w:vAlign w:val="bottom"/>
          </w:tcPr>
          <w:p>
            <w:pPr>
              <w:spacing w:after="0"/>
              <w:rPr>
                <w:sz w:val="24"/>
                <w:szCs w:val="24"/>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1,464</w:t>
            </w: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956</w:t>
            </w:r>
          </w:p>
        </w:tc>
        <w:tc>
          <w:tcPr>
            <w:tcW w:w="6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2,740</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97"/>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(131)</w:t>
            </w: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32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6,124</w:t>
            </w:r>
          </w:p>
        </w:tc>
        <w:tc>
          <w:tcPr>
            <w:tcW w:w="64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8,206</w:t>
            </w:r>
          </w:p>
        </w:tc>
        <w:tc>
          <w:tcPr>
            <w:tcW w:w="44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13,858</w:t>
            </w:r>
          </w:p>
        </w:tc>
        <w:tc>
          <w:tcPr>
            <w:tcW w:w="6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16,519</w:t>
            </w:r>
          </w:p>
        </w:tc>
      </w:tr>
      <w:tr>
        <w:trPr>
          <w:trHeight w:val="432"/>
        </w:trPr>
        <w:tc>
          <w:tcPr>
            <w:tcW w:w="5180" w:type="dxa"/>
            <w:vAlign w:val="bottom"/>
          </w:tcPr>
          <w:p>
            <w:pPr>
              <w:ind w:left="40"/>
              <w:spacing w:after="0"/>
              <w:rPr>
                <w:sz w:val="20"/>
                <w:szCs w:val="20"/>
                <w:color w:val="auto"/>
              </w:rPr>
            </w:pPr>
            <w:r>
              <w:rPr>
                <w:rFonts w:ascii="Arial" w:cs="Arial" w:eastAsia="Arial" w:hAnsi="Arial"/>
                <w:sz w:val="18"/>
                <w:szCs w:val="18"/>
                <w:color w:val="auto"/>
              </w:rPr>
              <w:t>Direct-to-consumer</w:t>
            </w: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3,524</w:t>
            </w:r>
          </w:p>
        </w:tc>
        <w:tc>
          <w:tcPr>
            <w:tcW w:w="640" w:type="dxa"/>
            <w:vAlign w:val="bottom"/>
          </w:tcPr>
          <w:p>
            <w:pPr>
              <w:spacing w:after="0"/>
              <w:rPr>
                <w:sz w:val="24"/>
                <w:szCs w:val="24"/>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3,889</w:t>
            </w: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7,203</w:t>
            </w:r>
          </w:p>
        </w:tc>
        <w:tc>
          <w:tcPr>
            <w:tcW w:w="6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7,723</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Content</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234</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559</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746</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3"/>
                <w:szCs w:val="23"/>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563</w:t>
            </w: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834</w:t>
            </w:r>
          </w:p>
        </w:tc>
        <w:tc>
          <w:tcPr>
            <w:tcW w:w="6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1,156</w:t>
            </w:r>
          </w:p>
        </w:tc>
      </w:tr>
      <w:tr>
        <w:trPr>
          <w:trHeight w:val="27"/>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Total Sky</w:t>
            </w:r>
          </w:p>
        </w:tc>
        <w:tc>
          <w:tcPr>
            <w:tcW w:w="32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4,079</w:t>
            </w:r>
          </w:p>
        </w:tc>
        <w:tc>
          <w:tcPr>
            <w:tcW w:w="64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4,828</w:t>
            </w:r>
          </w:p>
        </w:tc>
        <w:tc>
          <w:tcPr>
            <w:tcW w:w="44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8,596</w:t>
            </w:r>
          </w:p>
        </w:tc>
        <w:tc>
          <w:tcPr>
            <w:tcW w:w="6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9,625</w:t>
            </w:r>
          </w:p>
        </w:tc>
      </w:tr>
      <w:tr>
        <w:trPr>
          <w:trHeight w:val="432"/>
        </w:trPr>
        <w:tc>
          <w:tcPr>
            <w:tcW w:w="51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4"/>
                <w:szCs w:val="24"/>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166</w:t>
            </w:r>
          </w:p>
        </w:tc>
        <w:tc>
          <w:tcPr>
            <w:tcW w:w="6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97"/>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(962)</w:t>
            </w: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(682)</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(1,642)</w:t>
            </w: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r>
      <w:tr>
        <w:trPr>
          <w:trHeight w:val="236"/>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b w:val="1"/>
                <w:bCs w:val="1"/>
                <w:color w:val="auto"/>
              </w:rPr>
              <w:t>23,715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26,858</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b w:val="1"/>
                <w:bCs w:val="1"/>
                <w:color w:val="auto"/>
              </w:rPr>
              <w:t>50,324</w:t>
            </w:r>
          </w:p>
        </w:tc>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53,717</w:t>
            </w:r>
          </w:p>
        </w:tc>
      </w:tr>
      <w:tr>
        <w:trPr>
          <w:trHeight w:val="34"/>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both the three and six months ended June 30, 2020, 2.6% of Cable Communications segment revenue was derived from franchise and other regulatory fees. For both the three and six months ended June 30, 2019, 2.5% of Cable Communications segment revenue was derived from franchise and other regulatory fees.</w:t>
      </w:r>
    </w:p>
    <w:p>
      <w:pPr>
        <w:spacing w:after="0" w:line="79"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operate primarily in the United States but also in select international markets. The table below summarizes revenue by geographic location.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6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r>
      <w:tr>
        <w:trPr>
          <w:trHeight w:val="263"/>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2019</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w w:val="96"/>
              </w:rPr>
              <w:t>2019</w:t>
            </w:r>
          </w:p>
        </w:tc>
      </w:tr>
      <w:tr>
        <w:trPr>
          <w:trHeight w:val="242"/>
        </w:trPr>
        <w:tc>
          <w:tcPr>
            <w:tcW w:w="51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18,656</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20,539</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39,346</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40,996</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3"/>
                <w:szCs w:val="23"/>
                <w:color w:val="auto"/>
              </w:rPr>
            </w:pP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4,621</w:t>
            </w:r>
          </w:p>
        </w:tc>
        <w:tc>
          <w:tcPr>
            <w:tcW w:w="680" w:type="dxa"/>
            <w:vAlign w:val="bottom"/>
          </w:tcPr>
          <w:p>
            <w:pPr>
              <w:spacing w:after="0"/>
              <w:rPr>
                <w:sz w:val="23"/>
                <w:szCs w:val="23"/>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5,297</w:t>
            </w:r>
          </w:p>
        </w:tc>
        <w:tc>
          <w:tcPr>
            <w:tcW w:w="460" w:type="dxa"/>
            <w:vAlign w:val="bottom"/>
          </w:tcPr>
          <w:p>
            <w:pPr>
              <w:spacing w:after="0"/>
              <w:rPr>
                <w:sz w:val="23"/>
                <w:szCs w:val="23"/>
                <w:color w:val="auto"/>
              </w:rPr>
            </w:pP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9,654</w:t>
            </w:r>
          </w:p>
        </w:tc>
        <w:tc>
          <w:tcPr>
            <w:tcW w:w="6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10,667</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438</w:t>
            </w:r>
          </w:p>
        </w:tc>
        <w:tc>
          <w:tcPr>
            <w:tcW w:w="680" w:type="dxa"/>
            <w:vAlign w:val="bottom"/>
          </w:tcPr>
          <w:p>
            <w:pPr>
              <w:spacing w:after="0"/>
              <w:rPr>
                <w:sz w:val="23"/>
                <w:szCs w:val="23"/>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1,022</w:t>
            </w:r>
          </w:p>
        </w:tc>
        <w:tc>
          <w:tcPr>
            <w:tcW w:w="460" w:type="dxa"/>
            <w:vAlign w:val="bottom"/>
          </w:tcPr>
          <w:p>
            <w:pPr>
              <w:spacing w:after="0"/>
              <w:rPr>
                <w:sz w:val="23"/>
                <w:szCs w:val="23"/>
                <w:color w:val="auto"/>
              </w:rPr>
            </w:pP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1,324</w:t>
            </w:r>
          </w:p>
        </w:tc>
        <w:tc>
          <w:tcPr>
            <w:tcW w:w="6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2,054</w:t>
            </w:r>
          </w:p>
        </w:tc>
      </w:tr>
      <w:tr>
        <w:trPr>
          <w:trHeight w:val="27"/>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6"/>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8"/>
              <w:spacing w:after="0"/>
              <w:rPr>
                <w:sz w:val="20"/>
                <w:szCs w:val="20"/>
                <w:color w:val="auto"/>
              </w:rPr>
            </w:pPr>
            <w:r>
              <w:rPr>
                <w:rFonts w:ascii="Arial" w:cs="Arial" w:eastAsia="Arial" w:hAnsi="Arial"/>
                <w:sz w:val="18"/>
                <w:szCs w:val="18"/>
                <w:b w:val="1"/>
                <w:bCs w:val="1"/>
                <w:color w:val="auto"/>
              </w:rPr>
              <w:t>23,715</w:t>
            </w:r>
          </w:p>
        </w:tc>
        <w:tc>
          <w:tcPr>
            <w:tcW w:w="6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b w:val="1"/>
                <w:bCs w:val="1"/>
                <w:color w:val="auto"/>
              </w:rPr>
              <w:t>26,858</w:t>
            </w:r>
          </w:p>
        </w:tc>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98"/>
              <w:spacing w:after="0"/>
              <w:rPr>
                <w:sz w:val="20"/>
                <w:szCs w:val="20"/>
                <w:color w:val="auto"/>
              </w:rPr>
            </w:pPr>
            <w:r>
              <w:rPr>
                <w:rFonts w:ascii="Arial" w:cs="Arial" w:eastAsia="Arial" w:hAnsi="Arial"/>
                <w:sz w:val="18"/>
                <w:szCs w:val="18"/>
                <w:b w:val="1"/>
                <w:bCs w:val="1"/>
                <w:color w:val="auto"/>
              </w:rPr>
              <w:t>50,324</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53,717</w:t>
            </w:r>
          </w:p>
        </w:tc>
      </w:tr>
      <w:tr>
        <w:trPr>
          <w:trHeight w:val="34"/>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ectPr>
          <w:pgSz w:w="11900" w:h="16838" w:orient="portrait"/>
          <w:cols w:equalWidth="0" w:num="1">
            <w:col w:w="11240"/>
          </w:cols>
          <w:pgMar w:left="320" w:top="121" w:right="3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1" w:right="339" w:bottom="0" w:gutter="0" w:footer="0" w:header="0"/>
          <w:type w:val="continuous"/>
        </w:sectPr>
      </w:pPr>
    </w:p>
    <w:bookmarkStart w:id="12" w:name="page13"/>
    <w:bookmarkEnd w:id="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jc w:val="center"/>
              <w:ind w:right="317"/>
              <w:spacing w:after="0"/>
              <w:rPr>
                <w:sz w:val="20"/>
                <w:szCs w:val="20"/>
                <w:color w:val="auto"/>
              </w:rPr>
            </w:pPr>
            <w:r>
              <w:rPr>
                <w:rFonts w:ascii="Arial" w:cs="Arial" w:eastAsia="Arial" w:hAnsi="Arial"/>
                <w:sz w:val="14"/>
                <w:szCs w:val="14"/>
                <w:color w:val="auto"/>
                <w:w w:val="89"/>
              </w:rPr>
              <w:t>June 30,</w:t>
            </w:r>
          </w:p>
        </w:tc>
        <w:tc>
          <w:tcPr>
            <w:tcW w:w="36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Arial" w:cs="Arial" w:eastAsia="Arial" w:hAnsi="Arial"/>
                <w:sz w:val="14"/>
                <w:szCs w:val="14"/>
                <w:color w:val="auto"/>
                <w:w w:val="93"/>
              </w:rPr>
              <w:t>December 31,</w:t>
            </w:r>
          </w:p>
        </w:tc>
      </w:tr>
      <w:tr>
        <w:trPr>
          <w:trHeight w:val="188"/>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color w:val="auto"/>
                <w:w w:val="89"/>
              </w:rPr>
              <w:t>2020</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6"/>
              </w:rPr>
              <w:t>2019</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11,013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11,711</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340" w:type="dxa"/>
            <w:vAlign w:val="bottom"/>
          </w:tcPr>
          <w:p>
            <w:pPr>
              <w:spacing w:after="0"/>
              <w:rPr>
                <w:sz w:val="23"/>
                <w:szCs w:val="23"/>
                <w:color w:val="auto"/>
              </w:rPr>
            </w:pP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786</w:t>
            </w:r>
          </w:p>
        </w:tc>
        <w:tc>
          <w:tcPr>
            <w:tcW w:w="360" w:type="dxa"/>
            <w:vAlign w:val="bottom"/>
          </w:tcPr>
          <w:p>
            <w:pPr>
              <w:spacing w:after="0"/>
              <w:rPr>
                <w:sz w:val="23"/>
                <w:szCs w:val="23"/>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419</w:t>
            </w:r>
          </w:p>
        </w:tc>
      </w:tr>
      <w:tr>
        <w:trPr>
          <w:trHeight w:val="27"/>
        </w:trPr>
        <w:tc>
          <w:tcPr>
            <w:tcW w:w="7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7"/>
              <w:spacing w:after="0"/>
              <w:rPr>
                <w:sz w:val="20"/>
                <w:szCs w:val="20"/>
                <w:color w:val="auto"/>
              </w:rPr>
            </w:pPr>
            <w:r>
              <w:rPr>
                <w:rFonts w:ascii="Arial" w:cs="Arial" w:eastAsia="Arial" w:hAnsi="Arial"/>
                <w:sz w:val="18"/>
                <w:szCs w:val="18"/>
                <w:b w:val="1"/>
                <w:bCs w:val="1"/>
                <w:color w:val="auto"/>
              </w:rPr>
              <w:t>10,227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11,292</w:t>
            </w:r>
          </w:p>
        </w:tc>
      </w:tr>
      <w:tr>
        <w:trPr>
          <w:trHeight w:val="34"/>
        </w:trPr>
        <w:tc>
          <w:tcPr>
            <w:tcW w:w="7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683"/>
        </w:trPr>
        <w:tc>
          <w:tcPr>
            <w:tcW w:w="7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jc w:val="center"/>
              <w:ind w:right="317"/>
              <w:spacing w:after="0"/>
              <w:rPr>
                <w:sz w:val="20"/>
                <w:szCs w:val="20"/>
                <w:color w:val="auto"/>
              </w:rPr>
            </w:pPr>
            <w:r>
              <w:rPr>
                <w:rFonts w:ascii="Arial" w:cs="Arial" w:eastAsia="Arial" w:hAnsi="Arial"/>
                <w:sz w:val="14"/>
                <w:szCs w:val="14"/>
                <w:color w:val="auto"/>
                <w:w w:val="89"/>
              </w:rPr>
              <w:t>June 30,</w:t>
            </w:r>
          </w:p>
        </w:tc>
        <w:tc>
          <w:tcPr>
            <w:tcW w:w="360" w:type="dxa"/>
            <w:vAlign w:val="bottom"/>
          </w:tcPr>
          <w:p>
            <w:pPr>
              <w:spacing w:after="0"/>
              <w:rPr>
                <w:sz w:val="24"/>
                <w:szCs w:val="24"/>
                <w:color w:val="auto"/>
              </w:rPr>
            </w:pPr>
          </w:p>
        </w:tc>
        <w:tc>
          <w:tcPr>
            <w:tcW w:w="1240" w:type="dxa"/>
            <w:vAlign w:val="bottom"/>
          </w:tcPr>
          <w:p>
            <w:pPr>
              <w:jc w:val="center"/>
              <w:ind w:right="177"/>
              <w:spacing w:after="0"/>
              <w:rPr>
                <w:sz w:val="20"/>
                <w:szCs w:val="20"/>
                <w:color w:val="auto"/>
              </w:rPr>
            </w:pPr>
            <w:r>
              <w:rPr>
                <w:rFonts w:ascii="Arial" w:cs="Arial" w:eastAsia="Arial" w:hAnsi="Arial"/>
                <w:sz w:val="14"/>
                <w:szCs w:val="14"/>
                <w:color w:val="auto"/>
                <w:w w:val="93"/>
              </w:rPr>
              <w:t>December 31,</w:t>
            </w:r>
          </w:p>
        </w:tc>
      </w:tr>
      <w:tr>
        <w:trPr>
          <w:trHeight w:val="188"/>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color w:val="auto"/>
                <w:w w:val="89"/>
              </w:rPr>
              <w:t>2020</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6"/>
              </w:rPr>
              <w:t>2019</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1,218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1,337</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1,040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1,083</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904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618</w:t>
            </w:r>
          </w:p>
        </w:tc>
      </w:tr>
      <w:tr>
        <w:trPr>
          <w:trHeight w:val="27"/>
        </w:trPr>
        <w:tc>
          <w:tcPr>
            <w:tcW w:w="7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Cable Networks, Broadcast Television, Filmed Entertainment and Sky produce owned content or acquire the rights to programming from third parties, which are described as owned film and television costs and programming rights, respectively. We adopted new accounting guidance related to film and television costs in the first quarter of 2020 (see Note 8), and accordingly amounts presented below for periods in 2020 and the policy discussion reflect the updated accounting guidance, and amounts presented for 2019 reflect the accounting guidance in effect at that time. Under the new accounting guidance, we have determined that the predominant monetization strategy for the substantial majority of our content is on an individual basis.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Amortization of Film and Television Costs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center"/>
              <w:ind w:left="156"/>
              <w:spacing w:after="0"/>
              <w:rPr>
                <w:sz w:val="20"/>
                <w:szCs w:val="20"/>
                <w:color w:val="auto"/>
              </w:rPr>
            </w:pPr>
            <w:r>
              <w:rPr>
                <w:rFonts w:ascii="Arial" w:cs="Arial" w:eastAsia="Arial" w:hAnsi="Arial"/>
                <w:sz w:val="14"/>
                <w:szCs w:val="14"/>
                <w:color w:val="auto"/>
                <w:w w:val="93"/>
              </w:rPr>
              <w:t>Three Months Ended</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w w:val="94"/>
              </w:rPr>
              <w:t>Six Months Ended June</w:t>
            </w:r>
          </w:p>
        </w:tc>
      </w:tr>
      <w:tr>
        <w:trPr>
          <w:trHeight w:val="188"/>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176"/>
              <w:spacing w:after="0"/>
              <w:rPr>
                <w:sz w:val="20"/>
                <w:szCs w:val="20"/>
                <w:color w:val="auto"/>
              </w:rPr>
            </w:pPr>
            <w:r>
              <w:rPr>
                <w:rFonts w:ascii="Arial" w:cs="Arial" w:eastAsia="Arial" w:hAnsi="Arial"/>
                <w:sz w:val="14"/>
                <w:szCs w:val="14"/>
                <w:color w:val="auto"/>
                <w:w w:val="90"/>
              </w:rPr>
              <w:t>June 30, 2020</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w w:val="91"/>
              </w:rPr>
              <w:t>30, 2020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Owned film and television costs</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1,539</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3,327</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Programming rights</w:t>
            </w:r>
          </w:p>
        </w:tc>
        <w:tc>
          <w:tcPr>
            <w:tcW w:w="2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1,584</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4,248</w:t>
            </w:r>
          </w:p>
        </w:tc>
      </w:tr>
      <w:tr>
        <w:trPr>
          <w:trHeight w:val="27"/>
        </w:trPr>
        <w:tc>
          <w:tcPr>
            <w:tcW w:w="36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88"/>
        </w:trPr>
        <w:tc>
          <w:tcPr>
            <w:tcW w:w="3640" w:type="dxa"/>
            <w:vAlign w:val="bottom"/>
          </w:tcPr>
          <w:p>
            <w:pPr>
              <w:spacing w:after="0"/>
              <w:rPr>
                <w:sz w:val="24"/>
                <w:szCs w:val="24"/>
                <w:color w:val="auto"/>
              </w:rPr>
            </w:pPr>
          </w:p>
        </w:tc>
        <w:tc>
          <w:tcPr>
            <w:tcW w:w="3720" w:type="dxa"/>
            <w:vAlign w:val="bottom"/>
            <w:gridSpan w:val="3"/>
          </w:tcPr>
          <w:p>
            <w:pPr>
              <w:jc w:val="right"/>
              <w:ind w:right="54"/>
              <w:spacing w:after="0"/>
              <w:rPr>
                <w:sz w:val="20"/>
                <w:szCs w:val="20"/>
                <w:color w:val="auto"/>
              </w:rPr>
            </w:pPr>
            <w:r>
              <w:rPr>
                <w:rFonts w:ascii="Arial" w:cs="Arial" w:eastAsia="Arial" w:hAnsi="Arial"/>
                <w:sz w:val="18"/>
                <w:szCs w:val="18"/>
                <w:b w:val="1"/>
                <w:bCs w:val="1"/>
                <w:color w:val="auto"/>
              </w:rPr>
              <w:t>Capitalized Film and Television Costs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9"/>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90"/>
              </w:rPr>
              <w:t>June 30, 2020</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color w:val="auto"/>
              </w:rPr>
              <w:t>December 31, 2019</w:t>
            </w:r>
          </w:p>
        </w:tc>
        <w:tc>
          <w:tcPr>
            <w:tcW w:w="1000" w:type="dxa"/>
            <w:vAlign w:val="bottom"/>
            <w:tcBorders>
              <w:bottom w:val="single" w:sz="8" w:color="auto"/>
            </w:tcBorders>
          </w:tcPr>
          <w:p>
            <w:pPr>
              <w:spacing w:after="0"/>
              <w:rPr>
                <w:sz w:val="24"/>
                <w:szCs w:val="24"/>
                <w:color w:val="auto"/>
              </w:rPr>
            </w:pPr>
          </w:p>
        </w:tc>
      </w:tr>
      <w:tr>
        <w:trPr>
          <w:trHeight w:val="156"/>
        </w:trPr>
        <w:tc>
          <w:tcPr>
            <w:tcW w:w="3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0" w:type="dxa"/>
            <w:vAlign w:val="bottom"/>
            <w:gridSpan w:val="2"/>
          </w:tcPr>
          <w:p>
            <w:pPr>
              <w:jc w:val="center"/>
              <w:ind w:right="34"/>
              <w:spacing w:after="0" w:line="156" w:lineRule="exact"/>
              <w:rPr>
                <w:sz w:val="20"/>
                <w:szCs w:val="20"/>
                <w:color w:val="auto"/>
              </w:rPr>
            </w:pPr>
            <w:r>
              <w:rPr>
                <w:rFonts w:ascii="Arial" w:cs="Arial" w:eastAsia="Arial" w:hAnsi="Arial"/>
                <w:sz w:val="14"/>
                <w:szCs w:val="14"/>
                <w:color w:val="auto"/>
                <w:w w:val="96"/>
              </w:rPr>
              <w:t>Film and Television</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9"/>
              </w:rPr>
              <w:t>Costs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Film Costs</w:t>
            </w:r>
          </w:p>
        </w:tc>
        <w:tc>
          <w:tcPr>
            <w:tcW w:w="16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color w:val="auto"/>
              </w:rPr>
              <w:t>Television Costs</w:t>
            </w: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Total</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Owned film and television costs:</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640" w:type="dxa"/>
            <w:vAlign w:val="bottom"/>
          </w:tcPr>
          <w:p>
            <w:pPr>
              <w:ind w:left="280"/>
              <w:spacing w:after="0"/>
              <w:rPr>
                <w:sz w:val="20"/>
                <w:szCs w:val="20"/>
                <w:color w:val="auto"/>
              </w:rPr>
            </w:pPr>
            <w:r>
              <w:rPr>
                <w:rFonts w:ascii="Arial" w:cs="Arial" w:eastAsia="Arial" w:hAnsi="Arial"/>
                <w:sz w:val="18"/>
                <w:szCs w:val="18"/>
                <w:color w:val="auto"/>
              </w:rPr>
              <w:t>Released, less amortization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3,929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1,551</w:t>
            </w:r>
          </w:p>
        </w:tc>
        <w:tc>
          <w:tcPr>
            <w:tcW w:w="360" w:type="dxa"/>
            <w:vAlign w:val="bottom"/>
          </w:tcPr>
          <w:p>
            <w:pPr>
              <w:jc w:val="center"/>
              <w:ind w:left="4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4,361</w:t>
            </w:r>
          </w:p>
        </w:tc>
      </w:tr>
      <w:tr>
        <w:trPr>
          <w:trHeight w:val="270"/>
        </w:trPr>
        <w:tc>
          <w:tcPr>
            <w:tcW w:w="3640" w:type="dxa"/>
            <w:vAlign w:val="bottom"/>
          </w:tcPr>
          <w:p>
            <w:pPr>
              <w:ind w:left="280"/>
              <w:spacing w:after="0"/>
              <w:rPr>
                <w:sz w:val="20"/>
                <w:szCs w:val="20"/>
                <w:color w:val="auto"/>
              </w:rPr>
            </w:pPr>
            <w:r>
              <w:rPr>
                <w:rFonts w:ascii="Arial" w:cs="Arial" w:eastAsia="Arial" w:hAnsi="Arial"/>
                <w:sz w:val="18"/>
                <w:szCs w:val="18"/>
                <w:color w:val="auto"/>
              </w:rPr>
              <w:t>Completed, not released</w:t>
            </w:r>
          </w:p>
        </w:tc>
        <w:tc>
          <w:tcPr>
            <w:tcW w:w="2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3"/>
                <w:szCs w:val="23"/>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187</w:t>
            </w:r>
          </w:p>
        </w:tc>
      </w:tr>
      <w:tr>
        <w:trPr>
          <w:trHeight w:val="270"/>
        </w:trPr>
        <w:tc>
          <w:tcPr>
            <w:tcW w:w="3640" w:type="dxa"/>
            <w:vAlign w:val="bottom"/>
          </w:tcPr>
          <w:p>
            <w:pPr>
              <w:ind w:left="280"/>
              <w:spacing w:after="0"/>
              <w:rPr>
                <w:sz w:val="20"/>
                <w:szCs w:val="20"/>
                <w:color w:val="auto"/>
              </w:rPr>
            </w:pPr>
            <w:r>
              <w:rPr>
                <w:rFonts w:ascii="Arial" w:cs="Arial" w:eastAsia="Arial" w:hAnsi="Arial"/>
                <w:sz w:val="18"/>
                <w:szCs w:val="18"/>
                <w:color w:val="auto"/>
              </w:rPr>
              <w:t>In production and in development</w:t>
            </w:r>
          </w:p>
        </w:tc>
        <w:tc>
          <w:tcPr>
            <w:tcW w:w="2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2,439</w:t>
            </w:r>
          </w:p>
        </w:tc>
        <w:tc>
          <w:tcPr>
            <w:tcW w:w="260" w:type="dxa"/>
            <w:vAlign w:val="bottom"/>
          </w:tcPr>
          <w:p>
            <w:pPr>
              <w:spacing w:after="0"/>
              <w:rPr>
                <w:sz w:val="23"/>
                <w:szCs w:val="23"/>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1,314</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1,162</w:t>
            </w:r>
          </w:p>
        </w:tc>
        <w:tc>
          <w:tcPr>
            <w:tcW w:w="4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2,476</w:t>
            </w:r>
          </w:p>
        </w:tc>
      </w:tr>
      <w:tr>
        <w:trPr>
          <w:trHeight w:val="27"/>
        </w:trPr>
        <w:tc>
          <w:tcPr>
            <w:tcW w:w="36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6,441</w:t>
            </w:r>
          </w:p>
        </w:tc>
        <w:tc>
          <w:tcPr>
            <w:tcW w:w="260" w:type="dxa"/>
            <w:vAlign w:val="bottom"/>
          </w:tcPr>
          <w:p>
            <w:pPr>
              <w:spacing w:after="0"/>
              <w:rPr>
                <w:sz w:val="20"/>
                <w:szCs w:val="20"/>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3,052</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3,972</w:t>
            </w:r>
          </w:p>
        </w:tc>
        <w:tc>
          <w:tcPr>
            <w:tcW w:w="4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7,024</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5,772</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5,786</w:t>
            </w:r>
          </w:p>
        </w:tc>
      </w:tr>
      <w:tr>
        <w:trPr>
          <w:trHeight w:val="27"/>
        </w:trPr>
        <w:tc>
          <w:tcPr>
            <w:tcW w:w="36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12,213</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12,810</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3,877</w:t>
            </w:r>
          </w:p>
        </w:tc>
      </w:tr>
      <w:tr>
        <w:trPr>
          <w:trHeight w:val="27"/>
        </w:trPr>
        <w:tc>
          <w:tcPr>
            <w:tcW w:w="36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74"/>
              <w:spacing w:after="0"/>
              <w:rPr>
                <w:sz w:val="20"/>
                <w:szCs w:val="20"/>
                <w:color w:val="auto"/>
              </w:rPr>
            </w:pPr>
            <w:r>
              <w:rPr>
                <w:rFonts w:ascii="Arial" w:cs="Arial" w:eastAsia="Arial" w:hAnsi="Arial"/>
                <w:sz w:val="18"/>
                <w:szCs w:val="18"/>
                <w:b w:val="1"/>
                <w:bCs w:val="1"/>
                <w:color w:val="auto"/>
              </w:rPr>
              <w:t>12,213</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b w:val="1"/>
                <w:bCs w:val="1"/>
                <w:color w:val="auto"/>
              </w:rPr>
              <w:t>8,933</w:t>
            </w:r>
          </w:p>
        </w:tc>
      </w:tr>
      <w:tr>
        <w:trPr>
          <w:trHeight w:val="34"/>
        </w:trPr>
        <w:tc>
          <w:tcPr>
            <w:tcW w:w="36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summarizes estimated future amortization expense for the capitalized film and television costs recorded in our condensed consolidated balance sheet as of June 30,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Owned Film and</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Television Costs</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Programming Rights</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Completed, not released:</w:t>
            </w:r>
          </w:p>
        </w:tc>
        <w:tc>
          <w:tcPr>
            <w:tcW w:w="3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Remaining six months of 2020</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0"/>
        </w:trPr>
        <w:tc>
          <w:tcPr>
            <w:tcW w:w="5440" w:type="dxa"/>
            <w:vAlign w:val="bottom"/>
          </w:tcPr>
          <w:p>
            <w:pPr>
              <w:ind w:left="40"/>
              <w:spacing w:after="0"/>
              <w:rPr>
                <w:sz w:val="20"/>
                <w:szCs w:val="20"/>
                <w:color w:val="auto"/>
              </w:rPr>
            </w:pPr>
            <w:r>
              <w:rPr>
                <w:rFonts w:ascii="Arial" w:cs="Arial" w:eastAsia="Arial" w:hAnsi="Arial"/>
                <w:sz w:val="18"/>
                <w:szCs w:val="18"/>
                <w:color w:val="auto"/>
              </w:rPr>
              <w:t>Released and programming rights:</w:t>
            </w:r>
          </w:p>
        </w:tc>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Remaining six months of 2020</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976</w:t>
            </w:r>
          </w:p>
        </w:tc>
        <w:tc>
          <w:tcPr>
            <w:tcW w:w="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2,786</w:t>
            </w: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2021</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809</w:t>
            </w:r>
          </w:p>
        </w:tc>
        <w:tc>
          <w:tcPr>
            <w:tcW w:w="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1,510</w:t>
            </w: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2022</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471</w:t>
            </w:r>
          </w:p>
        </w:tc>
        <w:tc>
          <w:tcPr>
            <w:tcW w:w="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5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and Recognition of Film and Television Costs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capitalize costs for owned film and television content, including direct costs, production overhead, print costs, development costs and interest, as well as acquired libraries. Amortization for content predominantly monetized on an individual basis and accrued costs associated with participations and residual payments are recorded using the individual film forecast computation method, which recognizes the costs in the same ratio as the associated ultimate revenue. Estimates of ultimate revenue and total costs are based on anticipated release patterns, public acceptance and historical results for similar productions. Amortization for content predominantly monetized with other owned or licensed content is recorded based on estimated usage. In determining the method of amortization and estimated life of an acquired film or television library, we generally use the method and the life that most closely follow the undiscounted cash flows over the estimated life of the asset. We do not capitalize costs related to the distribution of a film in movie theaters or the licensing or sale of a film or television production, which primarily include costs associated with marketing and distribution.</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for the portion of the film acquired in these arrangements.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capitalize the costs of programming rights for content that we license but do not own when the license period begins, the content is made available for use and the costs of programming licenses are known. Programming rights are amortized as the associated programs are broadcast.</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Owned film and television costs and programming rights are presented as noncurrent assets in film and television costs. We present amortization of film and television costs and accrued costs associated with participation and residual payments in programming and production costs.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an event or a change in circumstance occurs that was known or knowable as of the balance sheet date and that indicates the fair value of either owned film and television content or programming rights is less than the unamortized costs in the balance sheet, we determine the fair value and record an impairment charge to the extent the unamortized costs exceed the fair value. Owned film and television costs are assessed either individually or in identified film groups, for content predominantly monetized on an individual basis or with other content, respectively. The substantial majority of our owned film and television costs are evaluated for impairment on an individual title basis. Programming rights that are not part of a film group are generally assessed in packages, channels, or dayparts. A daypart is an aggregation of programs broadcast during a particular time of day or programs of a similar type. Programming rights licensed by Cable Networks are primarily tested on a channel basis for impairment, whereas programming rights licensed by Broadcast Television are tested on a daypart basis. Estimated fair values of owned film and television costs or programming rights are generally based on level 3 inputs including analysis of market participant estimates of future cash flows. We record charges related to impairments or content that is substantively abandoned to programming and production costs. Impairments of capitalized film and television costs were not material in any of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Sports Programming Rights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the costs of multiyear, live-event sports programming rights as the rights are utilized over the contract term based on estimated relative value. Estimated relative value is generally based on the ratio of the current period revenue to the estimated ultimate revenue or the terms of the contract. When cash payments, including advanced payments, exceed the relative value 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programming delivered, we recognize an asset in programming rights. Production costs incurred in advance of airing are also presented in programming rights.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color w:val="auto"/>
                <w:w w:val="99"/>
              </w:rPr>
              <w:t>Three Months Ended June 30,</w:t>
            </w: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9"/>
              </w:rPr>
              <w:t>2020</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89"/>
              </w:rPr>
              <w:t>2019</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56"/>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282"/>
              <w:spacing w:after="0" w:line="156"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282"/>
              <w:spacing w:after="0" w:line="156"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ind w:right="181"/>
              <w:spacing w:after="0" w:line="149" w:lineRule="exact"/>
              <w:rPr>
                <w:sz w:val="20"/>
                <w:szCs w:val="20"/>
                <w:color w:val="auto"/>
              </w:rPr>
            </w:pPr>
            <w:r>
              <w:rPr>
                <w:rFonts w:ascii="Arial" w:cs="Arial" w:eastAsia="Arial" w:hAnsi="Arial"/>
                <w:sz w:val="14"/>
                <w:szCs w:val="14"/>
                <w:color w:val="auto"/>
                <w:w w:val="88"/>
              </w:rPr>
              <w:t>Per Share</w:t>
            </w:r>
          </w:p>
        </w:tc>
        <w:tc>
          <w:tcPr>
            <w:tcW w:w="240" w:type="dxa"/>
            <w:vAlign w:val="bottom"/>
          </w:tcPr>
          <w:p>
            <w:pPr>
              <w:spacing w:after="0"/>
              <w:rPr>
                <w:sz w:val="12"/>
                <w:szCs w:val="12"/>
                <w:color w:val="auto"/>
              </w:rPr>
            </w:pPr>
          </w:p>
        </w:tc>
        <w:tc>
          <w:tcPr>
            <w:tcW w:w="128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279"/>
              <w:spacing w:after="0" w:line="149" w:lineRule="exact"/>
              <w:rPr>
                <w:sz w:val="20"/>
                <w:szCs w:val="20"/>
                <w:color w:val="auto"/>
              </w:rPr>
            </w:pPr>
            <w:r>
              <w:rPr>
                <w:rFonts w:ascii="Arial" w:cs="Arial" w:eastAsia="Arial" w:hAnsi="Arial"/>
                <w:sz w:val="14"/>
                <w:szCs w:val="14"/>
                <w:color w:val="auto"/>
                <w:w w:val="98"/>
              </w:rPr>
              <w:t>Per Share</w:t>
            </w:r>
          </w:p>
        </w:tc>
        <w:tc>
          <w:tcPr>
            <w:tcW w:w="20" w:type="dxa"/>
            <w:vAlign w:val="bottom"/>
          </w:tcPr>
          <w:p>
            <w:pPr>
              <w:spacing w:after="0"/>
              <w:rPr>
                <w:sz w:val="12"/>
                <w:szCs w:val="12"/>
                <w:color w:val="auto"/>
              </w:rPr>
            </w:pPr>
          </w:p>
        </w:tc>
      </w:tr>
      <w:tr>
        <w:trPr>
          <w:trHeight w:val="188"/>
        </w:trPr>
        <w:tc>
          <w:tcPr>
            <w:tcW w:w="40" w:type="dxa"/>
            <w:vAlign w:val="bottom"/>
          </w:tcPr>
          <w:p>
            <w:pPr>
              <w:spacing w:after="0"/>
              <w:rPr>
                <w:sz w:val="16"/>
                <w:szCs w:val="16"/>
                <w:color w:val="auto"/>
              </w:rPr>
            </w:pP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85"/>
              </w:rPr>
              <w:t>Shares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w w:val="99"/>
              </w:rPr>
              <w:t>Amount</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2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262"/>
              <w:spacing w:after="0"/>
              <w:rPr>
                <w:sz w:val="20"/>
                <w:szCs w:val="20"/>
                <w:color w:val="auto"/>
              </w:rPr>
            </w:pPr>
            <w:r>
              <w:rPr>
                <w:rFonts w:ascii="Arial" w:cs="Arial" w:eastAsia="Arial" w:hAnsi="Arial"/>
                <w:sz w:val="18"/>
                <w:szCs w:val="18"/>
                <w:color w:val="auto"/>
              </w:rPr>
              <w:t>2,988</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4,570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1"/>
              <w:spacing w:after="0"/>
              <w:rPr>
                <w:sz w:val="20"/>
                <w:szCs w:val="20"/>
                <w:color w:val="auto"/>
              </w:rPr>
            </w:pPr>
            <w:r>
              <w:rPr>
                <w:rFonts w:ascii="Arial" w:cs="Arial" w:eastAsia="Arial" w:hAnsi="Arial"/>
                <w:sz w:val="18"/>
                <w:szCs w:val="18"/>
                <w:color w:val="auto"/>
              </w:rPr>
              <w:t>0.65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42"/>
              <w:spacing w:after="0"/>
              <w:rPr>
                <w:sz w:val="20"/>
                <w:szCs w:val="20"/>
                <w:color w:val="auto"/>
              </w:rPr>
            </w:pPr>
            <w:r>
              <w:rPr>
                <w:rFonts w:ascii="Arial" w:cs="Arial" w:eastAsia="Arial" w:hAnsi="Arial"/>
                <w:sz w:val="18"/>
                <w:szCs w:val="18"/>
                <w:color w:val="auto"/>
              </w:rPr>
              <w:t>3,125</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4,547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6"/>
        </w:trPr>
        <w:tc>
          <w:tcPr>
            <w:tcW w:w="40" w:type="dxa"/>
            <w:vAlign w:val="bottom"/>
          </w:tcPr>
          <w:p>
            <w:pPr>
              <w:spacing w:after="0"/>
              <w:rPr>
                <w:sz w:val="22"/>
                <w:szCs w:val="22"/>
                <w:color w:val="auto"/>
              </w:rPr>
            </w:pPr>
          </w:p>
        </w:tc>
        <w:tc>
          <w:tcPr>
            <w:tcW w:w="32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32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2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262"/>
              <w:spacing w:after="0"/>
              <w:rPr>
                <w:sz w:val="20"/>
                <w:szCs w:val="20"/>
                <w:color w:val="auto"/>
              </w:rPr>
            </w:pPr>
            <w:r>
              <w:rPr>
                <w:rFonts w:ascii="Arial" w:cs="Arial" w:eastAsia="Arial" w:hAnsi="Arial"/>
                <w:sz w:val="18"/>
                <w:szCs w:val="18"/>
                <w:b w:val="1"/>
                <w:bCs w:val="1"/>
                <w:color w:val="auto"/>
              </w:rPr>
              <w:t>2,988</w:t>
            </w:r>
          </w:p>
        </w:tc>
        <w:tc>
          <w:tcPr>
            <w:tcW w:w="1140" w:type="dxa"/>
            <w:vAlign w:val="bottom"/>
          </w:tcPr>
          <w:p>
            <w:pPr>
              <w:jc w:val="right"/>
              <w:ind w:right="57"/>
              <w:spacing w:after="0"/>
              <w:rPr>
                <w:sz w:val="20"/>
                <w:szCs w:val="20"/>
                <w:color w:val="auto"/>
              </w:rPr>
            </w:pPr>
            <w:r>
              <w:rPr>
                <w:rFonts w:ascii="Arial" w:cs="Arial" w:eastAsia="Arial" w:hAnsi="Arial"/>
                <w:sz w:val="18"/>
                <w:szCs w:val="18"/>
                <w:b w:val="1"/>
                <w:bCs w:val="1"/>
                <w:color w:val="auto"/>
              </w:rPr>
              <w:t>4,607</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8"/>
                <w:szCs w:val="18"/>
                <w:b w:val="1"/>
                <w:bCs w:val="1"/>
                <w:color w:val="auto"/>
              </w:rPr>
              <w:t>0.65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242"/>
              <w:spacing w:after="0"/>
              <w:rPr>
                <w:sz w:val="20"/>
                <w:szCs w:val="20"/>
                <w:color w:val="auto"/>
              </w:rPr>
            </w:pPr>
            <w:r>
              <w:rPr>
                <w:rFonts w:ascii="Arial" w:cs="Arial" w:eastAsia="Arial" w:hAnsi="Arial"/>
                <w:sz w:val="18"/>
                <w:szCs w:val="18"/>
                <w:b w:val="1"/>
                <w:bCs w:val="1"/>
                <w:color w:val="auto"/>
              </w:rPr>
              <w:t>3,125</w:t>
            </w:r>
          </w:p>
        </w:tc>
        <w:tc>
          <w:tcPr>
            <w:tcW w:w="1140" w:type="dxa"/>
            <w:vAlign w:val="bottom"/>
          </w:tcPr>
          <w:p>
            <w:pPr>
              <w:jc w:val="right"/>
              <w:ind w:right="57"/>
              <w:spacing w:after="0"/>
              <w:rPr>
                <w:sz w:val="20"/>
                <w:szCs w:val="20"/>
                <w:color w:val="auto"/>
              </w:rPr>
            </w:pPr>
            <w:r>
              <w:rPr>
                <w:rFonts w:ascii="Arial" w:cs="Arial" w:eastAsia="Arial" w:hAnsi="Arial"/>
                <w:sz w:val="18"/>
                <w:szCs w:val="18"/>
                <w:b w:val="1"/>
                <w:bCs w:val="1"/>
                <w:color w:val="auto"/>
              </w:rPr>
              <w:t>4,607</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b w:val="1"/>
                <w:bCs w:val="1"/>
                <w:color w:val="auto"/>
              </w:rPr>
              <w:t>0.68</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85"/>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color w:val="auto"/>
              </w:rPr>
              <w:t>Six Months Ended June 30,</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6"/>
              </w:rPr>
              <w:t>2020</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156"/>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302"/>
              <w:spacing w:after="0" w:line="156" w:lineRule="exact"/>
              <w:rPr>
                <w:sz w:val="20"/>
                <w:szCs w:val="20"/>
                <w:color w:val="auto"/>
              </w:rPr>
            </w:pPr>
            <w:r>
              <w:rPr>
                <w:rFonts w:ascii="Arial" w:cs="Arial" w:eastAsia="Arial" w:hAnsi="Arial"/>
                <w:sz w:val="14"/>
                <w:szCs w:val="14"/>
                <w:color w:val="auto"/>
                <w:w w:val="92"/>
              </w:rPr>
              <w:t>Net Income</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242"/>
              <w:spacing w:after="0" w:line="156"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9"/>
              </w:rPr>
              <w:t>Attributable to</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24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ind w:right="141"/>
              <w:spacing w:after="0" w:line="149" w:lineRule="exact"/>
              <w:rPr>
                <w:sz w:val="20"/>
                <w:szCs w:val="20"/>
                <w:color w:val="auto"/>
              </w:rPr>
            </w:pPr>
            <w:r>
              <w:rPr>
                <w:rFonts w:ascii="Arial" w:cs="Arial" w:eastAsia="Arial" w:hAnsi="Arial"/>
                <w:sz w:val="14"/>
                <w:szCs w:val="14"/>
                <w:color w:val="auto"/>
                <w:w w:val="88"/>
              </w:rPr>
              <w:t>Per Share</w:t>
            </w:r>
          </w:p>
        </w:tc>
        <w:tc>
          <w:tcPr>
            <w:tcW w:w="240" w:type="dxa"/>
            <w:vAlign w:val="bottom"/>
          </w:tcPr>
          <w:p>
            <w:pPr>
              <w:spacing w:after="0"/>
              <w:rPr>
                <w:sz w:val="12"/>
                <w:szCs w:val="12"/>
                <w:color w:val="auto"/>
              </w:rPr>
            </w:pPr>
          </w:p>
        </w:tc>
        <w:tc>
          <w:tcPr>
            <w:tcW w:w="128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239"/>
              <w:spacing w:after="0" w:line="149" w:lineRule="exact"/>
              <w:rPr>
                <w:sz w:val="20"/>
                <w:szCs w:val="20"/>
                <w:color w:val="auto"/>
              </w:rPr>
            </w:pPr>
            <w:r>
              <w:rPr>
                <w:rFonts w:ascii="Arial" w:cs="Arial" w:eastAsia="Arial" w:hAnsi="Arial"/>
                <w:sz w:val="14"/>
                <w:szCs w:val="14"/>
                <w:color w:val="auto"/>
              </w:rPr>
              <w:t>Per Share</w:t>
            </w:r>
          </w:p>
        </w:tc>
        <w:tc>
          <w:tcPr>
            <w:tcW w:w="20" w:type="dxa"/>
            <w:vAlign w:val="bottom"/>
          </w:tcPr>
          <w:p>
            <w:pPr>
              <w:spacing w:after="0"/>
              <w:rPr>
                <w:sz w:val="12"/>
                <w:szCs w:val="12"/>
                <w:color w:val="auto"/>
              </w:rPr>
            </w:pPr>
          </w:p>
        </w:tc>
      </w:tr>
      <w:tr>
        <w:trPr>
          <w:trHeight w:val="188"/>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0"/>
              </w:rPr>
              <w:t>Shares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w w:val="99"/>
              </w:rPr>
              <w:t>Amount</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Amount</w:t>
            </w:r>
          </w:p>
        </w:tc>
        <w:tc>
          <w:tcPr>
            <w:tcW w:w="20" w:type="dxa"/>
            <w:vAlign w:val="bottom"/>
            <w:tcBorders>
              <w:bottom w:val="single" w:sz="8" w:color="auto"/>
            </w:tcBorders>
          </w:tcPr>
          <w:p>
            <w:pPr>
              <w:spacing w:after="0"/>
              <w:rPr>
                <w:sz w:val="16"/>
                <w:szCs w:val="16"/>
                <w:color w:val="auto"/>
              </w:rPr>
            </w:pPr>
          </w:p>
        </w:tc>
      </w:tr>
      <w:tr>
        <w:trPr>
          <w:trHeight w:val="228"/>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262"/>
              <w:spacing w:after="0"/>
              <w:rPr>
                <w:sz w:val="20"/>
                <w:szCs w:val="20"/>
                <w:color w:val="auto"/>
              </w:rPr>
            </w:pPr>
            <w:r>
              <w:rPr>
                <w:rFonts w:ascii="Arial" w:cs="Arial" w:eastAsia="Arial" w:hAnsi="Arial"/>
                <w:sz w:val="18"/>
                <w:szCs w:val="18"/>
                <w:color w:val="auto"/>
              </w:rPr>
              <w:t>5,135</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4,566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1.12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22"/>
              <w:spacing w:after="0"/>
              <w:rPr>
                <w:sz w:val="20"/>
                <w:szCs w:val="20"/>
                <w:color w:val="auto"/>
              </w:rPr>
            </w:pPr>
            <w:r>
              <w:rPr>
                <w:rFonts w:ascii="Arial" w:cs="Arial" w:eastAsia="Arial" w:hAnsi="Arial"/>
                <w:sz w:val="18"/>
                <w:szCs w:val="18"/>
                <w:color w:val="auto"/>
              </w:rPr>
              <w:t>6,678</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4,540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0"/>
                <w:szCs w:val="20"/>
                <w:color w:val="auto"/>
              </w:rPr>
            </w:pP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6"/>
        </w:trPr>
        <w:tc>
          <w:tcPr>
            <w:tcW w:w="40" w:type="dxa"/>
            <w:vAlign w:val="bottom"/>
          </w:tcPr>
          <w:p>
            <w:pPr>
              <w:spacing w:after="0"/>
              <w:rPr>
                <w:sz w:val="22"/>
                <w:szCs w:val="22"/>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262"/>
              <w:spacing w:after="0"/>
              <w:rPr>
                <w:sz w:val="20"/>
                <w:szCs w:val="20"/>
                <w:color w:val="auto"/>
              </w:rPr>
            </w:pPr>
            <w:r>
              <w:rPr>
                <w:rFonts w:ascii="Arial" w:cs="Arial" w:eastAsia="Arial" w:hAnsi="Arial"/>
                <w:sz w:val="18"/>
                <w:szCs w:val="18"/>
                <w:b w:val="1"/>
                <w:bCs w:val="1"/>
                <w:color w:val="auto"/>
              </w:rPr>
              <w:t>5,135</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4,611</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b w:val="1"/>
                <w:bCs w:val="1"/>
                <w:color w:val="auto"/>
              </w:rPr>
              <w:t>1.11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222"/>
              <w:spacing w:after="0"/>
              <w:rPr>
                <w:sz w:val="20"/>
                <w:szCs w:val="20"/>
                <w:color w:val="auto"/>
              </w:rPr>
            </w:pPr>
            <w:r>
              <w:rPr>
                <w:rFonts w:ascii="Arial" w:cs="Arial" w:eastAsia="Arial" w:hAnsi="Arial"/>
                <w:sz w:val="18"/>
                <w:szCs w:val="18"/>
                <w:b w:val="1"/>
                <w:bCs w:val="1"/>
                <w:color w:val="auto"/>
              </w:rPr>
              <w:t>6,678</w:t>
            </w: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4,600</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 have been antidilutive was not material for the three and six months ended June 30, 2020 or 2019.</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2020, our debt had a carrying value of $104.8 billion and an estimated fair value of $124.7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As of June 30, 2020, Universal Beijing Resort had $1.8 billion principal amount of a term loan outstanding under the debt financing agreement.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our condensed consolidated balance sheet included assets, primarily property and equipment, and liabilities, including the term loan, of Universal Beijing Resort totaling $3.7 billion and $2.6 billion,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2019, the Financial Accounting Standards Board (“FASB”) updated the accounting guidance related to film and television costs. The updated guidance aligned the accounting for production costs of episodic television series with those of films, allowing for costs to be capitalized in excess of amounts of revenue contracted for each episode. The guidance also updated certain presentation and disclosure requirements for capitalized film and television costs, and when content is predominantly monetized with other owned or licensed content the guidance requires impairment testing for capitalized film and television costs to be performed at a film group level and amortization to be based on usage. We adopted the updated guidance on January 1, 2020 on a prospective basis and as a result, prior period amounts were not adjusted.</w:t>
      </w: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adoption, we now present all film and television costs, including acquired programming rights previously classified as current, as noncurrent in the condensed consolidated balance sheet. The adoption of the updated accounting guidance did not have a material impact on our consolidated results of operations or financial position. See Note 4 for further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the FASB updated the accounting guidance related to the measurement of credit losses on financial instruments, including trade receivables and loans. The updated guidance requires the recognition of credit losses on financial instruments based on an estimate of expected losses, replacing the incurred loss model in the prior guidance. We adopted the updated guidance on January 1, 2020 on a prospective basis, recording $124 million, net of tax, as a cumulative effect adjustment to retained earnings and as a result, prior period amounts were not adjusted. The adoption of the updated accounting guidance did not have a material impact on our consolidated results of operations or financial position for any periods presented.</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3"/>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96"/>
              </w:rPr>
              <w:t>2019</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300</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(202)</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(368)</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w w:val="92"/>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23"/>
                <w:szCs w:val="23"/>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23"/>
                <w:szCs w:val="23"/>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(53)</w:t>
            </w:r>
          </w:p>
        </w:tc>
        <w:tc>
          <w:tcPr>
            <w:tcW w:w="64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408</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115</w:t>
            </w:r>
          </w:p>
        </w:tc>
        <w:tc>
          <w:tcPr>
            <w:tcW w:w="700" w:type="dxa"/>
            <w:vAlign w:val="bottom"/>
          </w:tcPr>
          <w:p>
            <w:pPr>
              <w:spacing w:after="0"/>
              <w:rPr>
                <w:sz w:val="23"/>
                <w:szCs w:val="23"/>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125</w:t>
            </w:r>
          </w:p>
        </w:tc>
        <w:tc>
          <w:tcPr>
            <w:tcW w:w="64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153</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7"/>
              <w:spacing w:after="0"/>
              <w:rPr>
                <w:sz w:val="20"/>
                <w:szCs w:val="20"/>
                <w:color w:val="auto"/>
              </w:rPr>
            </w:pPr>
            <w:r>
              <w:rPr>
                <w:rFonts w:ascii="Arial" w:cs="Arial" w:eastAsia="Arial" w:hAnsi="Arial"/>
                <w:sz w:val="18"/>
                <w:szCs w:val="18"/>
                <w:b w:val="1"/>
                <w:bCs w:val="1"/>
                <w:color w:val="auto"/>
              </w:rPr>
              <w:t>420</w:t>
            </w: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(55)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8"/>
              <w:spacing w:after="0"/>
              <w:rPr>
                <w:sz w:val="20"/>
                <w:szCs w:val="20"/>
                <w:color w:val="auto"/>
              </w:rPr>
            </w:pPr>
            <w:r>
              <w:rPr>
                <w:rFonts w:ascii="Arial" w:cs="Arial" w:eastAsia="Arial" w:hAnsi="Arial"/>
                <w:sz w:val="18"/>
                <w:szCs w:val="18"/>
                <w:b w:val="1"/>
                <w:bCs w:val="1"/>
                <w:color w:val="auto"/>
              </w:rPr>
              <w:t>(296)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621</w:t>
            </w:r>
          </w:p>
        </w:tc>
      </w:tr>
      <w:tr>
        <w:trPr>
          <w:trHeight w:val="34"/>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756"/>
        </w:trPr>
        <w:tc>
          <w:tcPr>
            <w:tcW w:w="4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77"/>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color w:val="auto"/>
              </w:rPr>
              <w:t>December 31,</w:t>
            </w:r>
          </w:p>
        </w:tc>
      </w:tr>
      <w:tr>
        <w:trPr>
          <w:trHeight w:val="18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5,387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5,347</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48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353</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248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1,859</w:t>
            </w:r>
          </w:p>
        </w:tc>
        <w:tc>
          <w:tcPr>
            <w:tcW w:w="36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1,896</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48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1,796</w:t>
            </w:r>
          </w:p>
        </w:tc>
      </w:tr>
      <w:tr>
        <w:trPr>
          <w:trHeight w:val="27"/>
        </w:trPr>
        <w:tc>
          <w:tcPr>
            <w:tcW w:w="5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2480" w:type="dxa"/>
            <w:vAlign w:val="bottom"/>
          </w:tcPr>
          <w:p>
            <w:pPr>
              <w:spacing w:after="0"/>
              <w:rPr>
                <w:sz w:val="20"/>
                <w:szCs w:val="20"/>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7,425</w:t>
            </w:r>
          </w:p>
        </w:tc>
        <w:tc>
          <w:tcPr>
            <w:tcW w:w="3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9,392</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248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1,709</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Less: Investment securing collateralized obligation</w:t>
            </w:r>
          </w:p>
        </w:tc>
        <w:tc>
          <w:tcPr>
            <w:tcW w:w="248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533</w:t>
            </w:r>
          </w:p>
        </w:tc>
        <w:tc>
          <w:tcPr>
            <w:tcW w:w="36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694</w:t>
            </w:r>
          </w:p>
        </w:tc>
      </w:tr>
      <w:tr>
        <w:trPr>
          <w:trHeight w:val="27"/>
        </w:trPr>
        <w:tc>
          <w:tcPr>
            <w:tcW w:w="5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24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b w:val="1"/>
                <w:bCs w:val="1"/>
                <w:color w:val="auto"/>
              </w:rPr>
              <w:t>6,845</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b w:val="1"/>
                <w:bCs w:val="1"/>
                <w:color w:val="auto"/>
              </w:rPr>
              <w:t>6,989</w:t>
            </w:r>
          </w:p>
        </w:tc>
      </w:tr>
      <w:tr>
        <w:trPr>
          <w:trHeight w:val="34"/>
        </w:trPr>
        <w:tc>
          <w:tcPr>
            <w:tcW w:w="5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and six months ended June 30, 2020, we recognized income of $446 million and a loss of $135 million, respectively. For the three and six months ended June 30, 2019, we recognized a loss of $106 million and income of $268 million, respectively. For the six months ended June 30, 2020 and 2019, we made cash capital contributions to Atairos totaling $172 million and $463 million, respectively. As of both June 30, 2020 and December 31, 2019, our investment in Atairos was $3.2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 and Collateralized Obligation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months ended June 30, 2020, we recognized losses of $79 million and $161 million, respectively, in equity in net income (losses) of investees, net. For the three and six months ended June 30, 2019, we recognized losses of $109 million and $250 million, respectively, and in the first quarter 2019, we recognized a previously deferred dilution gain of $159 million in other income (loss), net. For the six months ended June 30, 2019, we made cash capital contributions totaling $903 million to Hulu, inclusive of the funding to acquire our proportionate share of AT&amp;T’s previously held 10% interest. There were no cash capital contributions made during the six months ended June 30, 2020. As of June 30, 2020 and December 31, 2019, our investment was $533 million and $694 million, respectively.</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we borrowed $5.2 billion under a term loan facility due March 2024 which is fully collateralized by the minimum guaranteed proceeds of the put/call option related to our investment in Hulu. As of June 30, 2020, both the carrying value and fair value of our collateralized obligation was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Peloton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Peloton’s initial public offering in September 2019, we presented our investment in Peloton in marketable equity securities, which was previously presented in nonmarketable equity securities. In the second quarter of 2020, we sold our investment in Peloton. For the three and six months ended June 30, 2020, we recognized gains of $86 million and $67 million, respectively, in realized and unrealized gains (losses) on equity securities, net. As of December 31, 2019, our investment in Peloton was $294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fourth quarter of 2019, we sold our investment in Snap. For the three and six months ended June 30, 2019, we recognized unrealized gains of $96 million and $258 million, respectively, in realized and unrealized gains (losses) on equity securities, net.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Verizon Americas, Inc., formerly known as AirTouch Communications, Inc. (“AirTouch”), redeemed the two series of preferred stock and we received cash payments totaling $1.7 billion. Subsequently, we redeemed and repurchased the three series of preferred shares issued by one of our consolidated subsidiaries and made cash payments totaling $1.8 billion.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our AirTouch investment was $1.6 billion, and the associated liability related to redeemable subsidiary preferred shares was $1.7 billion.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Intangible Assets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color w:val="auto"/>
              </w:rPr>
              <w:t>June 30, 2020</w:t>
            </w: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color w:val="auto"/>
              </w:rPr>
              <w:t>December 31, 2019</w:t>
            </w:r>
          </w:p>
        </w:tc>
        <w:tc>
          <w:tcPr>
            <w:tcW w:w="20" w:type="dxa"/>
            <w:vAlign w:val="bottom"/>
          </w:tcPr>
          <w:p>
            <w:pPr>
              <w:spacing w:after="0"/>
              <w:rPr>
                <w:sz w:val="16"/>
                <w:szCs w:val="16"/>
                <w:color w:val="auto"/>
              </w:rPr>
            </w:pPr>
          </w:p>
        </w:tc>
      </w:tr>
      <w:tr>
        <w:trPr>
          <w:trHeight w:val="156"/>
        </w:trPr>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780" w:type="dxa"/>
            <w:vAlign w:val="bottom"/>
            <w:gridSpan w:val="2"/>
          </w:tcPr>
          <w:p>
            <w:pPr>
              <w:jc w:val="right"/>
              <w:ind w:right="360"/>
              <w:spacing w:after="0" w:line="156" w:lineRule="exact"/>
              <w:rPr>
                <w:sz w:val="20"/>
                <w:szCs w:val="20"/>
                <w:color w:val="auto"/>
              </w:rPr>
            </w:pPr>
            <w:r>
              <w:rPr>
                <w:rFonts w:ascii="Arial" w:cs="Arial" w:eastAsia="Arial" w:hAnsi="Arial"/>
                <w:sz w:val="14"/>
                <w:szCs w:val="14"/>
                <w:color w:val="auto"/>
              </w:rPr>
              <w:t>Weighted-Average</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Gross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15"/>
              <w:spacing w:after="0" w:line="156"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Original Useful Life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2"/>
                <w:szCs w:val="12"/>
                <w:color w:val="auto"/>
              </w:rPr>
            </w:pPr>
          </w:p>
        </w:tc>
        <w:tc>
          <w:tcPr>
            <w:tcW w:w="98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Accumulated</w:t>
            </w:r>
          </w:p>
        </w:tc>
        <w:tc>
          <w:tcPr>
            <w:tcW w:w="340" w:type="dxa"/>
            <w:vAlign w:val="bottom"/>
          </w:tcPr>
          <w:p>
            <w:pPr>
              <w:spacing w:after="0"/>
              <w:rPr>
                <w:sz w:val="12"/>
                <w:szCs w:val="12"/>
                <w:color w:val="auto"/>
              </w:rPr>
            </w:pPr>
          </w:p>
        </w:tc>
        <w:tc>
          <w:tcPr>
            <w:tcW w:w="880" w:type="dxa"/>
            <w:vAlign w:val="bottom"/>
          </w:tcPr>
          <w:p>
            <w:pPr>
              <w:jc w:val="right"/>
              <w:ind w:right="15"/>
              <w:spacing w:after="0" w:line="149" w:lineRule="exact"/>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2"/>
                <w:szCs w:val="12"/>
                <w:color w:val="auto"/>
              </w:rPr>
            </w:pPr>
          </w:p>
        </w:tc>
        <w:tc>
          <w:tcPr>
            <w:tcW w:w="10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2"/>
                <w:szCs w:val="12"/>
                <w:color w:val="auto"/>
              </w:rPr>
            </w:pPr>
          </w:p>
        </w:tc>
      </w:tr>
      <w:tr>
        <w:trPr>
          <w:trHeight w:val="188"/>
        </w:trPr>
        <w:tc>
          <w:tcPr>
            <w:tcW w:w="40" w:type="dxa"/>
            <w:vAlign w:val="bottom"/>
          </w:tcPr>
          <w:p>
            <w:pPr>
              <w:spacing w:after="0"/>
              <w:rPr>
                <w:sz w:val="16"/>
                <w:szCs w:val="16"/>
                <w:color w:val="auto"/>
              </w:rPr>
            </w:pP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as of June 30, 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Amortization</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6"/>
                <w:szCs w:val="16"/>
                <w:color w:val="auto"/>
              </w:rPr>
            </w:pPr>
          </w:p>
        </w:tc>
      </w:tr>
      <w:tr>
        <w:trPr>
          <w:trHeight w:val="243"/>
        </w:trPr>
        <w:tc>
          <w:tcPr>
            <w:tcW w:w="4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Franchise rights</w:t>
            </w:r>
          </w:p>
        </w:tc>
        <w:tc>
          <w:tcPr>
            <w:tcW w:w="2780" w:type="dxa"/>
            <w:vAlign w:val="bottom"/>
            <w:gridSpan w:val="2"/>
          </w:tcPr>
          <w:p>
            <w:pPr>
              <w:jc w:val="right"/>
              <w:ind w:right="220"/>
              <w:spacing w:after="0"/>
              <w:rPr>
                <w:sz w:val="20"/>
                <w:szCs w:val="20"/>
                <w:color w:val="auto"/>
              </w:rPr>
            </w:pPr>
            <w:r>
              <w:rPr>
                <w:rFonts w:ascii="Arial" w:cs="Arial" w:eastAsia="Arial" w:hAnsi="Arial"/>
                <w:sz w:val="18"/>
                <w:szCs w:val="18"/>
                <w:color w:val="auto"/>
              </w:rPr>
              <w:t>N/A $</w:t>
            </w:r>
          </w:p>
        </w:tc>
        <w:tc>
          <w:tcPr>
            <w:tcW w:w="860" w:type="dxa"/>
            <w:vAlign w:val="bottom"/>
          </w:tcPr>
          <w:p>
            <w:pPr>
              <w:jc w:val="right"/>
              <w:spacing w:after="0"/>
              <w:rPr>
                <w:sz w:val="20"/>
                <w:szCs w:val="20"/>
                <w:color w:val="auto"/>
              </w:rPr>
            </w:pPr>
            <w:r>
              <w:rPr>
                <w:rFonts w:ascii="Arial" w:cs="Arial" w:eastAsia="Arial" w:hAnsi="Arial"/>
                <w:sz w:val="18"/>
                <w:szCs w:val="18"/>
                <w:color w:val="auto"/>
              </w:rPr>
              <w:t>59,365</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59,365</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278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8,809</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FCC licenses</w:t>
            </w:r>
          </w:p>
        </w:tc>
        <w:tc>
          <w:tcPr>
            <w:tcW w:w="278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2,337</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2,337</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Finite-Lived Intangible Assets:</w:t>
            </w:r>
          </w:p>
        </w:tc>
        <w:tc>
          <w:tcPr>
            <w:tcW w:w="2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780" w:type="dxa"/>
            <w:vAlign w:val="bottom"/>
            <w:gridSpan w:val="2"/>
          </w:tcPr>
          <w:p>
            <w:pPr>
              <w:jc w:val="right"/>
              <w:ind w:right="360"/>
              <w:spacing w:after="0"/>
              <w:rPr>
                <w:sz w:val="20"/>
                <w:szCs w:val="20"/>
                <w:color w:val="auto"/>
              </w:rPr>
            </w:pPr>
            <w:r>
              <w:rPr>
                <w:rFonts w:ascii="Arial" w:cs="Arial" w:eastAsia="Arial" w:hAnsi="Arial"/>
                <w:sz w:val="18"/>
                <w:szCs w:val="18"/>
                <w:color w:val="auto"/>
              </w:rPr>
              <w:t>14 years</w:t>
            </w:r>
          </w:p>
        </w:tc>
        <w:tc>
          <w:tcPr>
            <w:tcW w:w="860" w:type="dxa"/>
            <w:vAlign w:val="bottom"/>
          </w:tcPr>
          <w:p>
            <w:pPr>
              <w:jc w:val="right"/>
              <w:spacing w:after="0"/>
              <w:rPr>
                <w:sz w:val="20"/>
                <w:szCs w:val="20"/>
                <w:color w:val="auto"/>
              </w:rPr>
            </w:pPr>
            <w:r>
              <w:rPr>
                <w:rFonts w:ascii="Arial" w:cs="Arial" w:eastAsia="Arial" w:hAnsi="Arial"/>
                <w:sz w:val="18"/>
                <w:szCs w:val="18"/>
                <w:color w:val="auto"/>
              </w:rPr>
              <w:t>21,263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(7,870)</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22,884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(8,295)</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780" w:type="dxa"/>
            <w:vAlign w:val="bottom"/>
            <w:gridSpan w:val="2"/>
          </w:tcPr>
          <w:p>
            <w:pPr>
              <w:jc w:val="right"/>
              <w:ind w:right="360"/>
              <w:spacing w:after="0"/>
              <w:rPr>
                <w:sz w:val="20"/>
                <w:szCs w:val="20"/>
                <w:color w:val="auto"/>
              </w:rPr>
            </w:pPr>
            <w:r>
              <w:rPr>
                <w:rFonts w:ascii="Arial" w:cs="Arial" w:eastAsia="Arial" w:hAnsi="Arial"/>
                <w:sz w:val="18"/>
                <w:szCs w:val="18"/>
                <w:color w:val="auto"/>
              </w:rPr>
              <w:t>5 years</w:t>
            </w:r>
          </w:p>
        </w:tc>
        <w:tc>
          <w:tcPr>
            <w:tcW w:w="860" w:type="dxa"/>
            <w:vAlign w:val="bottom"/>
          </w:tcPr>
          <w:p>
            <w:pPr>
              <w:jc w:val="right"/>
              <w:spacing w:after="0"/>
              <w:rPr>
                <w:sz w:val="20"/>
                <w:szCs w:val="20"/>
                <w:color w:val="auto"/>
              </w:rPr>
            </w:pPr>
            <w:r>
              <w:rPr>
                <w:rFonts w:ascii="Arial" w:cs="Arial" w:eastAsia="Arial" w:hAnsi="Arial"/>
                <w:sz w:val="18"/>
                <w:szCs w:val="18"/>
                <w:color w:val="auto"/>
              </w:rPr>
              <w:t>16,075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(8,213)</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15,357</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Other agreements and rights</w:t>
            </w:r>
          </w:p>
        </w:tc>
        <w:tc>
          <w:tcPr>
            <w:tcW w:w="2780" w:type="dxa"/>
            <w:vAlign w:val="bottom"/>
            <w:gridSpan w:val="2"/>
          </w:tcPr>
          <w:p>
            <w:pPr>
              <w:jc w:val="right"/>
              <w:ind w:right="360"/>
              <w:spacing w:after="0"/>
              <w:rPr>
                <w:sz w:val="20"/>
                <w:szCs w:val="20"/>
                <w:color w:val="auto"/>
              </w:rPr>
            </w:pPr>
            <w:r>
              <w:rPr>
                <w:rFonts w:ascii="Arial" w:cs="Arial" w:eastAsia="Arial" w:hAnsi="Arial"/>
                <w:sz w:val="18"/>
                <w:szCs w:val="18"/>
                <w:color w:val="auto"/>
              </w:rPr>
              <w:t>28 years</w:t>
            </w:r>
          </w:p>
        </w:tc>
        <w:tc>
          <w:tcPr>
            <w:tcW w:w="860" w:type="dxa"/>
            <w:vAlign w:val="bottom"/>
          </w:tcPr>
          <w:p>
            <w:pPr>
              <w:jc w:val="right"/>
              <w:spacing w:after="0"/>
              <w:rPr>
                <w:sz w:val="20"/>
                <w:szCs w:val="20"/>
                <w:color w:val="auto"/>
              </w:rPr>
            </w:pPr>
            <w:r>
              <w:rPr>
                <w:rFonts w:ascii="Arial" w:cs="Arial" w:eastAsia="Arial" w:hAnsi="Arial"/>
                <w:sz w:val="18"/>
                <w:szCs w:val="18"/>
                <w:color w:val="auto"/>
              </w:rPr>
              <w:t>11,721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(1,127)</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3,958</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110,761</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(17,210)</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112,710</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(17,217)</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6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35"/>
        </w:trPr>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Estimated Amortization Expense of Finite-Lived Intangible Assets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840" w:type="dxa"/>
            <w:vAlign w:val="bottom"/>
            <w:tcBorders>
              <w:bottom w:val="single" w:sz="8" w:color="auto"/>
            </w:tcBorders>
            <w:gridSpan w:val="2"/>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8"/>
        </w:trPr>
        <w:tc>
          <w:tcPr>
            <w:tcW w:w="3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2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Remaining six months of 2020</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2,285</w:t>
            </w:r>
          </w:p>
        </w:tc>
        <w:tc>
          <w:tcPr>
            <w:tcW w:w="20" w:type="dxa"/>
            <w:vAlign w:val="bottom"/>
          </w:tcPr>
          <w:p>
            <w:pPr>
              <w:spacing w:after="0"/>
              <w:rPr>
                <w:sz w:val="21"/>
                <w:szCs w:val="21"/>
                <w:color w:val="auto"/>
              </w:rPr>
            </w:pP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4,218</w:t>
            </w:r>
          </w:p>
        </w:tc>
        <w:tc>
          <w:tcPr>
            <w:tcW w:w="20" w:type="dxa"/>
            <w:vAlign w:val="bottom"/>
          </w:tcPr>
          <w:p>
            <w:pPr>
              <w:spacing w:after="0"/>
              <w:rPr>
                <w:sz w:val="23"/>
                <w:szCs w:val="23"/>
                <w:color w:val="auto"/>
              </w:rPr>
            </w:pP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3,650</w:t>
            </w:r>
          </w:p>
        </w:tc>
        <w:tc>
          <w:tcPr>
            <w:tcW w:w="20" w:type="dxa"/>
            <w:vAlign w:val="bottom"/>
          </w:tcPr>
          <w:p>
            <w:pPr>
              <w:spacing w:after="0"/>
              <w:rPr>
                <w:sz w:val="23"/>
                <w:szCs w:val="23"/>
                <w:color w:val="auto"/>
              </w:rPr>
            </w:pP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3,029</w:t>
            </w:r>
          </w:p>
        </w:tc>
        <w:tc>
          <w:tcPr>
            <w:tcW w:w="20" w:type="dxa"/>
            <w:vAlign w:val="bottom"/>
          </w:tcPr>
          <w:p>
            <w:pPr>
              <w:spacing w:after="0"/>
              <w:rPr>
                <w:sz w:val="23"/>
                <w:szCs w:val="23"/>
                <w:color w:val="auto"/>
              </w:rPr>
            </w:pP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2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2,456</w:t>
            </w:r>
          </w:p>
        </w:tc>
        <w:tc>
          <w:tcPr>
            <w:tcW w:w="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2020, we granted 15.8 million RSUs and 59.9 million stock options related to our annual management awards. The weighted-average fair values associated with these grants were $42.47 per RSU and $6.53 per stock option.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3"/>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2019</w:t>
            </w: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179</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167</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320</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294</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72</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154</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119</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8"/>
              <w:spacing w:after="0"/>
              <w:rPr>
                <w:sz w:val="20"/>
                <w:szCs w:val="20"/>
                <w:color w:val="auto"/>
              </w:rPr>
            </w:pPr>
            <w:r>
              <w:rPr>
                <w:rFonts w:ascii="Arial" w:cs="Arial" w:eastAsia="Arial" w:hAnsi="Arial"/>
                <w:sz w:val="18"/>
                <w:szCs w:val="18"/>
                <w:b w:val="1"/>
                <w:bCs w:val="1"/>
                <w:color w:val="auto"/>
              </w:rPr>
              <w:t>271</w:t>
            </w: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245</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8"/>
              <w:spacing w:after="0"/>
              <w:rPr>
                <w:sz w:val="20"/>
                <w:szCs w:val="20"/>
                <w:color w:val="auto"/>
              </w:rPr>
            </w:pPr>
            <w:r>
              <w:rPr>
                <w:rFonts w:ascii="Arial" w:cs="Arial" w:eastAsia="Arial" w:hAnsi="Arial"/>
                <w:sz w:val="18"/>
                <w:szCs w:val="18"/>
                <w:b w:val="1"/>
                <w:bCs w:val="1"/>
                <w:color w:val="auto"/>
              </w:rPr>
              <w:t>495</w:t>
            </w: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428</w:t>
            </w:r>
          </w:p>
        </w:tc>
      </w:tr>
      <w:tr>
        <w:trPr>
          <w:trHeight w:val="34"/>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we had unrecognized pretax compensation expense of $1.4 billion and $684 million related to nonvested RSUs and nonvested stock options, respectively.</w:t>
      </w:r>
    </w:p>
    <w:p>
      <w:pPr>
        <w:sectPr>
          <w:pgSz w:w="11900" w:h="16838" w:orient="portrait"/>
          <w:cols w:equalWidth="0" w:num="1">
            <w:col w:w="11240"/>
          </w:cols>
          <w:pgMar w:left="320" w:top="121" w:right="339" w:bottom="858"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1" w:right="339" w:bottom="858"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Interest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w w:val="93"/>
              </w:rPr>
              <w:t>1,936</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2,111</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rPr>
              <w:t>333</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1,634</w:t>
            </w:r>
          </w:p>
        </w:tc>
      </w:tr>
      <w:tr>
        <w:trPr>
          <w:trHeight w:val="27"/>
        </w:trPr>
        <w:tc>
          <w:tcPr>
            <w:tcW w:w="8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w:t>
      </w:r>
    </w:p>
    <w:p>
      <w:pPr>
        <w:spacing w:after="0" w:line="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acquired $1.8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$0.23 per common share paid in July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center"/>
              <w:ind w:right="336"/>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14"/>
                <w:szCs w:val="14"/>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color w:val="auto"/>
                <w:w w:val="93"/>
              </w:rPr>
              <w:t>December 31,</w:t>
            </w:r>
          </w:p>
        </w:tc>
      </w:tr>
      <w:tr>
        <w:trPr>
          <w:trHeight w:val="188"/>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6"/>
              </w:rPr>
              <w:t>2019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13,935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5,500</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440" w:type="dxa"/>
            <w:vAlign w:val="bottom"/>
          </w:tcPr>
          <w:p>
            <w:pPr>
              <w:spacing w:after="0"/>
              <w:rPr>
                <w:sz w:val="23"/>
                <w:szCs w:val="23"/>
                <w:color w:val="auto"/>
              </w:rPr>
            </w:pP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440" w:type="dxa"/>
            <w:vAlign w:val="bottom"/>
          </w:tcPr>
          <w:p>
            <w:pPr>
              <w:spacing w:after="0"/>
              <w:rPr>
                <w:sz w:val="23"/>
                <w:szCs w:val="23"/>
                <w:color w:val="auto"/>
              </w:rPr>
            </w:pP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47</w:t>
            </w:r>
          </w:p>
        </w:tc>
      </w:tr>
      <w:tr>
        <w:trPr>
          <w:trHeight w:val="27"/>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6"/>
              <w:spacing w:after="0"/>
              <w:rPr>
                <w:sz w:val="20"/>
                <w:szCs w:val="20"/>
                <w:color w:val="auto"/>
              </w:rPr>
            </w:pPr>
            <w:r>
              <w:rPr>
                <w:rFonts w:ascii="Arial" w:cs="Arial" w:eastAsia="Arial" w:hAnsi="Arial"/>
                <w:sz w:val="18"/>
                <w:szCs w:val="18"/>
                <w:b w:val="1"/>
                <w:bCs w:val="1"/>
                <w:color w:val="auto"/>
              </w:rPr>
              <w:t>13,976</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b w:val="1"/>
                <w:bCs w:val="1"/>
                <w:color w:val="auto"/>
              </w:rPr>
              <w:t>5,589</w:t>
            </w:r>
          </w:p>
        </w:tc>
      </w:tr>
      <w:tr>
        <w:trPr>
          <w:trHeight w:val="34"/>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621"/>
        </w:trPr>
        <w:tc>
          <w:tcPr>
            <w:tcW w:w="7960" w:type="dxa"/>
            <w:vAlign w:val="bottom"/>
          </w:tcPr>
          <w:p>
            <w:pPr>
              <w:ind w:left="3460"/>
              <w:spacing w:after="0"/>
              <w:rPr>
                <w:sz w:val="20"/>
                <w:szCs w:val="20"/>
                <w:color w:val="auto"/>
              </w:rPr>
            </w:pPr>
            <w:r>
              <w:rPr>
                <w:rFonts w:ascii="Arial" w:cs="Arial" w:eastAsia="Arial" w:hAnsi="Arial"/>
                <w:sz w:val="18"/>
                <w:szCs w:val="18"/>
                <w:b w:val="1"/>
                <w:bCs w:val="1"/>
                <w:color w:val="auto"/>
              </w:rPr>
              <w:t>Accumulated Other Comprehensive Income (Loss)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6"/>
        </w:trPr>
        <w:tc>
          <w:tcPr>
            <w:tcW w:w="7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center"/>
              <w:ind w:right="336"/>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24"/>
                <w:szCs w:val="24"/>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color w:val="auto"/>
                <w:w w:val="89"/>
              </w:rPr>
              <w:t>June 30,</w:t>
            </w:r>
          </w:p>
        </w:tc>
      </w:tr>
      <w:tr>
        <w:trPr>
          <w:trHeight w:val="188"/>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6"/>
              </w:rPr>
              <w:t>2019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440" w:type="dxa"/>
            <w:vAlign w:val="bottom"/>
          </w:tcPr>
          <w:p>
            <w:pPr>
              <w:spacing w:after="0"/>
              <w:rPr>
                <w:sz w:val="23"/>
                <w:szCs w:val="23"/>
                <w:color w:val="auto"/>
              </w:rPr>
            </w:pP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132</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440" w:type="dxa"/>
            <w:vAlign w:val="bottom"/>
          </w:tcPr>
          <w:p>
            <w:pPr>
              <w:spacing w:after="0"/>
              <w:rPr>
                <w:sz w:val="23"/>
                <w:szCs w:val="23"/>
                <w:color w:val="auto"/>
              </w:rPr>
            </w:pP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309</w:t>
            </w: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440" w:type="dxa"/>
            <w:vAlign w:val="bottom"/>
          </w:tcPr>
          <w:p>
            <w:pPr>
              <w:spacing w:after="0"/>
              <w:rPr>
                <w:sz w:val="23"/>
                <w:szCs w:val="23"/>
                <w:color w:val="auto"/>
              </w:rPr>
            </w:pP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7"/>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4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6"/>
              <w:spacing w:after="0"/>
              <w:rPr>
                <w:sz w:val="20"/>
                <w:szCs w:val="20"/>
                <w:color w:val="auto"/>
              </w:rPr>
            </w:pPr>
            <w:r>
              <w:rPr>
                <w:rFonts w:ascii="Arial" w:cs="Arial" w:eastAsia="Arial" w:hAnsi="Arial"/>
                <w:sz w:val="18"/>
                <w:szCs w:val="18"/>
                <w:b w:val="1"/>
                <w:bCs w:val="1"/>
                <w:color w:val="auto"/>
              </w:rPr>
              <w:t>(1,279)</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4"/>
        </w:trPr>
        <w:tc>
          <w:tcPr>
            <w:tcW w:w="7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the holders of the Series A cumulative preferred stock of NBCUniversal Enterprise exercised their right to cause NBCUniversal Enterprise to redeem their shares during the first 30 day election period beginning March 19, 2020. As of June 30, 2020, the fair value of the NBCUniversal Enterprise redeemable subsidiary preferred stock was $728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ind w:right="76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is a leading provider of high-speed internet, video, voice, wireless, and security and automation services to residential customers under the Xfinity brand; we also provide these and other services to business customers and sell advertising. As of June 30, 2020, our cable systems had 32.1 million total customer relationships, including 29.8 million residential and 2.4 million business customer relationships, and passed more than 59 million homes and businesses. Revenue is generated primarily from residential and business customers that subscribe to our services, which are marketed individually and as bundled services, and from the sale of advertising.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Cable Networks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 Revenue is generated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content on standard-definition DVDs and Blu-ray discs (together, “DVDs”) and through digital distribution services such as iTunes.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Broadcast Television consists primarily of the NBC and Telemundo broadcast networks, our NBC and Telemundo owned local broadcast television stations, the NBC Universo national cable network, our broadcast television studio production operations, and various digital properties. Revenue is generated primarily from the sale of advertising on our networks and digital properties, from the licensing of programming, including to cable and broadcast networks as well as to subscription video on demand services; from the fees received under retransmission consent agreements and associated fees received from NBC-affiliated and Telemundo-affiliated local broadcast television stations; and from the sale of our owned programming on DVDs and through digital distribution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Filmed Entertainment primarily produces, acquires, markets and distributes filmed entertainment worldwide. Our films are produced primarily under the Universal Pictures, Illumination, DreamWorks Animation and Focus Features names. Revenue is generated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Filmed Entertainment also generates revenue from Fandango, a movie ticketing and entertainment business, consumer products, the production and licensing of live stage plays, and the distribution of filmed entertainment produced by third parties.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 Revenue is generated primarily from guest spending at our Universal theme parks.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As of June 30, 2020, Sky had 23.7 million retail customer relationships.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75"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Peacock, which was made available to Comcast customers in April 2020 and launched nationally in July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novel coronavirus disease 2019 (“COVID-19”) and measures taken to prevent its spread across the globe continue to impact our businesses in a number of ways. Our Cable Communications results of operations were strong in the first half of 2020, despite having been affected in the second quarter by the significant deterioration in domestic economic conditions and by the costs associated with our support of customer connectivity as people continued to work and learn remotely from home. COVID-19 had material negative impacts on NBCUniversal and Sky results of operations during the second quarter of 2020 primarily due to the temporary closure of our theme parks and the postponement and cancellation of many sporting events. We continue to implement and evaluate cost initiatives across our businesses that have impacted and will continue to impact our results of operations; certain costs incurred by our businesses in response to COVID-19, including severance and restructuring charges, are presented in Corporate and Other. We expect the impacts of COVID-19 will continue to have a material adverse impact on our consolidated results of operations over the near to medium term.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Communications</w:t>
      </w:r>
    </w:p>
    <w:p>
      <w:pPr>
        <w:spacing w:after="0" w:line="126"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distribution network to date has performed well under the stress of increased traffic and peak usage driven by increased video streaming, gaming and videoconferencing as more customers work and learn remotely from home.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incurred costs during the first half of 2020 associated with compensating personnel in roles affected by COVID-19. These costs included additional compensation for frontline personnel who worked to keep our customers connected to our services and compensation for certain personnel who were unable to work due to the closing or suspension of operations.</w:t>
      </w:r>
    </w:p>
    <w:p>
      <w:pPr>
        <w:spacing w:after="0" w:line="129"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pledged, continuing through the end of December 2020, that new qualifying customers for Internet Essentials, our low-income internet adoption program, will receive 60 days of free internet services. We also pledged through the end of June 2020 to waive certain fees and to not disconnect internet, voice or wireless services for customers for nonpayment, and are providing these customers a variety of flexible and extended payment options. As a result, our customer metrics for the first half of 2020 do not include certain high-risk customers who continue to receive service following nonpayment or customers in the free Internet Essentials offer.</w:t>
      </w:r>
    </w:p>
    <w:p>
      <w:pPr>
        <w:spacing w:after="0" w:line="122"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Many professional sports leagues have resumed or have announced plans to resume, some with a reduced schedule for the remainder of the interrupted seasons. Certain of our programming distribution agreements with regional sports networks include contractual adjustment provisions if a minimum number of sporting events does not occur. In the second quarter of 2020, our programming expenses were reduced as a result of these provisions, and our revenue was negatively impacted in similar amounts as a result of adjustments that we anticipate passing through to our customers. These provisions are also expected to impact future period revenue and expenses in 2020. The ultimate amounts and timing of the adjustments are dependent upon the extent to which the sports leagues are able to resume the interrupted seasons.</w:t>
      </w:r>
    </w:p>
    <w:p>
      <w:pPr>
        <w:spacing w:after="0" w:line="110"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deterioration of economic conditions and increased economic uncertainty resulting from COVID-19 have resulted in reduced demand for our residential and business services and reduced spending from advertisers, which have had, and likely will continue to have, negative impacts on our revenue over the near to medium term. In addition, we believe there is increased risk associated with collections on our outstanding receivables, and we have incurred, and expect to continue to incur, increases in our bad debt expense compared to the prior year periods.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w:t>
      </w:r>
    </w:p>
    <w:p>
      <w:pPr>
        <w:spacing w:after="0" w:line="126" w:lineRule="exact"/>
        <w:rPr>
          <w:sz w:val="20"/>
          <w:szCs w:val="20"/>
          <w:color w:val="auto"/>
        </w:rPr>
      </w:pPr>
    </w:p>
    <w:p>
      <w:pPr>
        <w:jc w:val="both"/>
        <w:ind w:left="660" w:hanging="328"/>
        <w:spacing w:after="0" w:line="29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temporary closure of all of our theme parks in the first and second quarters of 2020 had the most significant impact on our revenue and Adjusted EBITDA for the three and six months ended June 30, 2020 on a consolidated basis. Our parks in Orlando and Japan reopened with limited capacity in June 2020, while our park in Hollywood remains closed. We expect the results of operations at our theme parks will continue to be negatively impacted in the near to medium term, and we cannot predict when the Hollywood park will reopen, if any reopened parks will remain open or the level of attendance at any reopened parks. In addition, although we currently expect that Universal Beijing Resort will open in 2021, we have delayed certain construction projects, including the development of the Epic Universe theme park in Orlando.</w:t>
      </w:r>
    </w:p>
    <w:p>
      <w:pPr>
        <w:spacing w:after="0" w:line="11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deterioration of economic conditions caused by COVID-19 resulted in significant reductions in advertising spend by our customers in the Cable Networks and Broadcast Television segments in the second quarter of 2020, and we expect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7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trend to continue over the near to medium term. These conditions have also resulted, and may continue to result, in an acceleration of subscriber losses at our networks due to reduced consumer spending.</w:t>
      </w:r>
    </w:p>
    <w:p>
      <w:pPr>
        <w:spacing w:after="0" w:line="11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incurred costs during the first half of 2020 associated with compensating personnel who were unable to work due to the closing or suspension of operations, including at our theme parks and at our production studios.</w:t>
      </w:r>
    </w:p>
    <w:p>
      <w:pPr>
        <w:spacing w:after="0" w:line="116"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postponement and cancellation of many sporting events and professional sports seasons impacted our first and second quarter 2020 results of operations, since both advertising revenues and costs associated with broadcasting these programs were not recognized. Many professional sports leagues have resumed or have announced plans to resume, some with reduced numbers of events for the remainder of the interrupted seasons. Certain of our sports programming rights agreements and distribution agreements with multichannel video providers include contractual provisions if a minimum number of events does not occur. Our distribution revenue in the second quarter of 2020 was negatively impacted as a result of credits accrued relating to these provisions, and the programming costs that we will recognize as the remaining events occur, which are now expected to be primarily in the third quarter of 2020, will also be impacted. When, or the extent to which, sporting events will occur in 2020 will impact the timing, and potentially the amount, of revenue and expense recognition. In addition, the 2020 Tokyo Olympics have been postponed from the third quarter of 2020 to the third quarter of 2021, which will result in a corresponding delay of the associated revenue and costs.</w:t>
      </w:r>
    </w:p>
    <w:p>
      <w:pPr>
        <w:spacing w:after="0" w:line="140"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creation and availability of our film and television programming in the United States and globally have been disrupted, including from the suspension of studio production operations. Additionally, with the temporary closure of many movie theaters worldwide, we have delayed or altered the theatrical distribution strategy for certain of our films, both domestically and internationally. Delays in theatrical releases will affect both current and future periods as a result of corresponding delays in subsequent content licensing windows. We expect results of operations in our Filmed Entertainment segment to continue to be negatively impacted over the near to medium term as a result of COVID-19.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t>
      </w:r>
    </w:p>
    <w:p>
      <w:pPr>
        <w:spacing w:after="0" w:line="126" w:lineRule="exact"/>
        <w:rPr>
          <w:sz w:val="20"/>
          <w:szCs w:val="20"/>
          <w:color w:val="auto"/>
        </w:rPr>
      </w:pPr>
    </w:p>
    <w:p>
      <w:pPr>
        <w:jc w:val="both"/>
        <w:ind w:left="660" w:hanging="328"/>
        <w:spacing w:after="0" w:line="27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Many sporting events and professional sports seasons were postponed beginning in the second half of the first quarter of 2020, with certain sports, including European soccer, resuming in May and June 2020, which resulted in significant impacts on Sky’s results of operations in the first and second quarters of 2020. Direct-to-consumer revenue has been negatively impacted as a result of lower sports subscription revenue and we expect continued negative impacts as a result of the impacts of COVID-19 on the reopening plans of our commercial customers. Additionally, significant costs associated with broadcasting these programs were not recognized as a result of the sporting events not occurring in the first quarter of 2020 and for most of the second quarter. Although sporting events have resumed, COVID-19 continues to result in uncertainty in the ultimate timing of when, or the extent to which, sporting events will occur in 2020; their broadcast is expected to impact the timing, and potentially the amount, of revenue and expense recognition.</w:t>
      </w:r>
    </w:p>
    <w:p>
      <w:pPr>
        <w:spacing w:after="0" w:line="124"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temporarily suspended certain sales channels due to COVID-19, which negatively impacted net customer additions and revenue in the first and second quarters of 2020. Our sales channels generally resumed operations in June.</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COVID-19 has resulted in the deterioration of economic conditions and increased economic uncertainty in the U.K. and Europe, intensifying what was an already deteriorating economic and advertising environment. These conditions negatively impacted revenue in the first and second quarters of 2020, and we expect will continue to reduce advertising spend and consumer demand for our services for the remainder of 2020. In addition, there is increased risk associated with collections on our outstanding receivables, and we have incurred and expect to continue to incur increases in our bad debt expense.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Global financial markets have been volatile and have experienced significant declines, and domestic and global economic conditions are showing signs of material weakness. At this point, it is impossible to predict the extent and duration of these and any other impacts of COVID-19 to our businesses, or the degree to which demand for our products and services, or supply of key inputs to those products and services, will be affected. This uncertainty makes it challenging for management to estimate with precision the future performance of our businesses.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2020, we evaluated whether the facts and circumstances and available information resulted in the need for an impairment assessment for any of our long-lived assets, including goodwill, and concluded no assessment was required. We will continue to evaluate the impacts of COVID-19 to our businesses, including the impacts of overall economic conditions, which could result in the recognition of an impairment charge in the future. Our first and second quarter 2020 results were impacted by significant losses and gains, respectively, as a result of the volatility in the market values for publicly traded equity securities underlying our investments.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75"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negatively impacted by the effects of COVID-19, we expect that our businesses will continue to generate significant cash flow from operating activities and we believe that these cash flows, together with our existing cash, cash equivalents and investments, available borrowings under our existing credit facilities, and our ability to obtain future external financing, will be sufficient for us to meet our current and long-term liquidity and capital requirements. However, we expect the timing of certain priorities to be impacted, such as the pace of our debt reduction efforts and return to share repurchases, and the delay of certain capital projects.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to consumers has intensified audience fragmentation and disaggregated the way that content traditionally has been viewed by consumers. This increase has caused and likely will continue to cause audience ratings declines at our programming channels.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2019 Annual Report on Form 10-K and refer to Item 1: Business and Item 1A: Risk Factors. Within the Business section, refer to the “Competition” discussion, and within the Risk Factors section, refer to the risk factors entitled “Our businesses operate in highly competitive and dynamic industries, and our businesses and results of operations could be adversely affected if we do not compete effectively” and “Changes in consumer behavior driven by online video distribution platforms for viewing content continue to adversely affect our businesses and challenge existing business models.”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businesses is typically subject to seasonal and cyclical variations. Cable Communications’ results are impacted by the seasonal nature of residential customers receiving our services in college and vacation markets. This generally results in fewer net customer relationship additions in the second quarter of each year.</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and operating costs and expenses (comprised of total costs and expenses, excluding depreciation and amortization expense and other operating gains) are cyclical as a result of our periodic broadcasts of major sporting events, such as the Olympic Games, which affect Cable Networks and Broadcast Television, and the Super Bowl, which affects Broadcast Television. In particular, advertising revenue increases due to increased demand for advertising time for these events and distribution revenue increases in the period of broadcasts of the Olympic Games. Operating costs and expenses also increase as a result of our production costs for these broadcasts and the amortization of the related rights fees.</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 Cable Communications, Cable Networks, Broadcast Television and Sky is also subject to cyclical advertising patterns and changes in viewership levels. Advertising revenue in the U.S. is generally higher in the second and fourth quarters of each year and in even-numbered years due to increases in consumer advertising in the spring and in the period leading up to and including the holiday season and advertising related to candidates running for political office and issue-oriented advertising, respectively. Revenue in Cable Networks and Broadcast Television fluctuates depending on the timing of when our programming is aired, which typically results in higher advertising revenue in the second and fourth quarters of each year. Revenue at Sky has seasonally higher audience levels in winter months and increased competition during major sporting events where public service broadcasters lease the rights, such as the Olympic Games and the FIFA World Cup</w:t>
      </w:r>
      <w:r>
        <w:rPr>
          <w:rFonts w:ascii="Arial" w:cs="Arial" w:eastAsia="Arial" w:hAnsi="Arial"/>
          <w:sz w:val="24"/>
          <w:szCs w:val="24"/>
          <w:color w:val="auto"/>
          <w:vertAlign w:val="superscript"/>
        </w:rPr>
        <w:t>TM</w:t>
      </w:r>
      <w:r>
        <w:rPr>
          <w:rFonts w:ascii="Arial" w:cs="Arial" w:eastAsia="Arial" w:hAnsi="Arial"/>
          <w:sz w:val="17"/>
          <w:szCs w:val="17"/>
          <w:color w:val="auto"/>
        </w:rPr>
        <w:t>.</w:t>
      </w:r>
    </w:p>
    <w:p>
      <w:pPr>
        <w:spacing w:after="0" w:line="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Filmed Entertainment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in Theme Parks fluctuates with changes in theme park attendance that result from the seasonal nature of vacation travel and weather variations, local entertainment offerings and the opening of new attractions, as well as with changes in currency exchange rates. Theme Parks generally experiences peak attendance during the spring holiday period, the summer months when schools are closed and the Christmas holiday season.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7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Sky’s results are impacted by the seasonal nature of residential customers receiving direct-to-home (“DTH”) and over the top (“OTT”) video services, including the start of the new soccer seasons and the Christmas holiday. This generally results in greater net customer relationship additions and higher subscriber acquisition costs in the second half of each year due to higher marketing expenses.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Exclusive sports rights, such as local European and Union des Associations Européennes de Football Champions League (“UCL”) soccer, Formula 1, and English cricket, play a key role within Sky’s wider content strategy. In Europe, broadcasting rights for major sports are usually tendered through a competitive auction process, with the winning bidder or bidders acquiring rights over a three to five-year period. This creates some level of cyclicality for Sky, although the staggered timing of major sports rights auctions usually gives Sky time to react to any material changes in the competitive dynamics of the prevailing market. Certain of Sky’s significant sports rights agreements require payments at the start of each season, resulting in increases in sports rights payments in the third and fourth quarter of each year.</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93"/>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440" w:type="dxa"/>
            <w:vAlign w:val="bottom"/>
            <w:gridSpan w:val="3"/>
          </w:tcPr>
          <w:p>
            <w:pPr>
              <w:jc w:val="right"/>
              <w:ind w:right="831"/>
              <w:spacing w:after="0"/>
              <w:rPr>
                <w:sz w:val="20"/>
                <w:szCs w:val="20"/>
                <w:color w:val="auto"/>
              </w:rPr>
            </w:pPr>
            <w:r>
              <w:rPr>
                <w:rFonts w:ascii="Arial" w:cs="Arial" w:eastAsia="Arial" w:hAnsi="Arial"/>
                <w:sz w:val="14"/>
                <w:szCs w:val="14"/>
                <w:color w:val="auto"/>
              </w:rPr>
              <w:t>Six Months Ended</w:t>
            </w:r>
          </w:p>
        </w:tc>
        <w:tc>
          <w:tcPr>
            <w:tcW w:w="1260" w:type="dxa"/>
            <w:vAlign w:val="bottom"/>
          </w:tcPr>
          <w:p>
            <w:pPr>
              <w:jc w:val="center"/>
              <w:ind w:right="13"/>
              <w:spacing w:after="0"/>
              <w:rPr>
                <w:sz w:val="20"/>
                <w:szCs w:val="20"/>
                <w:color w:val="auto"/>
              </w:rPr>
            </w:pPr>
            <w:r>
              <w:rPr>
                <w:rFonts w:ascii="Arial" w:cs="Arial" w:eastAsia="Arial" w:hAnsi="Arial"/>
                <w:sz w:val="14"/>
                <w:szCs w:val="14"/>
                <w:color w:val="auto"/>
                <w:w w:val="90"/>
              </w:rPr>
              <w:t>Increase/</w:t>
            </w:r>
          </w:p>
        </w:tc>
      </w:tr>
      <w:tr>
        <w:trPr>
          <w:trHeight w:val="188"/>
        </w:trPr>
        <w:tc>
          <w:tcPr>
            <w:tcW w:w="3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89"/>
              </w:rPr>
              <w:t>(Decrease)</w:t>
            </w:r>
          </w:p>
        </w:tc>
      </w:tr>
      <w:tr>
        <w:trPr>
          <w:trHeight w:val="263"/>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2019</w:t>
            </w: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6"/>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23,715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26,858</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50,324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53,717</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1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6,817</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8,255</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15,118</w:t>
            </w:r>
          </w:p>
        </w:tc>
        <w:tc>
          <w:tcPr>
            <w:tcW w:w="40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16,824</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(10.1)</w:t>
            </w:r>
          </w:p>
        </w:tc>
      </w:tr>
      <w:tr>
        <w:trPr>
          <w:trHeight w:val="270"/>
        </w:trPr>
        <w:tc>
          <w:tcPr>
            <w:tcW w:w="3160" w:type="dxa"/>
            <w:vAlign w:val="bottom"/>
          </w:tcPr>
          <w:p>
            <w:pPr>
              <w:ind w:left="380"/>
              <w:spacing w:after="0"/>
              <w:rPr>
                <w:sz w:val="20"/>
                <w:szCs w:val="20"/>
                <w:color w:val="auto"/>
              </w:rPr>
            </w:pPr>
            <w:r>
              <w:rPr>
                <w:rFonts w:ascii="Arial" w:cs="Arial" w:eastAsia="Arial" w:hAnsi="Arial"/>
                <w:sz w:val="18"/>
                <w:szCs w:val="18"/>
                <w:color w:val="auto"/>
                <w:w w:val="99"/>
              </w:rPr>
              <w:t>Other operating and administrative</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7,646</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8,086</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15,900</w:t>
            </w:r>
          </w:p>
        </w:tc>
        <w:tc>
          <w:tcPr>
            <w:tcW w:w="40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15,986</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(0.5)</w:t>
            </w:r>
          </w:p>
        </w:tc>
      </w:tr>
      <w:tr>
        <w:trPr>
          <w:trHeight w:val="256"/>
        </w:trPr>
        <w:tc>
          <w:tcPr>
            <w:tcW w:w="3160" w:type="dxa"/>
            <w:vAlign w:val="bottom"/>
          </w:tcPr>
          <w:p>
            <w:pPr>
              <w:ind w:left="3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3160" w:type="dxa"/>
            <w:vAlign w:val="bottom"/>
          </w:tcPr>
          <w:p>
            <w:pPr>
              <w:ind w:left="5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1,341</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1,885</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3,279</w:t>
            </w:r>
          </w:p>
        </w:tc>
        <w:tc>
          <w:tcPr>
            <w:tcW w:w="40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3,773</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(13.1)</w:t>
            </w:r>
          </w:p>
        </w:tc>
      </w:tr>
      <w:tr>
        <w:trPr>
          <w:trHeight w:val="270"/>
        </w:trPr>
        <w:tc>
          <w:tcPr>
            <w:tcW w:w="31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2,099</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2,197</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4,206</w:t>
            </w:r>
          </w:p>
        </w:tc>
        <w:tc>
          <w:tcPr>
            <w:tcW w:w="40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4,437</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(5.2)</w:t>
            </w:r>
          </w:p>
        </w:tc>
      </w:tr>
      <w:tr>
        <w:trPr>
          <w:trHeight w:val="270"/>
        </w:trPr>
        <w:tc>
          <w:tcPr>
            <w:tcW w:w="31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1,165</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1,079</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2,322</w:t>
            </w:r>
          </w:p>
        </w:tc>
        <w:tc>
          <w:tcPr>
            <w:tcW w:w="40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2,159</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7.6</w:t>
            </w:r>
          </w:p>
        </w:tc>
      </w:tr>
      <w:tr>
        <w:trPr>
          <w:trHeight w:val="27"/>
        </w:trPr>
        <w:tc>
          <w:tcPr>
            <w:tcW w:w="3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4,647</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5,356</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9,499</w:t>
            </w:r>
          </w:p>
        </w:tc>
        <w:tc>
          <w:tcPr>
            <w:tcW w:w="40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10,538</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(9.9)</w:t>
            </w: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(1,112)</w:t>
            </w:r>
          </w:p>
        </w:tc>
        <w:tc>
          <w:tcPr>
            <w:tcW w:w="38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(1,137)</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(2,324)</w:t>
            </w:r>
          </w:p>
        </w:tc>
        <w:tc>
          <w:tcPr>
            <w:tcW w:w="400" w:type="dxa"/>
            <w:vAlign w:val="bottom"/>
          </w:tcPr>
          <w:p>
            <w:pPr>
              <w:spacing w:after="0"/>
              <w:rPr>
                <w:sz w:val="23"/>
                <w:szCs w:val="23"/>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(2,287)</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1.6</w:t>
            </w: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color w:val="auto"/>
                <w:w w:val="98"/>
              </w:rPr>
              <w:t>Investment and other income (loss), net</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(55)</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621</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(147.7)</w:t>
            </w:r>
          </w:p>
        </w:tc>
      </w:tr>
      <w:tr>
        <w:trPr>
          <w:trHeight w:val="27"/>
        </w:trPr>
        <w:tc>
          <w:tcPr>
            <w:tcW w:w="3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3,955</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4,164</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6,879</w:t>
            </w:r>
          </w:p>
        </w:tc>
        <w:tc>
          <w:tcPr>
            <w:tcW w:w="40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8,872</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(22.5)</w:t>
            </w: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(946)</w:t>
            </w:r>
          </w:p>
        </w:tc>
        <w:tc>
          <w:tcPr>
            <w:tcW w:w="38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(961)</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(1,646)</w:t>
            </w:r>
          </w:p>
        </w:tc>
        <w:tc>
          <w:tcPr>
            <w:tcW w:w="400" w:type="dxa"/>
            <w:vAlign w:val="bottom"/>
          </w:tcPr>
          <w:p>
            <w:pPr>
              <w:spacing w:after="0"/>
              <w:rPr>
                <w:sz w:val="23"/>
                <w:szCs w:val="23"/>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(2,037)</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(19.2)</w:t>
            </w:r>
          </w:p>
        </w:tc>
      </w:tr>
      <w:tr>
        <w:trPr>
          <w:trHeight w:val="27"/>
        </w:trPr>
        <w:tc>
          <w:tcPr>
            <w:tcW w:w="3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3,009</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3,203</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5,233</w:t>
            </w:r>
          </w:p>
        </w:tc>
        <w:tc>
          <w:tcPr>
            <w:tcW w:w="40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6,835</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(23.4)</w:t>
            </w:r>
          </w:p>
        </w:tc>
      </w:tr>
      <w:tr>
        <w:trPr>
          <w:trHeight w:val="256"/>
        </w:trPr>
        <w:tc>
          <w:tcPr>
            <w:tcW w:w="3160" w:type="dxa"/>
            <w:vAlign w:val="bottom"/>
          </w:tcPr>
          <w:p>
            <w:pPr>
              <w:ind w:left="40"/>
              <w:spacing w:after="0"/>
              <w:rPr>
                <w:sz w:val="20"/>
                <w:szCs w:val="20"/>
                <w:color w:val="auto"/>
              </w:rPr>
            </w:pPr>
            <w:r>
              <w:rPr>
                <w:rFonts w:ascii="Arial" w:cs="Arial" w:eastAsia="Arial" w:hAnsi="Arial"/>
                <w:sz w:val="18"/>
                <w:szCs w:val="18"/>
                <w:color w:val="auto"/>
              </w:rPr>
              <w:t>Less: Net income attributable to</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color w:val="auto"/>
                <w:w w:val="91"/>
              </w:rPr>
              <w:t>noncontrolling interests and redeemable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78</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0"/>
                <w:szCs w:val="20"/>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157</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(37.5)</w:t>
            </w:r>
          </w:p>
        </w:tc>
      </w:tr>
      <w:tr>
        <w:trPr>
          <w:trHeight w:val="27"/>
        </w:trPr>
        <w:tc>
          <w:tcPr>
            <w:tcW w:w="3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b w:val="1"/>
                <w:bCs w:val="1"/>
                <w:color w:val="auto"/>
              </w:rPr>
              <w:t>2,988</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3,125</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5,135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rPr>
              <w:t>6,678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(23.1)%</w:t>
            </w:r>
          </w:p>
        </w:tc>
      </w:tr>
      <w:tr>
        <w:trPr>
          <w:trHeight w:val="34"/>
        </w:trPr>
        <w:tc>
          <w:tcPr>
            <w:tcW w:w="3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w w:val="95"/>
              </w:rPr>
              <w:t>attributable to Comcast Corporation</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b w:val="1"/>
                <w:bCs w:val="1"/>
                <w:color w:val="auto"/>
              </w:rPr>
              <w:t>0.65</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0.69</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1.12</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rPr>
              <w:t>1.47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(23.8)%</w:t>
            </w:r>
          </w:p>
        </w:tc>
      </w:tr>
      <w:tr>
        <w:trPr>
          <w:trHeight w:val="252"/>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w w:val="95"/>
              </w:rPr>
              <w:t>attributable to Comcast Corporation</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b w:val="1"/>
                <w:bCs w:val="1"/>
                <w:color w:val="auto"/>
              </w:rPr>
              <w:t>0.65</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0.68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1.11</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rPr>
              <w:t>1.45</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(23.4)%</w:t>
            </w:r>
          </w:p>
        </w:tc>
      </w:tr>
      <w:tr>
        <w:trPr>
          <w:trHeight w:val="34"/>
        </w:trPr>
        <w:tc>
          <w:tcPr>
            <w:tcW w:w="3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5"/>
        </w:trPr>
        <w:tc>
          <w:tcPr>
            <w:tcW w:w="3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335"/>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b w:val="1"/>
                <w:bCs w:val="1"/>
                <w:color w:val="auto"/>
              </w:rPr>
              <w:t>7,927</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8,716</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16,057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rPr>
              <w:t>17,269</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 Percentage changes that are considered not meaningful are denoted with NM.</w:t>
      </w:r>
    </w:p>
    <w:p>
      <w:pPr>
        <w:spacing w:after="0" w:line="73" w:lineRule="exact"/>
        <w:rPr>
          <w:sz w:val="20"/>
          <w:szCs w:val="20"/>
          <w:color w:val="auto"/>
        </w:rPr>
      </w:pPr>
    </w:p>
    <w:p>
      <w:pPr>
        <w:ind w:left="260" w:hanging="252"/>
        <w:spacing w:after="0" w:line="273"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35 for additional information, including our definition and our use of Adjusted EBITDA, and for a reconciliation from net income attributable to Comcast Corporation to Adjusted EBITDA.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Theme Parks, Sky, Cable Networks, Filmed Entertainment, Broadcast Television and Cable Communications drove decreases in consolidated revenue for the three months ended June 30, 2020.</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Theme Parks, Sky, Filmed Entertainment and Cable Networks drove decreases in consolidated revenue for the six months ended June 30, 2020, which were offset by increases in Cable Communications and Broadcast Television.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for our segments and other businesses is discussed separately below under the heading “Segment Operating Results.”</w:t>
      </w:r>
    </w:p>
    <w:p>
      <w:pPr>
        <w:sectPr>
          <w:pgSz w:w="11900" w:h="16838" w:orient="portrait"/>
          <w:cols w:equalWidth="0" w:num="1">
            <w:col w:w="11240"/>
          </w:cols>
          <w:pgMar w:left="320" w:top="175"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75"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 Cable Networks, Theme Parks, Cable Communications, Filmed Entertainment and Broadcast Television drove decreases in consolidated operating costs and expenses for the three months ended June 30, 2020.</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 Cable Networks, Filmed Entertainment, Theme Parks, Cable Communications and Broadcast Television drove decreases in consolidated operating costs and expenses for the six months ended June 30, 2020.</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for our segments and our corporate operations, businesses development initiatives and other businesses are discussed separately below under the heading “Segment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right"/>
              <w:ind w:right="733"/>
              <w:spacing w:after="0"/>
              <w:rPr>
                <w:sz w:val="20"/>
                <w:szCs w:val="20"/>
                <w:color w:val="auto"/>
              </w:rPr>
            </w:pPr>
            <w:r>
              <w:rPr>
                <w:rFonts w:ascii="Arial" w:cs="Arial" w:eastAsia="Arial" w:hAnsi="Arial"/>
                <w:sz w:val="14"/>
                <w:szCs w:val="14"/>
                <w:color w:val="auto"/>
              </w:rPr>
              <w:t>Three Months Ended</w:t>
            </w:r>
          </w:p>
        </w:tc>
        <w:tc>
          <w:tcPr>
            <w:tcW w:w="1340" w:type="dxa"/>
            <w:vAlign w:val="bottom"/>
          </w:tcPr>
          <w:p>
            <w:pPr>
              <w:jc w:val="center"/>
              <w:ind w:right="57"/>
              <w:spacing w:after="0"/>
              <w:rPr>
                <w:sz w:val="20"/>
                <w:szCs w:val="20"/>
                <w:color w:val="auto"/>
              </w:rPr>
            </w:pPr>
            <w:r>
              <w:rPr>
                <w:rFonts w:ascii="Arial" w:cs="Arial" w:eastAsia="Arial" w:hAnsi="Arial"/>
                <w:sz w:val="14"/>
                <w:szCs w:val="14"/>
                <w:color w:val="auto"/>
                <w:w w:val="90"/>
              </w:rPr>
              <w:t>Increase/</w:t>
            </w:r>
          </w:p>
        </w:tc>
        <w:tc>
          <w:tcPr>
            <w:tcW w:w="360" w:type="dxa"/>
            <w:vAlign w:val="bottom"/>
          </w:tcPr>
          <w:p>
            <w:pPr>
              <w:spacing w:after="0"/>
              <w:rPr>
                <w:sz w:val="14"/>
                <w:szCs w:val="14"/>
                <w:color w:val="auto"/>
              </w:rPr>
            </w:pPr>
          </w:p>
        </w:tc>
        <w:tc>
          <w:tcPr>
            <w:tcW w:w="2400" w:type="dxa"/>
            <w:vAlign w:val="bottom"/>
            <w:gridSpan w:val="3"/>
          </w:tcPr>
          <w:p>
            <w:pPr>
              <w:jc w:val="right"/>
              <w:ind w:right="813"/>
              <w:spacing w:after="0"/>
              <w:rPr>
                <w:sz w:val="20"/>
                <w:szCs w:val="20"/>
                <w:color w:val="auto"/>
              </w:rPr>
            </w:pPr>
            <w:r>
              <w:rPr>
                <w:rFonts w:ascii="Arial" w:cs="Arial" w:eastAsia="Arial" w:hAnsi="Arial"/>
                <w:sz w:val="14"/>
                <w:szCs w:val="14"/>
                <w:color w:val="auto"/>
              </w:rPr>
              <w:t>Six Months Ended</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Increase/</w:t>
            </w:r>
          </w:p>
        </w:tc>
      </w:tr>
      <w:tr>
        <w:trPr>
          <w:trHeight w:val="188"/>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r>
      <w:tr>
        <w:trPr>
          <w:trHeight w:val="263"/>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2019</w:t>
            </w: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1,937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2,036</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3,883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4,071</w:t>
            </w: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8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574</w:t>
            </w:r>
          </w:p>
        </w:tc>
        <w:tc>
          <w:tcPr>
            <w:tcW w:w="42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527</w:t>
            </w: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1,139</w:t>
            </w:r>
          </w:p>
        </w:tc>
        <w:tc>
          <w:tcPr>
            <w:tcW w:w="42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1,042</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9.3</w:t>
            </w: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Sky</w:t>
            </w:r>
          </w:p>
        </w:tc>
        <w:tc>
          <w:tcPr>
            <w:tcW w:w="28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673</w:t>
            </w: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1,438</w:t>
            </w:r>
          </w:p>
        </w:tc>
        <w:tc>
          <w:tcPr>
            <w:tcW w:w="42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1,414</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1.7</w:t>
            </w: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40</w:t>
            </w:r>
          </w:p>
        </w:tc>
        <w:tc>
          <w:tcPr>
            <w:tcW w:w="1340" w:type="dxa"/>
            <w:vAlign w:val="bottom"/>
          </w:tcPr>
          <w:p>
            <w:pPr>
              <w:jc w:val="right"/>
              <w:ind w:right="177"/>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3"/>
                <w:szCs w:val="23"/>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69</w:t>
            </w:r>
          </w:p>
        </w:tc>
        <w:tc>
          <w:tcPr>
            <w:tcW w:w="1300" w:type="dxa"/>
            <w:vAlign w:val="bottom"/>
          </w:tcPr>
          <w:p>
            <w:pPr>
              <w:jc w:val="right"/>
              <w:ind w:right="117"/>
              <w:spacing w:after="0"/>
              <w:rPr>
                <w:sz w:val="20"/>
                <w:szCs w:val="20"/>
                <w:color w:val="auto"/>
              </w:rPr>
            </w:pPr>
            <w:r>
              <w:rPr>
                <w:rFonts w:ascii="Arial" w:cs="Arial" w:eastAsia="Arial" w:hAnsi="Arial"/>
                <w:sz w:val="18"/>
                <w:szCs w:val="18"/>
                <w:color w:val="auto"/>
              </w:rPr>
              <w:t>(0.8)</w:t>
            </w:r>
          </w:p>
        </w:tc>
      </w:tr>
      <w:tr>
        <w:trPr>
          <w:trHeight w:val="27"/>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3,264</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13"/>
              <w:spacing w:after="0"/>
              <w:rPr>
                <w:sz w:val="20"/>
                <w:szCs w:val="20"/>
                <w:color w:val="auto"/>
              </w:rPr>
            </w:pPr>
            <w:r>
              <w:rPr>
                <w:rFonts w:ascii="Arial" w:cs="Arial" w:eastAsia="Arial" w:hAnsi="Arial"/>
                <w:sz w:val="18"/>
                <w:szCs w:val="18"/>
                <w:b w:val="1"/>
                <w:bCs w:val="1"/>
                <w:color w:val="auto"/>
              </w:rPr>
              <w:t>3,276</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rPr>
              <w:t>6,528</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13"/>
              <w:spacing w:after="0"/>
              <w:rPr>
                <w:sz w:val="20"/>
                <w:szCs w:val="20"/>
                <w:color w:val="auto"/>
              </w:rPr>
            </w:pPr>
            <w:r>
              <w:rPr>
                <w:rFonts w:ascii="Arial" w:cs="Arial" w:eastAsia="Arial" w:hAnsi="Arial"/>
                <w:sz w:val="18"/>
                <w:szCs w:val="18"/>
                <w:b w:val="1"/>
                <w:bCs w:val="1"/>
                <w:color w:val="auto"/>
              </w:rPr>
              <w:t>6,596</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4"/>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depreciation and amortization expense decreased for the three and six months ended June 30, 2020 compared to the same periods in 2019 primarily due to a decrease in depreciation at Cable Communications related to a reduction in capital expenditures on customer premise equipment, partially offset by an increase in the amortization of certain trade names beginning in the first quarter of 2020, which were previously accounted for as indefinite-lived intangible assets (see Note 10). During the first quarter of 2019, we recorded adjustments to the purchase price allocation of Sky, primarily related to intangible assets and property and equipment. This change resulted in an adjustment recorded in the first quarter of 2019 related to the fourth quarter of 2018 that increased depreciation and amortization expense by $53 million.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from acquisition-related intangible assets totaled $565 million and $1.1 billion for the three and six months ended June 30, 2020, respectively. Amortization expense from acquisition-related intangible assets totaled $499 million and $1 billion for the three and six months ended June 30, 2019, respectively. Amounts primarily relate to customer relationship intangible assets recorded in connection with the Sky transaction in the fourth quarter of 2018 and the NBCUniversal transaction in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decreased for the three months ended June 30, 2020 compared to the same period in 2019 primarily due to decreases in our debt outstanding. Interest expense increased for the six months ended June 30, 2020 compared to the same period in 2019 primarily due to a $140 million charge in the first quarter of 2020 related to the early redemption of senior notes due 2021, partially offset by decreases in our debt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8"/>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263"/>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2019</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300</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(368)</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w w:val="99"/>
              </w:rPr>
              <w:t>Realized and unrealized gains (losses) on equity securities, net</w:t>
            </w:r>
          </w:p>
        </w:tc>
        <w:tc>
          <w:tcPr>
            <w:tcW w:w="340" w:type="dxa"/>
            <w:vAlign w:val="bottom"/>
          </w:tcPr>
          <w:p>
            <w:pPr>
              <w:spacing w:after="0"/>
              <w:rPr>
                <w:sz w:val="23"/>
                <w:szCs w:val="23"/>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23"/>
                <w:szCs w:val="23"/>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408</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40" w:type="dxa"/>
            <w:vAlign w:val="bottom"/>
          </w:tcPr>
          <w:p>
            <w:pPr>
              <w:spacing w:after="0"/>
              <w:rPr>
                <w:sz w:val="23"/>
                <w:szCs w:val="23"/>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115</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3"/>
                <w:szCs w:val="23"/>
                <w:color w:val="auto"/>
              </w:rPr>
            </w:pP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153</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Total investment and other income (loss), net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8"/>
              <w:spacing w:after="0"/>
              <w:rPr>
                <w:sz w:val="20"/>
                <w:szCs w:val="20"/>
                <w:color w:val="auto"/>
              </w:rPr>
            </w:pPr>
            <w:r>
              <w:rPr>
                <w:rFonts w:ascii="Arial" w:cs="Arial" w:eastAsia="Arial" w:hAnsi="Arial"/>
                <w:sz w:val="18"/>
                <w:szCs w:val="18"/>
                <w:b w:val="1"/>
                <w:bCs w:val="1"/>
                <w:color w:val="auto"/>
              </w:rPr>
              <w:t>420</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(55)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8"/>
              <w:spacing w:after="0"/>
              <w:rPr>
                <w:sz w:val="20"/>
                <w:szCs w:val="20"/>
                <w:color w:val="auto"/>
              </w:rPr>
            </w:pPr>
            <w:r>
              <w:rPr>
                <w:rFonts w:ascii="Arial" w:cs="Arial" w:eastAsia="Arial" w:hAnsi="Arial"/>
                <w:sz w:val="18"/>
                <w:szCs w:val="18"/>
                <w:b w:val="1"/>
                <w:bCs w:val="1"/>
                <w:color w:val="auto"/>
              </w:rPr>
              <w:t>(296)</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621</w:t>
            </w:r>
          </w:p>
        </w:tc>
      </w:tr>
      <w:tr>
        <w:trPr>
          <w:trHeight w:val="34"/>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Income (Losses) of Investees, Net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equity in net income (losses) of investees, net for the three and six months ended June 30, 2020 compared to the same periods in 2019 were primarily due to our equity method investments in Atairos and Hulu. The income (losses) at Atairos were driven by fair value adjustments on its underlying investments. The equity in net income (losses) of Atairos and Hulu for the three and six months ended June 30, 2020 and 2019 are presented in the table below.</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7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8"/>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w w:val="89"/>
              </w:rPr>
              <w:t>2019</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Atairos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61"/>
              <w:spacing w:after="0"/>
              <w:rPr>
                <w:sz w:val="20"/>
                <w:szCs w:val="20"/>
                <w:color w:val="auto"/>
              </w:rPr>
            </w:pPr>
            <w:r>
              <w:rPr>
                <w:rFonts w:ascii="Arial" w:cs="Arial" w:eastAsia="Arial" w:hAnsi="Arial"/>
                <w:sz w:val="18"/>
                <w:szCs w:val="18"/>
                <w:color w:val="auto"/>
              </w:rPr>
              <w:t>446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
              <w:spacing w:after="0"/>
              <w:rPr>
                <w:sz w:val="20"/>
                <w:szCs w:val="20"/>
                <w:color w:val="auto"/>
              </w:rPr>
            </w:pPr>
            <w:r>
              <w:rPr>
                <w:rFonts w:ascii="Arial" w:cs="Arial" w:eastAsia="Arial" w:hAnsi="Arial"/>
                <w:sz w:val="18"/>
                <w:szCs w:val="18"/>
                <w:color w:val="auto"/>
              </w:rPr>
              <w:t>(135)</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268</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Hulu</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(79)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
              <w:spacing w:after="0"/>
              <w:rPr>
                <w:sz w:val="20"/>
                <w:szCs w:val="20"/>
                <w:color w:val="auto"/>
              </w:rPr>
            </w:pPr>
            <w:r>
              <w:rPr>
                <w:rFonts w:ascii="Arial" w:cs="Arial" w:eastAsia="Arial" w:hAnsi="Arial"/>
                <w:sz w:val="18"/>
                <w:szCs w:val="18"/>
                <w:color w:val="auto"/>
              </w:rPr>
              <w:t>(161)</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Gains (Losses) on Equity Securities, Net</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 in realized and unrealized gains (losses) on equity securities, net for the three months ended June 30, 2020 compared to the same period in 2019 was primarily due to gains related to our investment in Peloton of $86 million, which we sold in the second quarter of 2020, offset by losses on certain investments in the second quarter of 2020, compared to gains on investments, including $96 million related to our investment in Snap in the second quarter of 2019. The change in realized and unrealized gains (losses) on equity securities, net for the six months ended June 30, 2020 compared to the same period in 2019 was primarily due to losses on certain investments for the six months ended June 30, 2020, partially offset by gains related to our investment in Peloton, which we sold in the second quarter of 2020, compared to gains on investments, including $258 million related to our investment in Snap, which was sold in the fourth quarter of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change in other income (loss), net for the three months ended June 30, 2020 compared to the same period in 2019 primarily relates to foreign exchange remeasurement gains and gains related to insurance contracts in the second quarter of 2020, compared to foreign exchange remeasurement losses and an impairment of an equity method investment in the second quarter of 2019. The change in other income (loss), net for the six months ended June 30, 2020 compared to the same period in 2019 primarily relates to foreign exchange remeasurement gains for the six months ended June 30, 2020 compared to a gain of $159 million recorded in the prior year period related to the dilution of our Hulu ownership. See Note 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Tax Expense</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Income tax expense for the three and six months ended June 30, 2020 and 2019 reflects an effective income tax rate that differs from the federal statutory rate primarily due to state and foreign income taxes and adjustments associated with uncertain tax positions. The decrease in income tax expense for the three and six months ended June 30, 2020 compared to the same periods in 2019 was primarily due to lower income before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See Note 2 for our definition of Adjusted EBITDA and a reconciliation from the aggregate amount of Adjusted EBITDA for our reportable business segments to consolidated income before income taxes.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75"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center"/>
              <w:ind w:left="513"/>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jc w:val="center"/>
              <w:ind w:left="613"/>
              <w:spacing w:after="0"/>
              <w:rPr>
                <w:sz w:val="20"/>
                <w:szCs w:val="20"/>
                <w:color w:val="auto"/>
              </w:rPr>
            </w:pPr>
            <w:r>
              <w:rPr>
                <w:rFonts w:ascii="Arial" w:cs="Arial" w:eastAsia="Arial" w:hAnsi="Arial"/>
                <w:sz w:val="14"/>
                <w:szCs w:val="14"/>
                <w:color w:val="auto"/>
                <w:w w:val="90"/>
              </w:rPr>
              <w:t>Increase/</w:t>
            </w:r>
          </w:p>
        </w:tc>
        <w:tc>
          <w:tcPr>
            <w:tcW w:w="1080" w:type="dxa"/>
            <w:vAlign w:val="bottom"/>
          </w:tcPr>
          <w:p>
            <w:pPr>
              <w:spacing w:after="0"/>
              <w:rPr>
                <w:sz w:val="14"/>
                <w:szCs w:val="14"/>
                <w:color w:val="auto"/>
              </w:rPr>
            </w:pPr>
          </w:p>
        </w:tc>
      </w:tr>
      <w:tr>
        <w:trPr>
          <w:trHeight w:val="188"/>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93"/>
              <w:spacing w:after="0"/>
              <w:rPr>
                <w:sz w:val="20"/>
                <w:szCs w:val="20"/>
                <w:color w:val="auto"/>
              </w:rPr>
            </w:pPr>
            <w:r>
              <w:rPr>
                <w:rFonts w:ascii="Arial" w:cs="Arial" w:eastAsia="Arial" w:hAnsi="Arial"/>
                <w:sz w:val="14"/>
                <w:szCs w:val="14"/>
                <w:color w:val="auto"/>
                <w:w w:val="89"/>
              </w:rPr>
              <w:t>June 30,</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color w:val="auto"/>
                <w:w w:val="89"/>
              </w:rPr>
              <w:t>(Decrease)</w:t>
            </w:r>
          </w:p>
        </w:tc>
        <w:tc>
          <w:tcPr>
            <w:tcW w:w="108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33"/>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5,000</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4,663</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337</w:t>
            </w:r>
          </w:p>
        </w:tc>
        <w:tc>
          <w:tcPr>
            <w:tcW w:w="108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5,415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5,594</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(179)</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(3.2)</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877</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982</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(105)</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(10.7)</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326</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244</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82</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33.9</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2,004</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1,933</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71</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3.6</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428</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607</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(179)</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(29.6)</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378</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427</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(49)</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(11.0)</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14,428</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14,450</w:t>
            </w:r>
          </w:p>
        </w:tc>
        <w:tc>
          <w:tcPr>
            <w:tcW w:w="540" w:type="dxa"/>
            <w:vAlign w:val="bottom"/>
          </w:tcPr>
          <w:p>
            <w:pPr>
              <w:spacing w:after="0"/>
              <w:rPr>
                <w:sz w:val="20"/>
                <w:szCs w:val="20"/>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b w:val="1"/>
                <w:bCs w:val="1"/>
                <w:color w:val="auto"/>
              </w:rPr>
              <w:t>(22)</w:t>
            </w:r>
          </w:p>
        </w:tc>
        <w:tc>
          <w:tcPr>
            <w:tcW w:w="1080" w:type="dxa"/>
            <w:vAlign w:val="bottom"/>
          </w:tcPr>
          <w:p>
            <w:pPr>
              <w:jc w:val="right"/>
              <w:ind w:right="111"/>
              <w:spacing w:after="0"/>
              <w:rPr>
                <w:sz w:val="20"/>
                <w:szCs w:val="20"/>
                <w:color w:val="auto"/>
              </w:rPr>
            </w:pPr>
            <w:r>
              <w:rPr>
                <w:rFonts w:ascii="Arial" w:cs="Arial" w:eastAsia="Arial" w:hAnsi="Arial"/>
                <w:sz w:val="18"/>
                <w:szCs w:val="18"/>
                <w:b w:val="1"/>
                <w:bCs w:val="1"/>
                <w:color w:val="auto"/>
              </w:rPr>
              <w:t>(0.2)</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3,203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3,372</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(169)</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(5.0)</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1,933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1,898</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35</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1.8</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601</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624</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(23)</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(3.7)</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834</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1,004</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(170)</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(16.9)</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398</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390</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8</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2.0</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1,283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1,308</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(25)</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(1.9)</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6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8,252</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8,596</w:t>
            </w:r>
          </w:p>
        </w:tc>
        <w:tc>
          <w:tcPr>
            <w:tcW w:w="540" w:type="dxa"/>
            <w:vAlign w:val="bottom"/>
          </w:tcPr>
          <w:p>
            <w:pPr>
              <w:spacing w:after="0"/>
              <w:rPr>
                <w:sz w:val="20"/>
                <w:szCs w:val="20"/>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(344)</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(4.0)</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6,176</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5,854</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753"/>
              <w:spacing w:after="0"/>
              <w:rPr>
                <w:sz w:val="20"/>
                <w:szCs w:val="20"/>
                <w:color w:val="auto"/>
              </w:rPr>
            </w:pPr>
            <w:r>
              <w:rPr>
                <w:rFonts w:ascii="Arial" w:cs="Arial" w:eastAsia="Arial" w:hAnsi="Arial"/>
                <w:sz w:val="18"/>
                <w:szCs w:val="18"/>
                <w:b w:val="1"/>
                <w:bCs w:val="1"/>
                <w:color w:val="auto"/>
              </w:rPr>
              <w:t>322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5.5 %</w:t>
            </w:r>
          </w:p>
        </w:tc>
      </w:tr>
      <w:tr>
        <w:trPr>
          <w:trHeight w:val="34"/>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46"/>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center"/>
              <w:ind w:left="493"/>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jc w:val="center"/>
              <w:ind w:left="613"/>
              <w:spacing w:after="0"/>
              <w:rPr>
                <w:sz w:val="20"/>
                <w:szCs w:val="20"/>
                <w:color w:val="auto"/>
              </w:rPr>
            </w:pPr>
            <w:r>
              <w:rPr>
                <w:rFonts w:ascii="Arial" w:cs="Arial" w:eastAsia="Arial" w:hAnsi="Arial"/>
                <w:sz w:val="14"/>
                <w:szCs w:val="14"/>
                <w:color w:val="auto"/>
                <w:w w:val="90"/>
              </w:rPr>
              <w:t>Increase/</w:t>
            </w:r>
          </w:p>
        </w:tc>
        <w:tc>
          <w:tcPr>
            <w:tcW w:w="1080" w:type="dxa"/>
            <w:vAlign w:val="bottom"/>
          </w:tcPr>
          <w:p>
            <w:pPr>
              <w:spacing w:after="0"/>
              <w:rPr>
                <w:sz w:val="24"/>
                <w:szCs w:val="24"/>
                <w:color w:val="auto"/>
              </w:rPr>
            </w:pPr>
          </w:p>
        </w:tc>
      </w:tr>
      <w:tr>
        <w:trPr>
          <w:trHeight w:val="188"/>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93"/>
              <w:spacing w:after="0"/>
              <w:rPr>
                <w:sz w:val="20"/>
                <w:szCs w:val="20"/>
                <w:color w:val="auto"/>
              </w:rPr>
            </w:pPr>
            <w:r>
              <w:rPr>
                <w:rFonts w:ascii="Arial" w:cs="Arial" w:eastAsia="Arial" w:hAnsi="Arial"/>
                <w:sz w:val="14"/>
                <w:szCs w:val="14"/>
                <w:color w:val="auto"/>
                <w:w w:val="89"/>
              </w:rPr>
              <w:t>June 30,</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color w:val="auto"/>
                <w:w w:val="89"/>
              </w:rPr>
              <w:t>(Decrease)</w:t>
            </w:r>
          </w:p>
        </w:tc>
        <w:tc>
          <w:tcPr>
            <w:tcW w:w="1080" w:type="dxa"/>
            <w:vAlign w:val="bottom"/>
            <w:tcBorders>
              <w:bottom w:val="single" w:sz="8" w:color="auto"/>
            </w:tcBorders>
          </w:tcPr>
          <w:p>
            <w:pPr>
              <w:spacing w:after="0"/>
              <w:rPr>
                <w:sz w:val="16"/>
                <w:szCs w:val="16"/>
                <w:color w:val="auto"/>
              </w:rPr>
            </w:pPr>
          </w:p>
        </w:tc>
      </w:tr>
      <w:tr>
        <w:trPr>
          <w:trHeight w:val="263"/>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33"/>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10,001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9,240</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761</w:t>
            </w:r>
          </w:p>
        </w:tc>
        <w:tc>
          <w:tcPr>
            <w:tcW w:w="108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11,047</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11,222</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(175)</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(1.6)</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1,776</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1,972</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(196)</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(9.9)</w:t>
            </w:r>
          </w:p>
        </w:tc>
      </w:tr>
      <w:tr>
        <w:trPr>
          <w:trHeight w:val="270"/>
        </w:trPr>
        <w:tc>
          <w:tcPr>
            <w:tcW w:w="4660" w:type="dxa"/>
            <w:vAlign w:val="bottom"/>
          </w:tcPr>
          <w:p>
            <w:pPr>
              <w:ind w:left="72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669</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469</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200</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42.6</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4,047</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3,824</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223</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5.8</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985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1,163</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(178)</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(15.3)</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821</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840</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(19)</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(2.1)</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29,346</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28,730</w:t>
            </w:r>
          </w:p>
        </w:tc>
        <w:tc>
          <w:tcPr>
            <w:tcW w:w="540" w:type="dxa"/>
            <w:vAlign w:val="bottom"/>
          </w:tcPr>
          <w:p>
            <w:pPr>
              <w:spacing w:after="0"/>
              <w:rPr>
                <w:sz w:val="20"/>
                <w:szCs w:val="20"/>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b w:val="1"/>
                <w:bCs w:val="1"/>
                <w:color w:val="auto"/>
              </w:rPr>
              <w:t>616</w:t>
            </w:r>
          </w:p>
        </w:tc>
        <w:tc>
          <w:tcPr>
            <w:tcW w:w="1080" w:type="dxa"/>
            <w:vAlign w:val="bottom"/>
          </w:tcPr>
          <w:p>
            <w:pPr>
              <w:jc w:val="right"/>
              <w:ind w:right="171"/>
              <w:spacing w:after="0"/>
              <w:rPr>
                <w:sz w:val="20"/>
                <w:szCs w:val="20"/>
                <w:color w:val="auto"/>
              </w:rPr>
            </w:pPr>
            <w:r>
              <w:rPr>
                <w:rFonts w:ascii="Arial" w:cs="Arial" w:eastAsia="Arial" w:hAnsi="Arial"/>
                <w:sz w:val="18"/>
                <w:szCs w:val="18"/>
                <w:b w:val="1"/>
                <w:bCs w:val="1"/>
                <w:color w:val="auto"/>
              </w:rPr>
              <w:t>2.1</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6,682</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6,791</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(109)</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(1.6)</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3,945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3,778</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167</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4.4</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1,238</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1,249</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(11)</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(0.9)</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1,788</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1,976</w:t>
            </w:r>
          </w:p>
        </w:tc>
        <w:tc>
          <w:tcPr>
            <w:tcW w:w="540" w:type="dxa"/>
            <w:vAlign w:val="bottom"/>
          </w:tcPr>
          <w:p>
            <w:pPr>
              <w:spacing w:after="0"/>
              <w:rPr>
                <w:sz w:val="23"/>
                <w:szCs w:val="23"/>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(188)</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(9.5)</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804</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781</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23</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2.9</w:t>
            </w: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2,637</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2,573</w:t>
            </w:r>
          </w:p>
        </w:tc>
        <w:tc>
          <w:tcPr>
            <w:tcW w:w="540" w:type="dxa"/>
            <w:vAlign w:val="bottom"/>
          </w:tcPr>
          <w:p>
            <w:pPr>
              <w:spacing w:after="0"/>
              <w:rPr>
                <w:sz w:val="23"/>
                <w:szCs w:val="23"/>
                <w:color w:val="auto"/>
              </w:rPr>
            </w:pPr>
          </w:p>
        </w:tc>
        <w:tc>
          <w:tcPr>
            <w:tcW w:w="1780" w:type="dxa"/>
            <w:vAlign w:val="bottom"/>
          </w:tcPr>
          <w:p>
            <w:pPr>
              <w:jc w:val="right"/>
              <w:ind w:right="753"/>
              <w:spacing w:after="0"/>
              <w:rPr>
                <w:sz w:val="20"/>
                <w:szCs w:val="20"/>
                <w:color w:val="auto"/>
              </w:rPr>
            </w:pPr>
            <w:r>
              <w:rPr>
                <w:rFonts w:ascii="Arial" w:cs="Arial" w:eastAsia="Arial" w:hAnsi="Arial"/>
                <w:sz w:val="18"/>
                <w:szCs w:val="18"/>
                <w:color w:val="auto"/>
              </w:rPr>
              <w:t>64</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2.5</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6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17,094</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17,148</w:t>
            </w:r>
          </w:p>
        </w:tc>
        <w:tc>
          <w:tcPr>
            <w:tcW w:w="540" w:type="dxa"/>
            <w:vAlign w:val="bottom"/>
          </w:tcPr>
          <w:p>
            <w:pPr>
              <w:spacing w:after="0"/>
              <w:rPr>
                <w:sz w:val="20"/>
                <w:szCs w:val="20"/>
                <w:color w:val="auto"/>
              </w:rPr>
            </w:pPr>
          </w:p>
        </w:tc>
        <w:tc>
          <w:tcPr>
            <w:tcW w:w="1780" w:type="dxa"/>
            <w:vAlign w:val="bottom"/>
          </w:tcPr>
          <w:p>
            <w:pPr>
              <w:jc w:val="right"/>
              <w:ind w:right="693"/>
              <w:spacing w:after="0"/>
              <w:rPr>
                <w:sz w:val="20"/>
                <w:szCs w:val="20"/>
                <w:color w:val="auto"/>
              </w:rPr>
            </w:pPr>
            <w:r>
              <w:rPr>
                <w:rFonts w:ascii="Arial" w:cs="Arial" w:eastAsia="Arial" w:hAnsi="Arial"/>
                <w:sz w:val="18"/>
                <w:szCs w:val="18"/>
                <w:color w:val="auto"/>
              </w:rPr>
              <w:t>(54)</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(0.3)</w:t>
            </w:r>
          </w:p>
        </w:tc>
      </w:tr>
      <w:tr>
        <w:trPr>
          <w:trHeight w:val="27"/>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12,252</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11,582</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753"/>
              <w:spacing w:after="0"/>
              <w:rPr>
                <w:sz w:val="20"/>
                <w:szCs w:val="20"/>
                <w:color w:val="auto"/>
              </w:rPr>
            </w:pPr>
            <w:r>
              <w:rPr>
                <w:rFonts w:ascii="Arial" w:cs="Arial" w:eastAsia="Arial" w:hAnsi="Arial"/>
                <w:sz w:val="18"/>
                <w:szCs w:val="18"/>
                <w:b w:val="1"/>
                <w:bCs w:val="1"/>
                <w:color w:val="auto"/>
              </w:rPr>
              <w:t>670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5.8 %</w:t>
            </w:r>
          </w:p>
        </w:tc>
      </w:tr>
      <w:tr>
        <w:trPr>
          <w:trHeight w:val="34"/>
        </w:trPr>
        <w:tc>
          <w:tcPr>
            <w:tcW w:w="4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75"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793"/>
              <w:spacing w:after="0"/>
              <w:rPr>
                <w:sz w:val="20"/>
                <w:szCs w:val="20"/>
                <w:color w:val="auto"/>
              </w:rPr>
            </w:pPr>
            <w:r>
              <w:rPr>
                <w:rFonts w:ascii="Arial" w:cs="Arial" w:eastAsia="Arial" w:hAnsi="Arial"/>
                <w:sz w:val="14"/>
                <w:szCs w:val="14"/>
                <w:color w:val="auto"/>
              </w:rPr>
              <w:t>Net Additions</w:t>
            </w:r>
          </w:p>
        </w:tc>
        <w:tc>
          <w:tcPr>
            <w:tcW w:w="700" w:type="dxa"/>
            <w:vAlign w:val="bottom"/>
            <w:tcBorders>
              <w:bottom w:val="single" w:sz="8" w:color="auto"/>
            </w:tcBorders>
          </w:tcPr>
          <w:p>
            <w:pPr>
              <w:spacing w:after="0"/>
              <w:rPr>
                <w:sz w:val="16"/>
                <w:szCs w:val="16"/>
                <w:color w:val="auto"/>
              </w:rPr>
            </w:pPr>
          </w:p>
        </w:tc>
      </w:tr>
      <w:tr>
        <w:trPr>
          <w:trHeight w:val="156"/>
        </w:trPr>
        <w:tc>
          <w:tcPr>
            <w:tcW w:w="5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60" w:type="dxa"/>
            <w:vAlign w:val="bottom"/>
            <w:gridSpan w:val="2"/>
          </w:tcPr>
          <w:p>
            <w:pPr>
              <w:jc w:val="right"/>
              <w:ind w:right="452"/>
              <w:spacing w:after="0" w:line="156" w:lineRule="exact"/>
              <w:rPr>
                <w:sz w:val="20"/>
                <w:szCs w:val="20"/>
                <w:color w:val="auto"/>
              </w:rPr>
            </w:pPr>
            <w:r>
              <w:rPr>
                <w:rFonts w:ascii="Arial" w:cs="Arial" w:eastAsia="Arial" w:hAnsi="Arial"/>
                <w:sz w:val="14"/>
                <w:szCs w:val="14"/>
                <w:color w:val="auto"/>
              </w:rPr>
              <w:t>Three Months Ended</w:t>
            </w:r>
          </w:p>
        </w:tc>
        <w:tc>
          <w:tcPr>
            <w:tcW w:w="1840" w:type="dxa"/>
            <w:vAlign w:val="bottom"/>
            <w:gridSpan w:val="2"/>
          </w:tcPr>
          <w:p>
            <w:pPr>
              <w:jc w:val="right"/>
              <w:ind w:right="351"/>
              <w:spacing w:after="0" w:line="156" w:lineRule="exact"/>
              <w:rPr>
                <w:sz w:val="20"/>
                <w:szCs w:val="20"/>
                <w:color w:val="auto"/>
              </w:rPr>
            </w:pPr>
            <w:r>
              <w:rPr>
                <w:rFonts w:ascii="Arial" w:cs="Arial" w:eastAsia="Arial" w:hAnsi="Arial"/>
                <w:sz w:val="14"/>
                <w:szCs w:val="14"/>
                <w:color w:val="auto"/>
              </w:rPr>
              <w:t>Six Months Ended</w:t>
            </w:r>
          </w:p>
        </w:tc>
      </w:tr>
      <w:tr>
        <w:trPr>
          <w:trHeight w:val="188"/>
        </w:trPr>
        <w:tc>
          <w:tcPr>
            <w:tcW w:w="51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2020</w:t>
            </w: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2019</w:t>
            </w: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29,750</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28,508</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241</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123</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601</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2,384</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2,356</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(24)</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29</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(12)</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32,134</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30,864</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217</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152</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589</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453</w:t>
            </w:r>
          </w:p>
        </w:tc>
      </w:tr>
      <w:tr>
        <w:trPr>
          <w:trHeight w:val="27"/>
        </w:trPr>
        <w:tc>
          <w:tcPr>
            <w:tcW w:w="5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One product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11,332</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9,526</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531</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231</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1,085</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512</w:t>
            </w: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Two product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8,742</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8,952</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(107)</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(181)</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Three or more product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9,676</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10,030</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(184)</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(303)</w:t>
            </w: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27,220</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25,631</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340</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182</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806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534</w:t>
            </w: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2,209</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2,176</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(17)</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28</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29,429</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27,807</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323</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209</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800</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584</w:t>
            </w:r>
          </w:p>
        </w:tc>
      </w:tr>
      <w:tr>
        <w:trPr>
          <w:trHeight w:val="27"/>
        </w:trPr>
        <w:tc>
          <w:tcPr>
            <w:tcW w:w="5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19,473</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20,642</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(427)</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(209)</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(814)</w:t>
            </w:r>
          </w:p>
        </w:tc>
        <w:tc>
          <w:tcPr>
            <w:tcW w:w="70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894</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999</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(51)</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(72)</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20,367</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21,641</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(477)</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(224)</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(887)</w:t>
            </w:r>
          </w:p>
        </w:tc>
        <w:tc>
          <w:tcPr>
            <w:tcW w:w="7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5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9,698</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10,008</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(142)</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(236)</w:t>
            </w: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518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1,331</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1,324</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(16)</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17</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(12)</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11,029</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11,331</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(158)</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(248)</w:t>
            </w: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Wireless</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Wireless lines</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2,393</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1,586</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126</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181</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342</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high-speed internet and video customers as of June 30, 2020 included prepaid customers totaling approximately 286,000 and 9,000, respectively. Wireless lines represent the number of activated eligible wireless devices on customers’ accounts. Individual customer relationships may have multiple wireless lines. Customer metrics for 2020 do not include certain high-risk customers who continue to receive service following nonpayment or customers in the free Internet Essentials offer (refer to “Impacts of COVID-19” for further discussion).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3"/>
        </w:trPr>
        <w:tc>
          <w:tcPr>
            <w:tcW w:w="47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w w:val="96"/>
              </w:rPr>
              <w:t>2019</w:t>
            </w: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Average monthly total revenue per customer relationship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81"/>
              <w:spacing w:after="0"/>
              <w:rPr>
                <w:sz w:val="20"/>
                <w:szCs w:val="20"/>
                <w:color w:val="auto"/>
              </w:rPr>
            </w:pPr>
            <w:r>
              <w:rPr>
                <w:rFonts w:ascii="Arial" w:cs="Arial" w:eastAsia="Arial" w:hAnsi="Arial"/>
                <w:sz w:val="18"/>
                <w:szCs w:val="18"/>
                <w:color w:val="auto"/>
              </w:rPr>
              <w:t>150.17</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156.44</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1"/>
              <w:spacing w:after="0"/>
              <w:rPr>
                <w:sz w:val="20"/>
                <w:szCs w:val="20"/>
                <w:color w:val="auto"/>
              </w:rPr>
            </w:pPr>
            <w:r>
              <w:rPr>
                <w:rFonts w:ascii="Arial" w:cs="Arial" w:eastAsia="Arial" w:hAnsi="Arial"/>
                <w:sz w:val="18"/>
                <w:szCs w:val="18"/>
                <w:color w:val="auto"/>
              </w:rPr>
              <w:t>153.61</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156.29</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w w:val="96"/>
              </w:rPr>
              <w:t>Average monthly Adjusted EBITDA per customer relationship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81"/>
              <w:spacing w:after="0"/>
              <w:rPr>
                <w:sz w:val="20"/>
                <w:szCs w:val="20"/>
                <w:color w:val="auto"/>
              </w:rPr>
            </w:pPr>
            <w:r>
              <w:rPr>
                <w:rFonts w:ascii="Arial" w:cs="Arial" w:eastAsia="Arial" w:hAnsi="Arial"/>
                <w:sz w:val="18"/>
                <w:szCs w:val="18"/>
                <w:color w:val="auto"/>
              </w:rPr>
              <w:t>64.28</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63.38</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1"/>
              <w:spacing w:after="0"/>
              <w:rPr>
                <w:sz w:val="20"/>
                <w:szCs w:val="20"/>
                <w:color w:val="auto"/>
              </w:rPr>
            </w:pPr>
            <w:r>
              <w:rPr>
                <w:rFonts w:ascii="Arial" w:cs="Arial" w:eastAsia="Arial" w:hAnsi="Arial"/>
                <w:sz w:val="18"/>
                <w:szCs w:val="18"/>
                <w:color w:val="auto"/>
              </w:rPr>
              <w:t>64.13</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63.01</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high-speed internet, video and voice services is also impacted by changes in the allocation of revenue among services sold in a bundle, the allocation does not impact average monthly total revenue per customer relationship. Each of our services has a different contribution to operating margin and we also use average monthly Adjusted EBITDA per customer relationship to evaluate the profitability of our customer base across our service offerings. We believe these metrics are useful to understand the trends in our business and average monthly Adjusted EBITDA per customer relationship is useful particularly as we continue to focus on growing our higher-margin businesses, including residential high-speed internet and business services.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75"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for the three and six months ended June 30, 2020 compared to the same periods in 2019 due to increases in the number of residential high-speed internet customers and increases in average rates. Average rates in the second quarter of 2020 were negatively impacted by waived fees due to COVID-19 and the impacts of customer adjustments. Refer to video description for further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decreased for the three and six months ended June 30, 2020 compared to the same periods in 2019 due to declines in the number of residential video customers, partially offset by increases in average rates. Average rates in the second quarter of 2020 were negatively impacted by customer adjustments accrued as a result of provisions in our programming distribution agreements with regional sports networks related to canceled sporting events. For customers receiving bundled services, the revenue reduction was allocated across each of the services in the bundle.</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expect that we will continue to experience, declines in the number of residential video customers due to competitive pressures, and we expect that our video revenue will continue to decline as a result of the economic and competitive environment and shifting video consumption patterns.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 decreased for the three and six months ended June 30, 2020 compared to the same periods in 2019 primarily due to decreases in average rates and the number of residential voice customers. We expect that the number of residential voice customers and voice revenue will continue to decline.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and six months ended June 30, 2020 compared to the same periods in 2019 primarily due to increases in the number of customer lines.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Revenue increased for the three and six months ended June 30, 2020 compared to the same periods in 2019 due to increases in the number of customers receiving our services and increases in average rates. The rates of growth were reduced due to the negative impacts of COVID-19 on small businesses.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decreased for the three and six months ended June 30, 2020 compared to the same periods in 2019 due to reduced spending from advertisers due to COVID-19, partially offset by increases in political advertising.</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both the three and six months ended June 30, 2020 and 2019, 4% of our advertising revenue was generated from our NBCUniversal segments. These amounts are eliminated in our condensed consolidated financial statements but are included in the amounts presented above.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decreased for the three months ended June 30, 2020 compared to the same period in 2019 due to certain waived billing and collection fees due to COVID-19 and decreases in security and automation services, partially offset by an increase in the licensing of our technology platforms to other multichannel video providers. Revenue decreased for the six months ended June 30, 2020 compared to the same period in 2019 due to certain waived billing and collection fees due to COVID-19, partially offset by an increase in the licensing of our technology platforms to other multichannel video providers.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Programming expenses decreased for the three and six months ended June 30, 2020 compared to the same periods in 2019 primarily due to adjustment provisions in our programming distribution agreements with regional sports networks related to canceled sporting events as a result of COVID-19. Excluding these adjustments, programming expenses increased due to increases in retransmission consent and sports programming fees, partially offset by declines in the number of video subscribers. We anticipate that our programming expenses will be impacted by higher rate increases compared to those experienced in 2019 due to the timing of contract renewals in 2020, partially offset by expected declines in the number of residential video customers and potentially additional contractual adjustments for regional sports networks.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75"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Technical and product support expenses increased for the three and six months ended June 30, 2020 compared to the same periods in 2019 primarily due to increased costs related to COVID-19, including additional compensation costs for certain personnel, and also increased costs associated with our wireless phone service, partially offset by cost savings initiatives and a reduction in activity in certain aspects of our business.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service expenses decreased for the three and six months ended June 30, 2020 compared to the same periods in 2019 due to lower labor costs as a result of reduced call volumes, partially offset by increases in costs as a result of additional Xfinity stores.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marketing and promotion expenses decreased for the three and six months ended June 30, 2020 compared to the same periods in 2019 primarily due to decreases in spending.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increased for the three and six months ended June 30, 2020 compared to the same periods in 2019 primarily due to increases in the related rates of these fees.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operating costs and expenses decreased for the three months ended June 30, 2020 compared to the same period in 2019 due to decreased costs associated with our advertising business, partially offset by increases in bad debt expense as a result of COVID-19 and personnel-related costs. Other operating costs and expenses increased for the six months ended June 30, 2020 compared to the same period in 2019 due to increases in bad debt expense as a result of COVID-19 and personnel-related costs, partially offset by lower third party advertising costs.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margin is Adjusted EBITDA as a percentage of revenue. We believe this metric is useful particularly as we continue to focus on growing our higher-margin businesses, including residential high-speed internet and business services, and on reducing losses related to our wireless phone service and improving overall operating cost management.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operating margin for the three and six months ended June 30, 2020 was 42.8% and 41.7%, respectively. While the accrued adjustments for regional sports networks did not impact Adjusted EBITDA in the second quarter of 2020, they resulted in an increase to operating margins. Our operating margin for the three and six months ended June 30, 2019 was 40.5% and 40.3%, respectively. The most significant operating costs and expenses are the programming expenses we incur to provide content to our video customers, which decreased 5.0% and 1.6% for the three and six months ended June 30, 2020, respectively, compared to the same periods in 2019. Losses from our wireless phone service were $37 million and $96 million for the three and six months ended June 30, 2020, respectively, compared to losses of $88 million and $191 million for the three and six months ended June 30, 2019,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w w:val="89"/>
              </w:rPr>
              <w:t>2019</w:t>
            </w: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2,515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2,947</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(432)</w:t>
            </w: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2,364</w:t>
            </w:r>
          </w:p>
        </w:tc>
        <w:tc>
          <w:tcPr>
            <w:tcW w:w="680" w:type="dxa"/>
            <w:vAlign w:val="bottom"/>
          </w:tcPr>
          <w:p>
            <w:pPr>
              <w:spacing w:after="0"/>
              <w:rPr>
                <w:sz w:val="23"/>
                <w:szCs w:val="23"/>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2,402</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(38)</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1,194</w:t>
            </w:r>
          </w:p>
        </w:tc>
        <w:tc>
          <w:tcPr>
            <w:tcW w:w="680" w:type="dxa"/>
            <w:vAlign w:val="bottom"/>
          </w:tcPr>
          <w:p>
            <w:pPr>
              <w:spacing w:after="0"/>
              <w:rPr>
                <w:sz w:val="23"/>
                <w:szCs w:val="23"/>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1,457</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(263)</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(18.1)</w:t>
            </w: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87</w:t>
            </w:r>
          </w:p>
        </w:tc>
        <w:tc>
          <w:tcPr>
            <w:tcW w:w="680" w:type="dxa"/>
            <w:vAlign w:val="bottom"/>
          </w:tcPr>
          <w:p>
            <w:pPr>
              <w:spacing w:after="0"/>
              <w:rPr>
                <w:sz w:val="23"/>
                <w:szCs w:val="23"/>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1,464</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(1,377)</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(94.1)</w:t>
            </w: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(64)</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NM</w:t>
            </w:r>
          </w:p>
        </w:tc>
      </w:tr>
      <w:tr>
        <w:trPr>
          <w:trHeight w:val="27"/>
        </w:trPr>
        <w:tc>
          <w:tcPr>
            <w:tcW w:w="4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b w:val="1"/>
                <w:bCs w:val="1"/>
                <w:color w:val="auto"/>
              </w:rPr>
              <w:t>6,124</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8,206</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(2,082)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r>
      <w:tr>
        <w:trPr>
          <w:trHeight w:val="34"/>
        </w:trPr>
        <w:tc>
          <w:tcPr>
            <w:tcW w:w="4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1,243</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1,201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42</w:t>
            </w:r>
          </w:p>
        </w:tc>
        <w:tc>
          <w:tcPr>
            <w:tcW w:w="10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641</w:t>
            </w:r>
          </w:p>
        </w:tc>
        <w:tc>
          <w:tcPr>
            <w:tcW w:w="680" w:type="dxa"/>
            <w:vAlign w:val="bottom"/>
          </w:tcPr>
          <w:p>
            <w:pPr>
              <w:spacing w:after="0"/>
              <w:rPr>
                <w:sz w:val="23"/>
                <w:szCs w:val="23"/>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534</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107</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20.0</w:t>
            </w: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228</w:t>
            </w:r>
          </w:p>
        </w:tc>
        <w:tc>
          <w:tcPr>
            <w:tcW w:w="680" w:type="dxa"/>
            <w:vAlign w:val="bottom"/>
          </w:tcPr>
          <w:p>
            <w:pPr>
              <w:spacing w:after="0"/>
              <w:rPr>
                <w:sz w:val="23"/>
                <w:szCs w:val="23"/>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183</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45</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24.8</w:t>
            </w: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(399)</w:t>
            </w:r>
          </w:p>
        </w:tc>
        <w:tc>
          <w:tcPr>
            <w:tcW w:w="680" w:type="dxa"/>
            <w:vAlign w:val="bottom"/>
          </w:tcPr>
          <w:p>
            <w:pPr>
              <w:spacing w:after="0"/>
              <w:rPr>
                <w:sz w:val="23"/>
                <w:szCs w:val="23"/>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590</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(989)</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(167.7)</w:t>
            </w:r>
          </w:p>
        </w:tc>
      </w:tr>
      <w:tr>
        <w:trPr>
          <w:trHeight w:val="270"/>
        </w:trPr>
        <w:tc>
          <w:tcPr>
            <w:tcW w:w="482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(184)</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109</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NM</w:t>
            </w:r>
          </w:p>
        </w:tc>
      </w:tr>
      <w:tr>
        <w:trPr>
          <w:trHeight w:val="27"/>
        </w:trPr>
        <w:tc>
          <w:tcPr>
            <w:tcW w:w="4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b w:val="1"/>
                <w:bCs w:val="1"/>
                <w:color w:val="auto"/>
              </w:rPr>
              <w:t>1,638</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2,324</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(686)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(29.5)%</w:t>
            </w:r>
          </w:p>
        </w:tc>
      </w:tr>
      <w:tr>
        <w:trPr>
          <w:trHeight w:val="34"/>
        </w:trPr>
        <w:tc>
          <w:tcPr>
            <w:tcW w:w="4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86"/>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73"/>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75"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3"/>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5,374</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5,815</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(441)</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5,048</w:t>
            </w:r>
          </w:p>
        </w:tc>
        <w:tc>
          <w:tcPr>
            <w:tcW w:w="64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4,869</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179</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3.7</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2,564</w:t>
            </w:r>
          </w:p>
        </w:tc>
        <w:tc>
          <w:tcPr>
            <w:tcW w:w="64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3,225</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(661)</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(20.5)</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956</w:t>
            </w:r>
          </w:p>
        </w:tc>
        <w:tc>
          <w:tcPr>
            <w:tcW w:w="64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2,740</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(1,784)</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(65.1)</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(84)</w:t>
            </w:r>
          </w:p>
        </w:tc>
        <w:tc>
          <w:tcPr>
            <w:tcW w:w="64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(130)</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46</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13,858</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b w:val="1"/>
                <w:bCs w:val="1"/>
                <w:color w:val="auto"/>
              </w:rPr>
              <w:t>16,519</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(2,661)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2,491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2,463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28</w:t>
            </w: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1,142</w:t>
            </w:r>
          </w:p>
        </w:tc>
        <w:tc>
          <w:tcPr>
            <w:tcW w:w="64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921</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221</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24.0</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334</w:t>
            </w:r>
          </w:p>
        </w:tc>
        <w:tc>
          <w:tcPr>
            <w:tcW w:w="64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547</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(213)</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(38.8)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(323)</w:t>
            </w:r>
          </w:p>
        </w:tc>
        <w:tc>
          <w:tcPr>
            <w:tcW w:w="64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1,088</w:t>
            </w:r>
          </w:p>
        </w:tc>
        <w:tc>
          <w:tcPr>
            <w:tcW w:w="5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(1,411)</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(129.7)</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(259)</w:t>
            </w:r>
          </w:p>
        </w:tc>
        <w:tc>
          <w:tcPr>
            <w:tcW w:w="64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(358)</w:t>
            </w:r>
          </w:p>
        </w:tc>
        <w:tc>
          <w:tcPr>
            <w:tcW w:w="5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99</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3,385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b w:val="1"/>
                <w:bCs w:val="1"/>
                <w:color w:val="auto"/>
              </w:rPr>
              <w:t>4,661</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(1,276)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(27.4)%</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center"/>
              <w:ind w:left="515"/>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center"/>
              <w:ind w:left="575"/>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95"/>
              <w:spacing w:after="0"/>
              <w:rPr>
                <w:sz w:val="20"/>
                <w:szCs w:val="20"/>
                <w:color w:val="auto"/>
              </w:rPr>
            </w:pPr>
            <w:r>
              <w:rPr>
                <w:rFonts w:ascii="Arial" w:cs="Arial" w:eastAsia="Arial" w:hAnsi="Arial"/>
                <w:sz w:val="14"/>
                <w:szCs w:val="14"/>
                <w:color w:val="auto"/>
                <w:w w:val="89"/>
              </w:rPr>
              <w:t>June 30,</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5"/>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1,455</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1,707</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(252)</w:t>
            </w: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679</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931</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(252)</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(27.0)</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381</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309</w:t>
            </w:r>
          </w:p>
        </w:tc>
        <w:tc>
          <w:tcPr>
            <w:tcW w:w="540" w:type="dxa"/>
            <w:vAlign w:val="bottom"/>
          </w:tcPr>
          <w:p>
            <w:pPr>
              <w:spacing w:after="0"/>
              <w:rPr>
                <w:sz w:val="23"/>
                <w:szCs w:val="23"/>
                <w:color w:val="auto"/>
              </w:rPr>
            </w:pPr>
          </w:p>
        </w:tc>
        <w:tc>
          <w:tcPr>
            <w:tcW w:w="1620" w:type="dxa"/>
            <w:vAlign w:val="bottom"/>
          </w:tcPr>
          <w:p>
            <w:pPr>
              <w:jc w:val="right"/>
              <w:ind w:right="575"/>
              <w:spacing w:after="0"/>
              <w:rPr>
                <w:sz w:val="20"/>
                <w:szCs w:val="20"/>
                <w:color w:val="auto"/>
              </w:rPr>
            </w:pPr>
            <w:r>
              <w:rPr>
                <w:rFonts w:ascii="Arial" w:cs="Arial" w:eastAsia="Arial" w:hAnsi="Arial"/>
                <w:sz w:val="18"/>
                <w:szCs w:val="18"/>
                <w:color w:val="auto"/>
              </w:rPr>
              <w:t>72</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23.1</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2,515</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2,947</w:t>
            </w:r>
          </w:p>
        </w:tc>
        <w:tc>
          <w:tcPr>
            <w:tcW w:w="540" w:type="dxa"/>
            <w:vAlign w:val="bottom"/>
          </w:tcPr>
          <w:p>
            <w:pPr>
              <w:spacing w:after="0"/>
              <w:rPr>
                <w:sz w:val="20"/>
                <w:szCs w:val="20"/>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b w:val="1"/>
                <w:bCs w:val="1"/>
                <w:color w:val="auto"/>
              </w:rPr>
              <w:t>(432)</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(14.7)</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881</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1,274</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(393)</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(30.9)</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333</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370</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(37)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(10.2)</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(44)</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(42.9)</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1,272</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1,746</w:t>
            </w:r>
          </w:p>
        </w:tc>
        <w:tc>
          <w:tcPr>
            <w:tcW w:w="540" w:type="dxa"/>
            <w:vAlign w:val="bottom"/>
          </w:tcPr>
          <w:p>
            <w:pPr>
              <w:spacing w:after="0"/>
              <w:rPr>
                <w:sz w:val="20"/>
                <w:szCs w:val="20"/>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(474)</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(27.2)</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1,243</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1,201</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5"/>
              <w:spacing w:after="0"/>
              <w:rPr>
                <w:sz w:val="20"/>
                <w:szCs w:val="20"/>
                <w:color w:val="auto"/>
              </w:rPr>
            </w:pPr>
            <w:r>
              <w:rPr>
                <w:rFonts w:ascii="Arial" w:cs="Arial" w:eastAsia="Arial" w:hAnsi="Arial"/>
                <w:sz w:val="18"/>
                <w:szCs w:val="18"/>
                <w:b w:val="1"/>
                <w:bCs w:val="1"/>
                <w:color w:val="auto"/>
              </w:rPr>
              <w:t>42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3.5 %</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2"/>
        </w:trPr>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center"/>
              <w:ind w:left="515"/>
              <w:spacing w:after="0"/>
              <w:rPr>
                <w:sz w:val="20"/>
                <w:szCs w:val="20"/>
                <w:color w:val="auto"/>
              </w:rPr>
            </w:pPr>
            <w:r>
              <w:rPr>
                <w:rFonts w:ascii="Arial" w:cs="Arial" w:eastAsia="Arial" w:hAnsi="Arial"/>
                <w:sz w:val="14"/>
                <w:szCs w:val="14"/>
                <w:color w:val="auto"/>
                <w:w w:val="93"/>
              </w:rPr>
              <w:t>Six Months Ended</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jc w:val="center"/>
              <w:ind w:left="575"/>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95"/>
              <w:spacing w:after="0"/>
              <w:rPr>
                <w:sz w:val="20"/>
                <w:szCs w:val="20"/>
                <w:color w:val="auto"/>
              </w:rPr>
            </w:pPr>
            <w:r>
              <w:rPr>
                <w:rFonts w:ascii="Arial" w:cs="Arial" w:eastAsia="Arial" w:hAnsi="Arial"/>
                <w:sz w:val="14"/>
                <w:szCs w:val="14"/>
                <w:color w:val="auto"/>
                <w:w w:val="89"/>
              </w:rPr>
              <w:t>June 30,</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5"/>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3,163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3,442</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(279)</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1,513</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1,783</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(270)</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(15.1)</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698</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590</w:t>
            </w:r>
          </w:p>
        </w:tc>
        <w:tc>
          <w:tcPr>
            <w:tcW w:w="540" w:type="dxa"/>
            <w:vAlign w:val="bottom"/>
          </w:tcPr>
          <w:p>
            <w:pPr>
              <w:spacing w:after="0"/>
              <w:rPr>
                <w:sz w:val="23"/>
                <w:szCs w:val="23"/>
                <w:color w:val="auto"/>
              </w:rPr>
            </w:pPr>
          </w:p>
        </w:tc>
        <w:tc>
          <w:tcPr>
            <w:tcW w:w="1620" w:type="dxa"/>
            <w:vAlign w:val="bottom"/>
          </w:tcPr>
          <w:p>
            <w:pPr>
              <w:jc w:val="right"/>
              <w:ind w:right="575"/>
              <w:spacing w:after="0"/>
              <w:rPr>
                <w:sz w:val="20"/>
                <w:szCs w:val="20"/>
                <w:color w:val="auto"/>
              </w:rPr>
            </w:pPr>
            <w:r>
              <w:rPr>
                <w:rFonts w:ascii="Arial" w:cs="Arial" w:eastAsia="Arial" w:hAnsi="Arial"/>
                <w:sz w:val="18"/>
                <w:szCs w:val="18"/>
                <w:color w:val="auto"/>
              </w:rPr>
              <w:t>108</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18.3</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5,374</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5,815</w:t>
            </w:r>
          </w:p>
        </w:tc>
        <w:tc>
          <w:tcPr>
            <w:tcW w:w="540" w:type="dxa"/>
            <w:vAlign w:val="bottom"/>
          </w:tcPr>
          <w:p>
            <w:pPr>
              <w:spacing w:after="0"/>
              <w:rPr>
                <w:sz w:val="20"/>
                <w:szCs w:val="20"/>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b w:val="1"/>
                <w:bCs w:val="1"/>
                <w:color w:val="auto"/>
              </w:rPr>
              <w:t>(441)</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(7.6)</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1,999</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2,417</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(418)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(17.3)</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719</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729</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165</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206</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(41)</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(19.9)</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2,883</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3,352</w:t>
            </w:r>
          </w:p>
        </w:tc>
        <w:tc>
          <w:tcPr>
            <w:tcW w:w="540" w:type="dxa"/>
            <w:vAlign w:val="bottom"/>
          </w:tcPr>
          <w:p>
            <w:pPr>
              <w:spacing w:after="0"/>
              <w:rPr>
                <w:sz w:val="20"/>
                <w:szCs w:val="20"/>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(469)</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(14.0)</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2,491</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2,463</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5"/>
              <w:spacing w:after="0"/>
              <w:rPr>
                <w:sz w:val="20"/>
                <w:szCs w:val="20"/>
                <w:color w:val="auto"/>
              </w:rPr>
            </w:pPr>
            <w:r>
              <w:rPr>
                <w:rFonts w:ascii="Arial" w:cs="Arial" w:eastAsia="Arial" w:hAnsi="Arial"/>
                <w:sz w:val="18"/>
                <w:szCs w:val="18"/>
                <w:b w:val="1"/>
                <w:bCs w:val="1"/>
                <w:color w:val="auto"/>
              </w:rPr>
              <w:t>28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75"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Cable Networks revenue decreased for the three and six months ended June 30, 2020 compared to the same periods in 2019 due to decreases in distribution revenue and advertising revenue, which were offset by increases in content licensing and other revenue. Distribution revenue decreased primarily due to credits accrued at some of our regional sports networks resulting from the reduced number of games planned by professional sports leagues due to COVID-</w:t>
      </w:r>
    </w:p>
    <w:p>
      <w:pPr>
        <w:spacing w:after="0" w:line="2" w:lineRule="exact"/>
        <w:rPr>
          <w:sz w:val="20"/>
          <w:szCs w:val="20"/>
          <w:color w:val="auto"/>
        </w:rPr>
      </w:pPr>
    </w:p>
    <w:p>
      <w:pPr>
        <w:jc w:val="both"/>
        <w:ind w:firstLine="8"/>
        <w:spacing w:after="0" w:line="288" w:lineRule="auto"/>
        <w:tabs>
          <w:tab w:leader="none" w:pos="2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of our distribution agreements with multichannel video providers require contractual adjustments if a minimum number of sporting events does not occur. Excluding these credits, distribution revenue decreased due to increased declines in the number of subscribers at our cable networks, partially offset by increases in the contractual rates charged under distribution agreements. Advertising revenue decreased compared to the same periods in 2019 primarily due to reduced spending from advertisers as a result of COVID-19, including from the postponement and cancellation of sporting events and continued audience ratings declines at our networks. The decrease in advertising revenue for the six months ended June 30, 2020 compared to the same period in 2019 was partially offset by higher prices for advertising units sold. Content licensing and other revenue increased primarily due to the timing of content provided under our licensing agreements, including transactions with Peacock in the second quarter of 2020.</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2020, 13% and 14%, respectively, of our Cable Networks segment revenue was generated from our Cable Communications segment. For both the three and six months ended June 30, 2019, 15% of our Cable Networks segment revenue was generated from our Cable Communications segment. These amounts are eliminated in our condensed consolidated financial statements but are included in the amounts presented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costs and expenses decreased for the three months ended June 30, 2020 compared to the same period in 2019 due to decreases in programming and production costs, advertising, marketing and promotion costs and other operating and administrative costs. The decrease in programming and production costs was primarily due to decreases in sports programming costs recognized as a result of professional sports leagues postponing and canceling events as a result of COVID-19, partially offset by an increase in other programming costs at our networks. The decrease in advertising, marketing and promotion costs was due to lower spending on marketing related to our cable networks. The decrease in other operating and administrative costs was primarily due to lower employee-related and other overhead costs as a result of cost savings initiatives.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costs and expenses decreased for the six months ended June 30, 2020 compared to the same period in 2019 primarily due to decreases in programming and production costs and advertising, marketing and promotion costs. The decrease in programming and production costs was primarily due to decreases in sports programming costs recognized as a result of professional sports leagues postponing and canceling events as a result of COVID-19, partially offset by increases in other programming costs at our networks. The decrease in advertising, marketing and promotion costs was due to lower spending on marketing related to our cable networks and digital properties.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135"/>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3"/>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959</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1,329</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(370)</w:t>
            </w:r>
          </w:p>
        </w:tc>
        <w:tc>
          <w:tcPr>
            <w:tcW w:w="10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749</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472</w:t>
            </w:r>
          </w:p>
        </w:tc>
        <w:tc>
          <w:tcPr>
            <w:tcW w:w="540" w:type="dxa"/>
            <w:vAlign w:val="bottom"/>
          </w:tcPr>
          <w:p>
            <w:pPr>
              <w:spacing w:after="0"/>
              <w:rPr>
                <w:sz w:val="23"/>
                <w:szCs w:val="23"/>
                <w:color w:val="auto"/>
              </w:rPr>
            </w:pPr>
          </w:p>
        </w:tc>
        <w:tc>
          <w:tcPr>
            <w:tcW w:w="1620" w:type="dxa"/>
            <w:vAlign w:val="bottom"/>
          </w:tcPr>
          <w:p>
            <w:pPr>
              <w:jc w:val="right"/>
              <w:ind w:right="575"/>
              <w:spacing w:after="0"/>
              <w:rPr>
                <w:sz w:val="20"/>
                <w:szCs w:val="20"/>
                <w:color w:val="auto"/>
              </w:rPr>
            </w:pPr>
            <w:r>
              <w:rPr>
                <w:rFonts w:ascii="Arial" w:cs="Arial" w:eastAsia="Arial" w:hAnsi="Arial"/>
                <w:sz w:val="18"/>
                <w:szCs w:val="18"/>
                <w:color w:val="auto"/>
              </w:rPr>
              <w:t>277</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58.5</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656</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601</w:t>
            </w:r>
          </w:p>
        </w:tc>
        <w:tc>
          <w:tcPr>
            <w:tcW w:w="540" w:type="dxa"/>
            <w:vAlign w:val="bottom"/>
          </w:tcPr>
          <w:p>
            <w:pPr>
              <w:spacing w:after="0"/>
              <w:rPr>
                <w:sz w:val="23"/>
                <w:szCs w:val="23"/>
                <w:color w:val="auto"/>
              </w:rPr>
            </w:pPr>
          </w:p>
        </w:tc>
        <w:tc>
          <w:tcPr>
            <w:tcW w:w="1620" w:type="dxa"/>
            <w:vAlign w:val="bottom"/>
          </w:tcPr>
          <w:p>
            <w:pPr>
              <w:jc w:val="right"/>
              <w:ind w:right="575"/>
              <w:spacing w:after="0"/>
              <w:rPr>
                <w:sz w:val="20"/>
                <w:szCs w:val="20"/>
                <w:color w:val="auto"/>
              </w:rPr>
            </w:pPr>
            <w:r>
              <w:rPr>
                <w:rFonts w:ascii="Arial" w:cs="Arial" w:eastAsia="Arial" w:hAnsi="Arial"/>
                <w:sz w:val="18"/>
                <w:szCs w:val="18"/>
                <w:color w:val="auto"/>
              </w:rPr>
              <w:t>55</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9.2</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2,364</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2,402</w:t>
            </w:r>
          </w:p>
        </w:tc>
        <w:tc>
          <w:tcPr>
            <w:tcW w:w="540" w:type="dxa"/>
            <w:vAlign w:val="bottom"/>
          </w:tcPr>
          <w:p>
            <w:pPr>
              <w:spacing w:after="0"/>
              <w:rPr>
                <w:sz w:val="20"/>
                <w:szCs w:val="20"/>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b w:val="1"/>
                <w:bCs w:val="1"/>
                <w:color w:val="auto"/>
              </w:rPr>
              <w:t>(38)</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(1.6)</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1,323</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1,369</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(46)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(3.4)</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357</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395</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(38)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(9.7)</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(61)</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(58.4)</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1,723</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1,868</w:t>
            </w:r>
          </w:p>
        </w:tc>
        <w:tc>
          <w:tcPr>
            <w:tcW w:w="540" w:type="dxa"/>
            <w:vAlign w:val="bottom"/>
          </w:tcPr>
          <w:p>
            <w:pPr>
              <w:spacing w:after="0"/>
              <w:rPr>
                <w:sz w:val="20"/>
                <w:szCs w:val="20"/>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(145)</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(7.8)</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641</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534</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5"/>
              <w:spacing w:after="0"/>
              <w:rPr>
                <w:sz w:val="20"/>
                <w:szCs w:val="20"/>
                <w:color w:val="auto"/>
              </w:rPr>
            </w:pPr>
            <w:r>
              <w:rPr>
                <w:rFonts w:ascii="Arial" w:cs="Arial" w:eastAsia="Arial" w:hAnsi="Arial"/>
                <w:sz w:val="18"/>
                <w:szCs w:val="18"/>
                <w:b w:val="1"/>
                <w:bCs w:val="1"/>
                <w:color w:val="auto"/>
              </w:rPr>
              <w:t>107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20.0 %</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94"/>
        </w:trPr>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175"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135"/>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3"/>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2,277</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2,646</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(369)</w:t>
            </w: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1,484</w:t>
            </w:r>
          </w:p>
        </w:tc>
        <w:tc>
          <w:tcPr>
            <w:tcW w:w="6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1,032</w:t>
            </w:r>
          </w:p>
        </w:tc>
        <w:tc>
          <w:tcPr>
            <w:tcW w:w="540" w:type="dxa"/>
            <w:vAlign w:val="bottom"/>
          </w:tcPr>
          <w:p>
            <w:pPr>
              <w:spacing w:after="0"/>
              <w:rPr>
                <w:sz w:val="23"/>
                <w:szCs w:val="23"/>
                <w:color w:val="auto"/>
              </w:rPr>
            </w:pPr>
          </w:p>
        </w:tc>
        <w:tc>
          <w:tcPr>
            <w:tcW w:w="1620" w:type="dxa"/>
            <w:vAlign w:val="bottom"/>
          </w:tcPr>
          <w:p>
            <w:pPr>
              <w:jc w:val="right"/>
              <w:ind w:right="575"/>
              <w:spacing w:after="0"/>
              <w:rPr>
                <w:sz w:val="20"/>
                <w:szCs w:val="20"/>
                <w:color w:val="auto"/>
              </w:rPr>
            </w:pPr>
            <w:r>
              <w:rPr>
                <w:rFonts w:ascii="Arial" w:cs="Arial" w:eastAsia="Arial" w:hAnsi="Arial"/>
                <w:sz w:val="18"/>
                <w:szCs w:val="18"/>
                <w:color w:val="auto"/>
              </w:rPr>
              <w:t>452</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43.7</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1,287</w:t>
            </w:r>
          </w:p>
        </w:tc>
        <w:tc>
          <w:tcPr>
            <w:tcW w:w="6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1,191</w:t>
            </w:r>
          </w:p>
        </w:tc>
        <w:tc>
          <w:tcPr>
            <w:tcW w:w="540" w:type="dxa"/>
            <w:vAlign w:val="bottom"/>
          </w:tcPr>
          <w:p>
            <w:pPr>
              <w:spacing w:after="0"/>
              <w:rPr>
                <w:sz w:val="23"/>
                <w:szCs w:val="23"/>
                <w:color w:val="auto"/>
              </w:rPr>
            </w:pPr>
          </w:p>
        </w:tc>
        <w:tc>
          <w:tcPr>
            <w:tcW w:w="1620" w:type="dxa"/>
            <w:vAlign w:val="bottom"/>
          </w:tcPr>
          <w:p>
            <w:pPr>
              <w:jc w:val="right"/>
              <w:ind w:right="575"/>
              <w:spacing w:after="0"/>
              <w:rPr>
                <w:sz w:val="20"/>
                <w:szCs w:val="20"/>
                <w:color w:val="auto"/>
              </w:rPr>
            </w:pPr>
            <w:r>
              <w:rPr>
                <w:rFonts w:ascii="Arial" w:cs="Arial" w:eastAsia="Arial" w:hAnsi="Arial"/>
                <w:sz w:val="18"/>
                <w:szCs w:val="18"/>
                <w:color w:val="auto"/>
              </w:rPr>
              <w:t>96</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5,048</w:t>
            </w:r>
          </w:p>
        </w:tc>
        <w:tc>
          <w:tcPr>
            <w:tcW w:w="66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4,869</w:t>
            </w:r>
          </w:p>
        </w:tc>
        <w:tc>
          <w:tcPr>
            <w:tcW w:w="540" w:type="dxa"/>
            <w:vAlign w:val="bottom"/>
          </w:tcPr>
          <w:p>
            <w:pPr>
              <w:spacing w:after="0"/>
              <w:rPr>
                <w:sz w:val="20"/>
                <w:szCs w:val="20"/>
                <w:color w:val="auto"/>
              </w:rPr>
            </w:pPr>
          </w:p>
        </w:tc>
        <w:tc>
          <w:tcPr>
            <w:tcW w:w="1620" w:type="dxa"/>
            <w:vAlign w:val="bottom"/>
          </w:tcPr>
          <w:p>
            <w:pPr>
              <w:jc w:val="right"/>
              <w:ind w:right="575"/>
              <w:spacing w:after="0"/>
              <w:rPr>
                <w:sz w:val="20"/>
                <w:szCs w:val="20"/>
                <w:color w:val="auto"/>
              </w:rPr>
            </w:pPr>
            <w:r>
              <w:rPr>
                <w:rFonts w:ascii="Arial" w:cs="Arial" w:eastAsia="Arial" w:hAnsi="Arial"/>
                <w:sz w:val="18"/>
                <w:szCs w:val="18"/>
                <w:b w:val="1"/>
                <w:bCs w:val="1"/>
                <w:color w:val="auto"/>
              </w:rPr>
              <w:t>179</w:t>
            </w:r>
          </w:p>
        </w:tc>
        <w:tc>
          <w:tcPr>
            <w:tcW w:w="1020" w:type="dxa"/>
            <w:vAlign w:val="bottom"/>
          </w:tcPr>
          <w:p>
            <w:pPr>
              <w:jc w:val="right"/>
              <w:ind w:right="172"/>
              <w:spacing w:after="0"/>
              <w:rPr>
                <w:sz w:val="20"/>
                <w:szCs w:val="20"/>
                <w:color w:val="auto"/>
              </w:rPr>
            </w:pPr>
            <w:r>
              <w:rPr>
                <w:rFonts w:ascii="Arial" w:cs="Arial" w:eastAsia="Arial" w:hAnsi="Arial"/>
                <w:sz w:val="18"/>
                <w:szCs w:val="18"/>
                <w:b w:val="1"/>
                <w:bCs w:val="1"/>
                <w:color w:val="auto"/>
              </w:rPr>
              <w:t>3.7</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2,975</w:t>
            </w:r>
          </w:p>
        </w:tc>
        <w:tc>
          <w:tcPr>
            <w:tcW w:w="6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2,946</w:t>
            </w:r>
          </w:p>
        </w:tc>
        <w:tc>
          <w:tcPr>
            <w:tcW w:w="540" w:type="dxa"/>
            <w:vAlign w:val="bottom"/>
          </w:tcPr>
          <w:p>
            <w:pPr>
              <w:spacing w:after="0"/>
              <w:rPr>
                <w:sz w:val="23"/>
                <w:szCs w:val="23"/>
                <w:color w:val="auto"/>
              </w:rPr>
            </w:pPr>
          </w:p>
        </w:tc>
        <w:tc>
          <w:tcPr>
            <w:tcW w:w="1620" w:type="dxa"/>
            <w:vAlign w:val="bottom"/>
          </w:tcPr>
          <w:p>
            <w:pPr>
              <w:jc w:val="right"/>
              <w:ind w:right="575"/>
              <w:spacing w:after="0"/>
              <w:rPr>
                <w:sz w:val="20"/>
                <w:szCs w:val="20"/>
                <w:color w:val="auto"/>
              </w:rPr>
            </w:pPr>
            <w:r>
              <w:rPr>
                <w:rFonts w:ascii="Arial" w:cs="Arial" w:eastAsia="Arial" w:hAnsi="Arial"/>
                <w:sz w:val="18"/>
                <w:szCs w:val="18"/>
                <w:color w:val="auto"/>
              </w:rPr>
              <w:t>29</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1.0</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768</w:t>
            </w:r>
          </w:p>
        </w:tc>
        <w:tc>
          <w:tcPr>
            <w:tcW w:w="6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777</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(9)</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163</w:t>
            </w:r>
          </w:p>
        </w:tc>
        <w:tc>
          <w:tcPr>
            <w:tcW w:w="6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225</w:t>
            </w:r>
          </w:p>
        </w:tc>
        <w:tc>
          <w:tcPr>
            <w:tcW w:w="540" w:type="dxa"/>
            <w:vAlign w:val="bottom"/>
          </w:tcPr>
          <w:p>
            <w:pPr>
              <w:spacing w:after="0"/>
              <w:rPr>
                <w:sz w:val="23"/>
                <w:szCs w:val="23"/>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(62)</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(27.6)</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3,906</w:t>
            </w:r>
          </w:p>
        </w:tc>
        <w:tc>
          <w:tcPr>
            <w:tcW w:w="66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3,948</w:t>
            </w:r>
          </w:p>
        </w:tc>
        <w:tc>
          <w:tcPr>
            <w:tcW w:w="540" w:type="dxa"/>
            <w:vAlign w:val="bottom"/>
          </w:tcPr>
          <w:p>
            <w:pPr>
              <w:spacing w:after="0"/>
              <w:rPr>
                <w:sz w:val="20"/>
                <w:szCs w:val="20"/>
                <w:color w:val="auto"/>
              </w:rPr>
            </w:pPr>
          </w:p>
        </w:tc>
        <w:tc>
          <w:tcPr>
            <w:tcW w:w="1620" w:type="dxa"/>
            <w:vAlign w:val="bottom"/>
          </w:tcPr>
          <w:p>
            <w:pPr>
              <w:jc w:val="right"/>
              <w:ind w:right="515"/>
              <w:spacing w:after="0"/>
              <w:rPr>
                <w:sz w:val="20"/>
                <w:szCs w:val="20"/>
                <w:color w:val="auto"/>
              </w:rPr>
            </w:pPr>
            <w:r>
              <w:rPr>
                <w:rFonts w:ascii="Arial" w:cs="Arial" w:eastAsia="Arial" w:hAnsi="Arial"/>
                <w:sz w:val="18"/>
                <w:szCs w:val="18"/>
                <w:color w:val="auto"/>
              </w:rPr>
              <w:t>(42)</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1,142</w:t>
            </w: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921</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5"/>
              <w:spacing w:after="0"/>
              <w:rPr>
                <w:sz w:val="20"/>
                <w:szCs w:val="20"/>
                <w:color w:val="auto"/>
              </w:rPr>
            </w:pPr>
            <w:r>
              <w:rPr>
                <w:rFonts w:ascii="Arial" w:cs="Arial" w:eastAsia="Arial" w:hAnsi="Arial"/>
                <w:sz w:val="18"/>
                <w:szCs w:val="18"/>
                <w:b w:val="1"/>
                <w:bCs w:val="1"/>
                <w:color w:val="auto"/>
              </w:rPr>
              <w:t>221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24.0 %</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Broadcast Television revenue decreased for the three months ended June 30, 2020 compared to the same period in 2019 due to decreases in advertising revenue, partially offset by increases in content licensing revenue and distribution and other revenue. Advertising revenue decreased for the three months ended June 30, 2020 compared to the same period in 2019 due to reduced spending from advertisers as a result of COVID-19, including from the postponement and cancellation of sporting events, and continued declines in audience ratings. The increase in content licensing revenue was primarily due to the timing of content provided under our licensing agreements, including transactions with Peacock in the second quarter of 2020. The increase in distribution and other revenue was primarily due to increases in fees recognized under our retransmission consent agreements.</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Broadcast Television revenue increased for the six months ended June 30, 2020 compared to the same period in 2019 due to increases in content licensing revenue and distribution and other revenue, partially offset by decreases in advertising revenue. The increase in content licensing revenue was primarily due to the timing of content provided under our licensing agreements, including transactions with Peacock in the second quarter of 2020. The increase in distribution and other revenue was primarily due to increases in fees recognized under our retransmission consent agreements. The decrease in advertising revenue compared to the same period in 2019 was due to reduced spending from advertisers as a result of COVID-19, including from the postponement and cancellation of sporting events, and continued declines in audience ratings, which were partially offset by higher prices for advertising units sold.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costs and expenses decreased for the three months ended June 30, 2020 compared to the same period in 2019 due to decreases in advertising, marketing and promotion costs, programming and production costs, and other operating and administrative costs. The decrease in advertising, marketing and promotions costs was primarily due to reduced spending on marketing related to our programming. The decrease in programming and production costs was primarily due to decreases in the recognition of sports programming costs as a result of professional sports leagues postponing and canceling events as a result of COVID-19, decreases in entertainment programming costs and due to the impact of the updated accounting guidance, which removed certain limitations on the amounts capitalized for episodic television series and had a favorable impact on programming and production expense in the current period (see Note 8), partially offset by higher studio production costs. The decrease in other operating and administrative costs was due to decreased overhead costs as part of cost savings initiatives and lower employee-related costs.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costs and expenses decreased for the six months ended June 30, 2020 compared to the same period in 2019 primarily due to decreases in advertising, marketing and promotion costs, partially offset by increases in programming and production costs. The decrease in advertising, marketing and promotion costs was due to lower spending on marketing related to our programming. The increase in programming and production costs was primarily due to higher studio production costs, which was partially offset by decreases in the recognition of sports programming costs as a result of professional sports leagues postponing and canceling events as a result of COVID-19, as well as the impact of the adoption of updated accounting guidance in the first quarter of 2020, which removed certain limitations on the amounts capitalized for episodic television series and had a favorable impact on programming and production expense in the current period (see Note 8).</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75"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center"/>
              <w:ind w:left="514"/>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89"/>
              </w:rPr>
              <w:t>June 30,</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3"/>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252</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(244)</w:t>
            </w:r>
          </w:p>
        </w:tc>
        <w:tc>
          <w:tcPr>
            <w:tcW w:w="102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850</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712</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138</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19.5</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229</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229</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0.2</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264</w:t>
            </w:r>
          </w:p>
        </w:tc>
        <w:tc>
          <w:tcPr>
            <w:tcW w:w="540" w:type="dxa"/>
            <w:vAlign w:val="bottom"/>
          </w:tcPr>
          <w:p>
            <w:pPr>
              <w:spacing w:after="0"/>
              <w:rPr>
                <w:sz w:val="23"/>
                <w:szCs w:val="23"/>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(157)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(59.6)</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1,194</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1,457</w:t>
            </w:r>
          </w:p>
        </w:tc>
        <w:tc>
          <w:tcPr>
            <w:tcW w:w="54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b w:val="1"/>
                <w:bCs w:val="1"/>
                <w:color w:val="auto"/>
              </w:rPr>
              <w:t>(263)</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(18.1)</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594</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601</w:t>
            </w:r>
          </w:p>
        </w:tc>
        <w:tc>
          <w:tcPr>
            <w:tcW w:w="540" w:type="dxa"/>
            <w:vAlign w:val="bottom"/>
          </w:tcPr>
          <w:p>
            <w:pPr>
              <w:spacing w:after="0"/>
              <w:rPr>
                <w:sz w:val="23"/>
                <w:szCs w:val="23"/>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206</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294</w:t>
            </w:r>
          </w:p>
        </w:tc>
        <w:tc>
          <w:tcPr>
            <w:tcW w:w="540" w:type="dxa"/>
            <w:vAlign w:val="bottom"/>
          </w:tcPr>
          <w:p>
            <w:pPr>
              <w:spacing w:after="0"/>
              <w:rPr>
                <w:sz w:val="23"/>
                <w:szCs w:val="23"/>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(88)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(30.5)</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166</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379</w:t>
            </w:r>
          </w:p>
        </w:tc>
        <w:tc>
          <w:tcPr>
            <w:tcW w:w="540" w:type="dxa"/>
            <w:vAlign w:val="bottom"/>
          </w:tcPr>
          <w:p>
            <w:pPr>
              <w:spacing w:after="0"/>
              <w:rPr>
                <w:sz w:val="23"/>
                <w:szCs w:val="23"/>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(213)</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(56.1)</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966</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1,274</w:t>
            </w:r>
          </w:p>
        </w:tc>
        <w:tc>
          <w:tcPr>
            <w:tcW w:w="54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(308)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(24.2)</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228</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183</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45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24.8 %</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54"/>
        </w:trPr>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center"/>
              <w:ind w:left="514"/>
              <w:spacing w:after="0"/>
              <w:rPr>
                <w:sz w:val="20"/>
                <w:szCs w:val="20"/>
                <w:color w:val="auto"/>
              </w:rPr>
            </w:pPr>
            <w:r>
              <w:rPr>
                <w:rFonts w:ascii="Arial" w:cs="Arial" w:eastAsia="Arial" w:hAnsi="Arial"/>
                <w:sz w:val="14"/>
                <w:szCs w:val="14"/>
                <w:color w:val="auto"/>
                <w:w w:val="93"/>
              </w:rPr>
              <w:t>Six Months Ended</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89"/>
              </w:rPr>
              <w:t>June 30,</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3"/>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2019</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325</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697</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(372)</w:t>
            </w:r>
          </w:p>
        </w:tc>
        <w:tc>
          <w:tcPr>
            <w:tcW w:w="10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1,541</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1,529</w:t>
            </w:r>
          </w:p>
        </w:tc>
        <w:tc>
          <w:tcPr>
            <w:tcW w:w="54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12</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0.8</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496</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(96)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(19.2)</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298</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503</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(205)</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(40.8)</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2,564</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3,225</w:t>
            </w:r>
          </w:p>
        </w:tc>
        <w:tc>
          <w:tcPr>
            <w:tcW w:w="540" w:type="dxa"/>
            <w:vAlign w:val="bottom"/>
          </w:tcPr>
          <w:p>
            <w:pPr>
              <w:spacing w:after="0"/>
              <w:rPr>
                <w:sz w:val="20"/>
                <w:szCs w:val="20"/>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(661)</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(20.5)</w:t>
            </w:r>
          </w:p>
        </w:tc>
      </w:tr>
      <w:tr>
        <w:trPr>
          <w:trHeight w:val="27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1,202</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1,334</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(132)</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(9.9)</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470</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555</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(85)</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(15.6)</w:t>
            </w: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558</w:t>
            </w:r>
          </w:p>
        </w:tc>
        <w:tc>
          <w:tcPr>
            <w:tcW w:w="6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789</w:t>
            </w:r>
          </w:p>
        </w:tc>
        <w:tc>
          <w:tcPr>
            <w:tcW w:w="54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(231)</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(29.2)</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2,230</w:t>
            </w:r>
          </w:p>
        </w:tc>
        <w:tc>
          <w:tcPr>
            <w:tcW w:w="6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2,678</w:t>
            </w:r>
          </w:p>
        </w:tc>
        <w:tc>
          <w:tcPr>
            <w:tcW w:w="540" w:type="dxa"/>
            <w:vAlign w:val="bottom"/>
          </w:tcPr>
          <w:p>
            <w:pPr>
              <w:spacing w:after="0"/>
              <w:rPr>
                <w:sz w:val="20"/>
                <w:szCs w:val="20"/>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(448)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(16.8)</w:t>
            </w:r>
          </w:p>
        </w:tc>
      </w:tr>
      <w:tr>
        <w:trPr>
          <w:trHeight w:val="27"/>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334</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547</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4"/>
              <w:spacing w:after="0"/>
              <w:rPr>
                <w:sz w:val="20"/>
                <w:szCs w:val="20"/>
                <w:color w:val="auto"/>
              </w:rPr>
            </w:pPr>
            <w:r>
              <w:rPr>
                <w:rFonts w:ascii="Arial" w:cs="Arial" w:eastAsia="Arial" w:hAnsi="Arial"/>
                <w:sz w:val="18"/>
                <w:szCs w:val="18"/>
                <w:b w:val="1"/>
                <w:bCs w:val="1"/>
                <w:color w:val="auto"/>
              </w:rPr>
              <w:t>(213)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(38.8)%</w:t>
            </w:r>
          </w:p>
        </w:tc>
      </w:tr>
      <w:tr>
        <w:trPr>
          <w:trHeight w:val="34"/>
        </w:trPr>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Filmed Entertainment revenue decreased for the three months ended June 30, 2020 compared to the same period in 2019 due to decreases in theatrical revenue and other revenue, partially offset by increases in content licensing revenue. The decrease in theatrical revenue was primarily due to theater closures as a result of COVID-19</w:t>
      </w:r>
      <w:r>
        <w:rPr>
          <w:rFonts w:ascii="Arial" w:cs="Arial" w:eastAsia="Arial" w:hAnsi="Arial"/>
          <w:sz w:val="18"/>
          <w:szCs w:val="18"/>
          <w:i w:val="1"/>
          <w:iCs w:val="1"/>
          <w:color w:val="auto"/>
        </w:rPr>
        <w:t>.</w:t>
      </w:r>
      <w:r>
        <w:rPr>
          <w:rFonts w:ascii="Arial" w:cs="Arial" w:eastAsia="Arial" w:hAnsi="Arial"/>
          <w:sz w:val="18"/>
          <w:szCs w:val="18"/>
          <w:color w:val="auto"/>
        </w:rPr>
        <w:t xml:space="preserve"> The decrease in other revenue was primarily due to decreases in revenue from our movie ticketing and entertainment business and live stage plays, which were impacted by theater and entertainment venue closures as a result of COVID-19. The increase in content licensing revenue was primarily due to the timing of when content was made available under licensing agreements, including making certain 2020 releases available on demand after theater closures due to COVID-19, including </w:t>
      </w:r>
      <w:r>
        <w:rPr>
          <w:rFonts w:ascii="Arial" w:cs="Arial" w:eastAsia="Arial" w:hAnsi="Arial"/>
          <w:sz w:val="18"/>
          <w:szCs w:val="18"/>
          <w:i w:val="1"/>
          <w:iCs w:val="1"/>
          <w:color w:val="auto"/>
        </w:rPr>
        <w:t>Trolls World Tour</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King of Staten Island,</w:t>
      </w:r>
      <w:r>
        <w:rPr>
          <w:rFonts w:ascii="Arial" w:cs="Arial" w:eastAsia="Arial" w:hAnsi="Arial"/>
          <w:sz w:val="18"/>
          <w:szCs w:val="18"/>
          <w:color w:val="auto"/>
        </w:rPr>
        <w:t xml:space="preserve"> as well as transactions with Peacock in the second quarter of 2020.</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Filmed Entertainment revenue decreased for the six months ended June 30, 2020 compared to the same period in 2019 due to decreases in theatrical revenue, other revenue, and home entertainment revenue, partially offset by increases in content licensing revenue. The decrease in theatrical revenue was primarily due to theater closures as a result of COVID-19</w:t>
      </w:r>
      <w:r>
        <w:rPr>
          <w:rFonts w:ascii="Arial" w:cs="Arial" w:eastAsia="Arial" w:hAnsi="Arial"/>
          <w:sz w:val="17"/>
          <w:szCs w:val="17"/>
          <w:i w:val="1"/>
          <w:iCs w:val="1"/>
          <w:color w:val="auto"/>
        </w:rPr>
        <w:t>.</w:t>
      </w:r>
      <w:r>
        <w:rPr>
          <w:rFonts w:ascii="Arial" w:cs="Arial" w:eastAsia="Arial" w:hAnsi="Arial"/>
          <w:sz w:val="17"/>
          <w:szCs w:val="17"/>
          <w:color w:val="auto"/>
        </w:rPr>
        <w:t xml:space="preserve"> The decrease in other revenue was primarily due to decreases in revenue from our movie ticketing and entertainment business and live stage plays, which were impacted by theater and entertainment venue closures as a result of COVID-19. The decrease in home entertainment revenue was primarily due to higher sales of 2019 releases, including </w:t>
      </w:r>
      <w:r>
        <w:rPr>
          <w:rFonts w:ascii="Arial" w:cs="Arial" w:eastAsia="Arial" w:hAnsi="Arial"/>
          <w:sz w:val="17"/>
          <w:szCs w:val="17"/>
          <w:i w:val="1"/>
          <w:iCs w:val="1"/>
          <w:color w:val="auto"/>
        </w:rPr>
        <w:t>Dr. Seuss</w:t>
      </w:r>
      <w:r>
        <w:rPr>
          <w:rFonts w:ascii="Arial" w:cs="Arial" w:eastAsia="Arial" w:hAnsi="Arial"/>
          <w:sz w:val="17"/>
          <w:szCs w:val="17"/>
          <w:color w:val="auto"/>
        </w:rPr>
        <w:t xml:space="preserve">’ </w:t>
      </w:r>
      <w:r>
        <w:rPr>
          <w:rFonts w:ascii="Arial" w:cs="Arial" w:eastAsia="Arial" w:hAnsi="Arial"/>
          <w:sz w:val="17"/>
          <w:szCs w:val="17"/>
          <w:i w:val="1"/>
          <w:iCs w:val="1"/>
          <w:color w:val="auto"/>
        </w:rPr>
        <w:t>The Grinch, How to Train Your Dragon: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Hidden World </w:t>
      </w:r>
      <w:r>
        <w:rPr>
          <w:rFonts w:ascii="Arial" w:cs="Arial" w:eastAsia="Arial" w:hAnsi="Arial"/>
          <w:sz w:val="17"/>
          <w:szCs w:val="17"/>
          <w:color w:val="auto"/>
        </w:rPr>
        <w:t>and</w:t>
      </w:r>
      <w:r>
        <w:rPr>
          <w:rFonts w:ascii="Arial" w:cs="Arial" w:eastAsia="Arial" w:hAnsi="Arial"/>
          <w:sz w:val="17"/>
          <w:szCs w:val="17"/>
          <w:i w:val="1"/>
          <w:iCs w:val="1"/>
          <w:color w:val="auto"/>
        </w:rPr>
        <w:t xml:space="preserve"> Glass </w:t>
      </w:r>
      <w:r>
        <w:rPr>
          <w:rFonts w:ascii="Arial" w:cs="Arial" w:eastAsia="Arial" w:hAnsi="Arial"/>
          <w:sz w:val="17"/>
          <w:szCs w:val="17"/>
          <w:color w:val="auto"/>
        </w:rPr>
        <w:t>compared to the sales of 2020 releases, including</w:t>
      </w:r>
      <w:r>
        <w:rPr>
          <w:rFonts w:ascii="Arial" w:cs="Arial" w:eastAsia="Arial" w:hAnsi="Arial"/>
          <w:sz w:val="17"/>
          <w:szCs w:val="17"/>
          <w:i w:val="1"/>
          <w:iCs w:val="1"/>
          <w:color w:val="auto"/>
        </w:rPr>
        <w:t xml:space="preserve"> 1917, Dr. Dolittle, </w:t>
      </w:r>
      <w:r>
        <w:rPr>
          <w:rFonts w:ascii="Arial" w:cs="Arial" w:eastAsia="Arial" w:hAnsi="Arial"/>
          <w:sz w:val="17"/>
          <w:szCs w:val="17"/>
          <w:color w:val="auto"/>
        </w:rPr>
        <w:t>and continued sales of</w:t>
      </w:r>
      <w:r>
        <w:rPr>
          <w:rFonts w:ascii="Arial" w:cs="Arial" w:eastAsia="Arial" w:hAnsi="Arial"/>
          <w:sz w:val="17"/>
          <w:szCs w:val="17"/>
          <w:i w:val="1"/>
          <w:iCs w:val="1"/>
          <w:color w:val="auto"/>
        </w:rPr>
        <w:t xml:space="preserve"> Fast and Furious Presents: Hobbs and Shaw. </w:t>
      </w:r>
      <w:r>
        <w:rPr>
          <w:rFonts w:ascii="Arial" w:cs="Arial" w:eastAsia="Arial" w:hAnsi="Arial"/>
          <w:sz w:val="17"/>
          <w:szCs w:val="17"/>
          <w:color w:val="auto"/>
        </w:rPr>
        <w:t>The increase in content licensing revenue was primarily due to the timing of when content was made available under licensing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making certain 2020 releases available on demand after theater closures due to COVID-19, including </w:t>
      </w:r>
      <w:r>
        <w:rPr>
          <w:rFonts w:ascii="Arial" w:cs="Arial" w:eastAsia="Arial" w:hAnsi="Arial"/>
          <w:sz w:val="17"/>
          <w:szCs w:val="17"/>
          <w:i w:val="1"/>
          <w:iCs w:val="1"/>
          <w:color w:val="auto"/>
        </w:rPr>
        <w:t>Trolls World Tour, The Invisible Man,</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The King of Staten Island, </w:t>
      </w:r>
      <w:r>
        <w:rPr>
          <w:rFonts w:ascii="Arial" w:cs="Arial" w:eastAsia="Arial" w:hAnsi="Arial"/>
          <w:sz w:val="17"/>
          <w:szCs w:val="17"/>
          <w:color w:val="auto"/>
        </w:rPr>
        <w:t>as well as transactions with Peacock in the second quarter of 2020.</w:t>
      </w:r>
    </w:p>
    <w:p>
      <w:pPr>
        <w:sectPr>
          <w:pgSz w:w="11900" w:h="16838" w:orient="portrait"/>
          <w:cols w:equalWidth="0" w:num="1">
            <w:col w:w="11240"/>
          </w:cols>
          <w:pgMar w:left="320" w:top="175" w:right="33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75"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decreased for the three months ended June 30, 2020 compared to the same period in 2019 primarily due to decreases in advertising, marketing and promotion costs and other operating and administrative costs. The decrease in advertising, marketing and promotion costs was due to lower spending on current period releases as a result of COVID-19. The decrease in other operating and administrative costs was due to lower costs associated with our movie ticketing and entertainment business and live stage plays, which were impacted by theater and entertainment venue closures as a result of COVID-19.</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costs and expenses decreased for the six months ended June 30, 2020 compared to the same period in 2019 due to decreases in advertising, marketing and promotion costs, programming and production costs, and other operating and administrative costs. The decrease in advertising, marketing and promotion costs was due to lower spending on current period releases as a result of COVID-19. The decrease in programming and production costs was primarily due to higher amortization of film production costs in the prior year period. The decrease in other operating and administrative costs was due to lower costs associated with our movie ticketing and entertainment business and live stage plays, which were impacted by theater and entertainment venue closures as a result of COVID-19.</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2"/>
          </w:tcPr>
          <w:p>
            <w:pPr>
              <w:jc w:val="center"/>
              <w:ind w:right="256"/>
              <w:spacing w:after="0"/>
              <w:rPr>
                <w:sz w:val="20"/>
                <w:szCs w:val="20"/>
                <w:color w:val="auto"/>
              </w:rPr>
            </w:pPr>
            <w:r>
              <w:rPr>
                <w:rFonts w:ascii="Arial" w:cs="Arial" w:eastAsia="Arial" w:hAnsi="Arial"/>
                <w:sz w:val="14"/>
                <w:szCs w:val="14"/>
                <w:color w:val="auto"/>
                <w:w w:val="91"/>
              </w:rPr>
              <w:t>Three Months Ended</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79"/>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56"/>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7"/>
              <w:spacing w:after="0"/>
              <w:rPr>
                <w:sz w:val="20"/>
                <w:szCs w:val="20"/>
                <w:color w:val="auto"/>
              </w:rPr>
            </w:pPr>
            <w:r>
              <w:rPr>
                <w:rFonts w:ascii="Arial" w:cs="Arial" w:eastAsia="Arial" w:hAnsi="Arial"/>
                <w:sz w:val="18"/>
                <w:szCs w:val="18"/>
                <w:color w:val="auto"/>
              </w:rPr>
              <w:t>87</w:t>
            </w:r>
          </w:p>
        </w:tc>
        <w:tc>
          <w:tcPr>
            <w:tcW w:w="10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1,464</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9"/>
              <w:spacing w:after="0"/>
              <w:rPr>
                <w:sz w:val="20"/>
                <w:szCs w:val="20"/>
                <w:color w:val="auto"/>
              </w:rPr>
            </w:pPr>
            <w:r>
              <w:rPr>
                <w:rFonts w:ascii="Arial" w:cs="Arial" w:eastAsia="Arial" w:hAnsi="Arial"/>
                <w:sz w:val="18"/>
                <w:szCs w:val="18"/>
                <w:color w:val="auto"/>
              </w:rPr>
              <w:t>(1,377)</w:t>
            </w:r>
          </w:p>
        </w:tc>
        <w:tc>
          <w:tcPr>
            <w:tcW w:w="104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70"/>
        </w:trPr>
        <w:tc>
          <w:tcPr>
            <w:tcW w:w="48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9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8"/>
                <w:szCs w:val="18"/>
                <w:color w:val="auto"/>
              </w:rPr>
              <w:t>486</w:t>
            </w:r>
          </w:p>
        </w:tc>
        <w:tc>
          <w:tcPr>
            <w:tcW w:w="102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874</w:t>
            </w:r>
          </w:p>
        </w:tc>
        <w:tc>
          <w:tcPr>
            <w:tcW w:w="560" w:type="dxa"/>
            <w:vAlign w:val="bottom"/>
          </w:tcPr>
          <w:p>
            <w:pPr>
              <w:spacing w:after="0"/>
              <w:rPr>
                <w:sz w:val="23"/>
                <w:szCs w:val="23"/>
                <w:color w:val="auto"/>
              </w:rPr>
            </w:pPr>
          </w:p>
        </w:tc>
        <w:tc>
          <w:tcPr>
            <w:tcW w:w="1620" w:type="dxa"/>
            <w:vAlign w:val="bottom"/>
          </w:tcPr>
          <w:p>
            <w:pPr>
              <w:jc w:val="right"/>
              <w:ind w:right="539"/>
              <w:spacing w:after="0"/>
              <w:rPr>
                <w:sz w:val="20"/>
                <w:szCs w:val="20"/>
                <w:color w:val="auto"/>
              </w:rPr>
            </w:pPr>
            <w:r>
              <w:rPr>
                <w:rFonts w:ascii="Arial" w:cs="Arial" w:eastAsia="Arial" w:hAnsi="Arial"/>
                <w:sz w:val="18"/>
                <w:szCs w:val="18"/>
                <w:color w:val="auto"/>
              </w:rPr>
              <w:t>(388)</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(44.3)</w:t>
            </w:r>
          </w:p>
        </w:tc>
      </w:tr>
      <w:tr>
        <w:trPr>
          <w:trHeight w:val="27"/>
        </w:trPr>
        <w:tc>
          <w:tcPr>
            <w:tcW w:w="4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57"/>
              <w:spacing w:after="0"/>
              <w:rPr>
                <w:sz w:val="20"/>
                <w:szCs w:val="20"/>
                <w:color w:val="auto"/>
              </w:rPr>
            </w:pPr>
            <w:r>
              <w:rPr>
                <w:rFonts w:ascii="Arial" w:cs="Arial" w:eastAsia="Arial" w:hAnsi="Arial"/>
                <w:sz w:val="18"/>
                <w:szCs w:val="18"/>
                <w:b w:val="1"/>
                <w:bCs w:val="1"/>
                <w:color w:val="auto"/>
              </w:rPr>
              <w:t>(399)</w:t>
            </w:r>
          </w:p>
        </w:tc>
        <w:tc>
          <w:tcPr>
            <w:tcW w:w="1020" w:type="dxa"/>
            <w:vAlign w:val="bottom"/>
          </w:tcPr>
          <w:p>
            <w:pPr>
              <w:jc w:val="right"/>
              <w:ind w:right="696"/>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590</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9"/>
              <w:spacing w:after="0"/>
              <w:rPr>
                <w:sz w:val="20"/>
                <w:szCs w:val="20"/>
                <w:color w:val="auto"/>
              </w:rPr>
            </w:pPr>
            <w:r>
              <w:rPr>
                <w:rFonts w:ascii="Arial" w:cs="Arial" w:eastAsia="Arial" w:hAnsi="Arial"/>
                <w:sz w:val="18"/>
                <w:szCs w:val="18"/>
                <w:b w:val="1"/>
                <w:bCs w:val="1"/>
                <w:color w:val="auto"/>
              </w:rPr>
              <w:t>(989)</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(167.7)%</w:t>
            </w:r>
          </w:p>
        </w:tc>
      </w:tr>
      <w:tr>
        <w:trPr>
          <w:trHeight w:val="34"/>
        </w:trPr>
        <w:tc>
          <w:tcPr>
            <w:tcW w:w="4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54"/>
        </w:trPr>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gridSpan w:val="2"/>
          </w:tcPr>
          <w:p>
            <w:pPr>
              <w:jc w:val="center"/>
              <w:ind w:right="256"/>
              <w:spacing w:after="0"/>
              <w:rPr>
                <w:sz w:val="20"/>
                <w:szCs w:val="20"/>
                <w:color w:val="auto"/>
              </w:rPr>
            </w:pPr>
            <w:r>
              <w:rPr>
                <w:rFonts w:ascii="Arial" w:cs="Arial" w:eastAsia="Arial" w:hAnsi="Arial"/>
                <w:sz w:val="14"/>
                <w:szCs w:val="14"/>
                <w:color w:val="auto"/>
                <w:w w:val="95"/>
              </w:rPr>
              <w:t>Six Months Ended</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79"/>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56"/>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3"/>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7"/>
              <w:spacing w:after="0"/>
              <w:rPr>
                <w:sz w:val="20"/>
                <w:szCs w:val="20"/>
                <w:color w:val="auto"/>
              </w:rPr>
            </w:pPr>
            <w:r>
              <w:rPr>
                <w:rFonts w:ascii="Arial" w:cs="Arial" w:eastAsia="Arial" w:hAnsi="Arial"/>
                <w:sz w:val="18"/>
                <w:szCs w:val="18"/>
                <w:color w:val="auto"/>
              </w:rPr>
              <w:t>956</w:t>
            </w:r>
          </w:p>
        </w:tc>
        <w:tc>
          <w:tcPr>
            <w:tcW w:w="10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2,740</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9"/>
              <w:spacing w:after="0"/>
              <w:rPr>
                <w:sz w:val="20"/>
                <w:szCs w:val="20"/>
                <w:color w:val="auto"/>
              </w:rPr>
            </w:pPr>
            <w:r>
              <w:rPr>
                <w:rFonts w:ascii="Arial" w:cs="Arial" w:eastAsia="Arial" w:hAnsi="Arial"/>
                <w:sz w:val="18"/>
                <w:szCs w:val="18"/>
                <w:color w:val="auto"/>
              </w:rPr>
              <w:t>(1,784)</w:t>
            </w:r>
          </w:p>
        </w:tc>
        <w:tc>
          <w:tcPr>
            <w:tcW w:w="104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70"/>
        </w:trPr>
        <w:tc>
          <w:tcPr>
            <w:tcW w:w="48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9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8"/>
                <w:szCs w:val="18"/>
                <w:color w:val="auto"/>
                <w:w w:val="93"/>
              </w:rPr>
              <w:t>1,279</w:t>
            </w:r>
          </w:p>
        </w:tc>
        <w:tc>
          <w:tcPr>
            <w:tcW w:w="102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1,652</w:t>
            </w:r>
          </w:p>
        </w:tc>
        <w:tc>
          <w:tcPr>
            <w:tcW w:w="560" w:type="dxa"/>
            <w:vAlign w:val="bottom"/>
          </w:tcPr>
          <w:p>
            <w:pPr>
              <w:spacing w:after="0"/>
              <w:rPr>
                <w:sz w:val="23"/>
                <w:szCs w:val="23"/>
                <w:color w:val="auto"/>
              </w:rPr>
            </w:pPr>
          </w:p>
        </w:tc>
        <w:tc>
          <w:tcPr>
            <w:tcW w:w="1620" w:type="dxa"/>
            <w:vAlign w:val="bottom"/>
          </w:tcPr>
          <w:p>
            <w:pPr>
              <w:jc w:val="right"/>
              <w:ind w:right="539"/>
              <w:spacing w:after="0"/>
              <w:rPr>
                <w:sz w:val="20"/>
                <w:szCs w:val="20"/>
                <w:color w:val="auto"/>
              </w:rPr>
            </w:pPr>
            <w:r>
              <w:rPr>
                <w:rFonts w:ascii="Arial" w:cs="Arial" w:eastAsia="Arial" w:hAnsi="Arial"/>
                <w:sz w:val="18"/>
                <w:szCs w:val="18"/>
                <w:color w:val="auto"/>
              </w:rPr>
              <w:t>(373)</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(22.6)</w:t>
            </w:r>
          </w:p>
        </w:tc>
      </w:tr>
      <w:tr>
        <w:trPr>
          <w:trHeight w:val="27"/>
        </w:trPr>
        <w:tc>
          <w:tcPr>
            <w:tcW w:w="4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57"/>
              <w:spacing w:after="0"/>
              <w:rPr>
                <w:sz w:val="20"/>
                <w:szCs w:val="20"/>
                <w:color w:val="auto"/>
              </w:rPr>
            </w:pPr>
            <w:r>
              <w:rPr>
                <w:rFonts w:ascii="Arial" w:cs="Arial" w:eastAsia="Arial" w:hAnsi="Arial"/>
                <w:sz w:val="18"/>
                <w:szCs w:val="18"/>
                <w:b w:val="1"/>
                <w:bCs w:val="1"/>
                <w:color w:val="auto"/>
              </w:rPr>
              <w:t>(323)</w:t>
            </w:r>
          </w:p>
        </w:tc>
        <w:tc>
          <w:tcPr>
            <w:tcW w:w="1020" w:type="dxa"/>
            <w:vAlign w:val="bottom"/>
          </w:tcPr>
          <w:p>
            <w:pPr>
              <w:jc w:val="right"/>
              <w:ind w:right="696"/>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1,088</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9"/>
              <w:spacing w:after="0"/>
              <w:rPr>
                <w:sz w:val="20"/>
                <w:szCs w:val="20"/>
                <w:color w:val="auto"/>
              </w:rPr>
            </w:pPr>
            <w:r>
              <w:rPr>
                <w:rFonts w:ascii="Arial" w:cs="Arial" w:eastAsia="Arial" w:hAnsi="Arial"/>
                <w:sz w:val="18"/>
                <w:szCs w:val="18"/>
                <w:b w:val="1"/>
                <w:bCs w:val="1"/>
                <w:color w:val="auto"/>
              </w:rPr>
              <w:t>(1,411)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(129.7)%</w:t>
            </w:r>
          </w:p>
        </w:tc>
      </w:tr>
      <w:tr>
        <w:trPr>
          <w:trHeight w:val="34"/>
        </w:trPr>
        <w:tc>
          <w:tcPr>
            <w:tcW w:w="4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Theme Parks revenue decreased for the three and six months ended June 30, 2020 compared to the same periods in 2019 due to the temporary closures of our theme parks as a result of COVID-19, beginning in late February in Japan and mid-March for our theme parks in Orlando and Hollywood. Our theme parks in Orlando and Japan reopened with limited capacity in June, while our park in Hollywood remains closed.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Theme Parks operating costs and expenses decreased for the three and six months ended June 30, 2020 compared to the same periods in 2019 primarily due to decreases in costs related to park operations due to the park closures, partially offset by pre-opening costs associated with Universal Beijing Resort.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75"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Segment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jc w:val="center"/>
              <w:ind w:left="515"/>
              <w:spacing w:after="0"/>
              <w:rPr>
                <w:sz w:val="20"/>
                <w:szCs w:val="20"/>
                <w:color w:val="auto"/>
              </w:rPr>
            </w:pPr>
            <w:r>
              <w:rPr>
                <w:rFonts w:ascii="Arial" w:cs="Arial" w:eastAsia="Arial" w:hAnsi="Arial"/>
                <w:sz w:val="14"/>
                <w:szCs w:val="14"/>
                <w:color w:val="auto"/>
                <w:w w:val="90"/>
              </w:rPr>
              <w:t>Increase/</w:t>
            </w:r>
          </w:p>
        </w:tc>
        <w:tc>
          <w:tcPr>
            <w:tcW w:w="1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Constant Currency</w:t>
            </w:r>
          </w:p>
        </w:tc>
        <w:tc>
          <w:tcPr>
            <w:tcW w:w="20" w:type="dxa"/>
            <w:vAlign w:val="bottom"/>
          </w:tcPr>
          <w:p>
            <w:pPr>
              <w:spacing w:after="0"/>
              <w:rPr>
                <w:sz w:val="14"/>
                <w:szCs w:val="14"/>
                <w:color w:val="auto"/>
              </w:rPr>
            </w:pPr>
          </w:p>
        </w:tc>
      </w:tr>
      <w:tr>
        <w:trPr>
          <w:trHeight w:val="188"/>
        </w:trPr>
        <w:tc>
          <w:tcPr>
            <w:tcW w:w="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left="495"/>
              <w:spacing w:after="0"/>
              <w:rPr>
                <w:sz w:val="20"/>
                <w:szCs w:val="20"/>
                <w:color w:val="auto"/>
              </w:rPr>
            </w:pPr>
            <w:r>
              <w:rPr>
                <w:rFonts w:ascii="Arial" w:cs="Arial" w:eastAsia="Arial" w:hAnsi="Arial"/>
                <w:sz w:val="14"/>
                <w:szCs w:val="14"/>
                <w:color w:val="auto"/>
                <w:w w:val="89"/>
              </w:rPr>
              <w:t>(Decrease)</w:t>
            </w:r>
          </w:p>
        </w:tc>
        <w:tc>
          <w:tcPr>
            <w:tcW w:w="1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75"/>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Direct-to-consumer</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3,524</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3,889</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(365)</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(9.4)%</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Content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234</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376</w:t>
            </w:r>
          </w:p>
        </w:tc>
        <w:tc>
          <w:tcPr>
            <w:tcW w:w="520" w:type="dxa"/>
            <w:vAlign w:val="bottom"/>
          </w:tcPr>
          <w:p>
            <w:pPr>
              <w:spacing w:after="0"/>
              <w:rPr>
                <w:sz w:val="23"/>
                <w:szCs w:val="23"/>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(142)</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(37.7)</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321</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563</w:t>
            </w:r>
          </w:p>
        </w:tc>
        <w:tc>
          <w:tcPr>
            <w:tcW w:w="520" w:type="dxa"/>
            <w:vAlign w:val="bottom"/>
          </w:tcPr>
          <w:p>
            <w:pPr>
              <w:spacing w:after="0"/>
              <w:rPr>
                <w:sz w:val="23"/>
                <w:szCs w:val="23"/>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(242)</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(43.0)</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b w:val="1"/>
                <w:bCs w:val="1"/>
                <w:color w:val="auto"/>
              </w:rPr>
              <w:t>4,079</w:t>
            </w:r>
          </w:p>
        </w:tc>
        <w:tc>
          <w:tcPr>
            <w:tcW w:w="70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4,828</w:t>
            </w:r>
          </w:p>
        </w:tc>
        <w:tc>
          <w:tcPr>
            <w:tcW w:w="520" w:type="dxa"/>
            <w:vAlign w:val="bottom"/>
          </w:tcPr>
          <w:p>
            <w:pPr>
              <w:spacing w:after="0"/>
              <w:rPr>
                <w:sz w:val="20"/>
                <w:szCs w:val="20"/>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b w:val="1"/>
                <w:bCs w:val="1"/>
                <w:color w:val="auto"/>
              </w:rPr>
              <w:t>(749)</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(15.5)</w:t>
            </w:r>
          </w:p>
        </w:tc>
        <w:tc>
          <w:tcPr>
            <w:tcW w:w="1480" w:type="dxa"/>
            <w:vAlign w:val="bottom"/>
          </w:tcPr>
          <w:p>
            <w:pPr>
              <w:jc w:val="right"/>
              <w:ind w:right="135"/>
              <w:spacing w:after="0"/>
              <w:rPr>
                <w:sz w:val="20"/>
                <w:szCs w:val="20"/>
                <w:color w:val="auto"/>
              </w:rPr>
            </w:pPr>
            <w:r>
              <w:rPr>
                <w:rFonts w:ascii="Arial" w:cs="Arial" w:eastAsia="Arial" w:hAnsi="Arial"/>
                <w:sz w:val="18"/>
                <w:szCs w:val="18"/>
                <w:b w:val="1"/>
                <w:bCs w:val="1"/>
                <w:color w:val="auto"/>
              </w:rPr>
              <w:t>(12.9)</w:t>
            </w: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1,543</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2,239</w:t>
            </w:r>
          </w:p>
        </w:tc>
        <w:tc>
          <w:tcPr>
            <w:tcW w:w="520" w:type="dxa"/>
            <w:vAlign w:val="bottom"/>
          </w:tcPr>
          <w:p>
            <w:pPr>
              <w:spacing w:after="0"/>
              <w:rPr>
                <w:sz w:val="23"/>
                <w:szCs w:val="23"/>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(696)</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(31.0)</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Direct network costs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498</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414</w:t>
            </w:r>
          </w:p>
        </w:tc>
        <w:tc>
          <w:tcPr>
            <w:tcW w:w="520" w:type="dxa"/>
            <w:vAlign w:val="bottom"/>
          </w:tcPr>
          <w:p>
            <w:pPr>
              <w:spacing w:after="0"/>
              <w:rPr>
                <w:sz w:val="23"/>
                <w:szCs w:val="23"/>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84</w:t>
            </w: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20.4</w:t>
            </w:r>
          </w:p>
        </w:tc>
        <w:tc>
          <w:tcPr>
            <w:tcW w:w="1480" w:type="dxa"/>
            <w:vAlign w:val="bottom"/>
          </w:tcPr>
          <w:p>
            <w:pPr>
              <w:jc w:val="right"/>
              <w:ind w:right="175"/>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1,289</w:t>
            </w:r>
          </w:p>
        </w:tc>
        <w:tc>
          <w:tcPr>
            <w:tcW w:w="70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1,403</w:t>
            </w:r>
          </w:p>
        </w:tc>
        <w:tc>
          <w:tcPr>
            <w:tcW w:w="520" w:type="dxa"/>
            <w:vAlign w:val="bottom"/>
          </w:tcPr>
          <w:p>
            <w:pPr>
              <w:spacing w:after="0"/>
              <w:rPr>
                <w:sz w:val="23"/>
                <w:szCs w:val="23"/>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(114)</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(8.3)</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Total operating costs and expenses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3,330</w:t>
            </w:r>
          </w:p>
        </w:tc>
        <w:tc>
          <w:tcPr>
            <w:tcW w:w="70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4,056</w:t>
            </w:r>
          </w:p>
        </w:tc>
        <w:tc>
          <w:tcPr>
            <w:tcW w:w="520" w:type="dxa"/>
            <w:vAlign w:val="bottom"/>
          </w:tcPr>
          <w:p>
            <w:pPr>
              <w:spacing w:after="0"/>
              <w:rPr>
                <w:sz w:val="20"/>
                <w:szCs w:val="20"/>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(726)</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(17.9)</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5"/>
              <w:spacing w:after="0"/>
              <w:rPr>
                <w:sz w:val="20"/>
                <w:szCs w:val="20"/>
                <w:color w:val="auto"/>
              </w:rPr>
            </w:pPr>
            <w:r>
              <w:rPr>
                <w:rFonts w:ascii="Arial" w:cs="Arial" w:eastAsia="Arial" w:hAnsi="Arial"/>
                <w:sz w:val="18"/>
                <w:szCs w:val="18"/>
                <w:b w:val="1"/>
                <w:bCs w:val="1"/>
                <w:color w:val="auto"/>
              </w:rPr>
              <w:t>749</w:t>
            </w: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772</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495"/>
              <w:spacing w:after="0"/>
              <w:rPr>
                <w:sz w:val="20"/>
                <w:szCs w:val="20"/>
                <w:color w:val="auto"/>
              </w:rPr>
            </w:pPr>
            <w:r>
              <w:rPr>
                <w:rFonts w:ascii="Arial" w:cs="Arial" w:eastAsia="Arial" w:hAnsi="Arial"/>
                <w:sz w:val="18"/>
                <w:szCs w:val="18"/>
                <w:b w:val="1"/>
                <w:bCs w:val="1"/>
                <w:color w:val="auto"/>
              </w:rPr>
              <w:t>(23)</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(2.9)%</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0.2 %</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54"/>
        </w:trPr>
        <w:tc>
          <w:tcPr>
            <w:tcW w:w="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jc w:val="right"/>
              <w:ind w:right="30"/>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center"/>
              <w:ind w:left="475"/>
              <w:spacing w:after="0"/>
              <w:rPr>
                <w:sz w:val="20"/>
                <w:szCs w:val="20"/>
                <w:color w:val="auto"/>
              </w:rPr>
            </w:pPr>
            <w:r>
              <w:rPr>
                <w:rFonts w:ascii="Arial" w:cs="Arial" w:eastAsia="Arial" w:hAnsi="Arial"/>
                <w:sz w:val="14"/>
                <w:szCs w:val="14"/>
                <w:color w:val="auto"/>
                <w:w w:val="90"/>
              </w:rPr>
              <w:t>Increase/</w:t>
            </w:r>
          </w:p>
        </w:tc>
        <w:tc>
          <w:tcPr>
            <w:tcW w:w="1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Constant Currency</w:t>
            </w:r>
          </w:p>
        </w:tc>
        <w:tc>
          <w:tcPr>
            <w:tcW w:w="2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left="495"/>
              <w:spacing w:after="0"/>
              <w:rPr>
                <w:sz w:val="20"/>
                <w:szCs w:val="20"/>
                <w:color w:val="auto"/>
              </w:rPr>
            </w:pPr>
            <w:r>
              <w:rPr>
                <w:rFonts w:ascii="Arial" w:cs="Arial" w:eastAsia="Arial" w:hAnsi="Arial"/>
                <w:sz w:val="14"/>
                <w:szCs w:val="14"/>
                <w:color w:val="auto"/>
                <w:w w:val="89"/>
              </w:rPr>
              <w:t>(Decrease)</w:t>
            </w:r>
          </w:p>
        </w:tc>
        <w:tc>
          <w:tcPr>
            <w:tcW w:w="1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c>
          <w:tcPr>
            <w:tcW w:w="20" w:type="dxa"/>
            <w:vAlign w:val="bottom"/>
            <w:tcBorders>
              <w:bottom w:val="single" w:sz="8" w:color="auto"/>
            </w:tcBorders>
          </w:tcPr>
          <w:p>
            <w:pPr>
              <w:spacing w:after="0"/>
              <w:rPr>
                <w:sz w:val="16"/>
                <w:szCs w:val="16"/>
                <w:color w:val="auto"/>
              </w:rPr>
            </w:pPr>
          </w:p>
        </w:tc>
      </w:tr>
      <w:tr>
        <w:trPr>
          <w:trHeight w:val="263"/>
        </w:trPr>
        <w:tc>
          <w:tcPr>
            <w:tcW w:w="3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89"/>
              </w:rPr>
              <w:t>2019</w:t>
            </w: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75"/>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tcPr>
          <w:p>
            <w:pPr>
              <w:spacing w:after="0"/>
              <w:rPr>
                <w:sz w:val="22"/>
                <w:szCs w:val="22"/>
                <w:color w:val="auto"/>
              </w:rPr>
            </w:pPr>
          </w:p>
        </w:tc>
      </w:tr>
      <w:tr>
        <w:trPr>
          <w:trHeight w:val="243"/>
        </w:trPr>
        <w:tc>
          <w:tcPr>
            <w:tcW w:w="348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Direct-to-consumer</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7,203</w:t>
            </w:r>
          </w:p>
        </w:tc>
        <w:tc>
          <w:tcPr>
            <w:tcW w:w="7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7,723</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(520)</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(6.7)%</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Content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559</w:t>
            </w:r>
          </w:p>
        </w:tc>
        <w:tc>
          <w:tcPr>
            <w:tcW w:w="7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746</w:t>
            </w:r>
          </w:p>
        </w:tc>
        <w:tc>
          <w:tcPr>
            <w:tcW w:w="520" w:type="dxa"/>
            <w:vAlign w:val="bottom"/>
          </w:tcPr>
          <w:p>
            <w:pPr>
              <w:spacing w:after="0"/>
              <w:rPr>
                <w:sz w:val="23"/>
                <w:szCs w:val="23"/>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(187)</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(25.1)</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834</w:t>
            </w:r>
          </w:p>
        </w:tc>
        <w:tc>
          <w:tcPr>
            <w:tcW w:w="7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1,156</w:t>
            </w:r>
          </w:p>
        </w:tc>
        <w:tc>
          <w:tcPr>
            <w:tcW w:w="520" w:type="dxa"/>
            <w:vAlign w:val="bottom"/>
          </w:tcPr>
          <w:p>
            <w:pPr>
              <w:spacing w:after="0"/>
              <w:rPr>
                <w:sz w:val="23"/>
                <w:szCs w:val="23"/>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(322)</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(27.9)</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3"/>
                <w:szCs w:val="23"/>
                <w:color w:val="auto"/>
              </w:rPr>
            </w:pPr>
          </w:p>
        </w:tc>
      </w:tr>
      <w:tr>
        <w:trPr>
          <w:trHeight w:val="27"/>
        </w:trPr>
        <w:tc>
          <w:tcPr>
            <w:tcW w:w="3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4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b w:val="1"/>
                <w:bCs w:val="1"/>
                <w:color w:val="auto"/>
              </w:rPr>
              <w:t>8,596</w:t>
            </w:r>
          </w:p>
        </w:tc>
        <w:tc>
          <w:tcPr>
            <w:tcW w:w="70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9,625</w:t>
            </w:r>
          </w:p>
        </w:tc>
        <w:tc>
          <w:tcPr>
            <w:tcW w:w="520" w:type="dxa"/>
            <w:vAlign w:val="bottom"/>
          </w:tcPr>
          <w:p>
            <w:pPr>
              <w:spacing w:after="0"/>
              <w:rPr>
                <w:sz w:val="20"/>
                <w:szCs w:val="20"/>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b w:val="1"/>
                <w:bCs w:val="1"/>
                <w:color w:val="auto"/>
              </w:rPr>
              <w:t>(1,029)</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(10.7)</w:t>
            </w:r>
          </w:p>
        </w:tc>
        <w:tc>
          <w:tcPr>
            <w:tcW w:w="1480" w:type="dxa"/>
            <w:vAlign w:val="bottom"/>
          </w:tcPr>
          <w:p>
            <w:pPr>
              <w:jc w:val="right"/>
              <w:ind w:right="95"/>
              <w:spacing w:after="0"/>
              <w:rPr>
                <w:sz w:val="20"/>
                <w:szCs w:val="20"/>
                <w:color w:val="auto"/>
              </w:rPr>
            </w:pPr>
            <w:r>
              <w:rPr>
                <w:rFonts w:ascii="Arial" w:cs="Arial" w:eastAsia="Arial" w:hAnsi="Arial"/>
                <w:sz w:val="18"/>
                <w:szCs w:val="18"/>
                <w:b w:val="1"/>
                <w:bCs w:val="1"/>
                <w:color w:val="auto"/>
              </w:rPr>
              <w:t>(8.4)</w:t>
            </w:r>
          </w:p>
        </w:tc>
        <w:tc>
          <w:tcPr>
            <w:tcW w:w="20" w:type="dxa"/>
            <w:vAlign w:val="bottom"/>
          </w:tcPr>
          <w:p>
            <w:pPr>
              <w:spacing w:after="0"/>
              <w:rPr>
                <w:sz w:val="20"/>
                <w:szCs w:val="20"/>
                <w:color w:val="auto"/>
              </w:rPr>
            </w:pPr>
          </w:p>
        </w:tc>
      </w:tr>
      <w:tr>
        <w:trPr>
          <w:trHeight w:val="270"/>
        </w:trPr>
        <w:tc>
          <w:tcPr>
            <w:tcW w:w="34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3,607</w:t>
            </w:r>
          </w:p>
        </w:tc>
        <w:tc>
          <w:tcPr>
            <w:tcW w:w="7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4,540</w:t>
            </w:r>
          </w:p>
        </w:tc>
        <w:tc>
          <w:tcPr>
            <w:tcW w:w="520" w:type="dxa"/>
            <w:vAlign w:val="bottom"/>
          </w:tcPr>
          <w:p>
            <w:pPr>
              <w:spacing w:after="0"/>
              <w:rPr>
                <w:sz w:val="23"/>
                <w:szCs w:val="23"/>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(933)</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(20.5)</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Direct network costs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955</w:t>
            </w:r>
          </w:p>
        </w:tc>
        <w:tc>
          <w:tcPr>
            <w:tcW w:w="7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799</w:t>
            </w:r>
          </w:p>
        </w:tc>
        <w:tc>
          <w:tcPr>
            <w:tcW w:w="520" w:type="dxa"/>
            <w:vAlign w:val="bottom"/>
          </w:tcPr>
          <w:p>
            <w:pPr>
              <w:spacing w:after="0"/>
              <w:rPr>
                <w:sz w:val="23"/>
                <w:szCs w:val="23"/>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156</w:t>
            </w: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19.6</w:t>
            </w:r>
          </w:p>
        </w:tc>
        <w:tc>
          <w:tcPr>
            <w:tcW w:w="1480" w:type="dxa"/>
            <w:vAlign w:val="bottom"/>
          </w:tcPr>
          <w:p>
            <w:pPr>
              <w:jc w:val="right"/>
              <w:ind w:right="155"/>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2,734</w:t>
            </w:r>
          </w:p>
        </w:tc>
        <w:tc>
          <w:tcPr>
            <w:tcW w:w="7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2,851</w:t>
            </w:r>
          </w:p>
        </w:tc>
        <w:tc>
          <w:tcPr>
            <w:tcW w:w="520" w:type="dxa"/>
            <w:vAlign w:val="bottom"/>
          </w:tcPr>
          <w:p>
            <w:pPr>
              <w:spacing w:after="0"/>
              <w:rPr>
                <w:sz w:val="23"/>
                <w:szCs w:val="23"/>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(117)</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r>
      <w:tr>
        <w:trPr>
          <w:trHeight w:val="27"/>
        </w:trPr>
        <w:tc>
          <w:tcPr>
            <w:tcW w:w="3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Total operating costs and expenses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7,296</w:t>
            </w:r>
          </w:p>
        </w:tc>
        <w:tc>
          <w:tcPr>
            <w:tcW w:w="70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8,190</w:t>
            </w:r>
          </w:p>
        </w:tc>
        <w:tc>
          <w:tcPr>
            <w:tcW w:w="520" w:type="dxa"/>
            <w:vAlign w:val="bottom"/>
          </w:tcPr>
          <w:p>
            <w:pPr>
              <w:spacing w:after="0"/>
              <w:rPr>
                <w:sz w:val="20"/>
                <w:szCs w:val="20"/>
                <w:color w:val="auto"/>
              </w:rPr>
            </w:pP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(894)</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(10.9)</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r>
      <w:tr>
        <w:trPr>
          <w:trHeight w:val="27"/>
        </w:trPr>
        <w:tc>
          <w:tcPr>
            <w:tcW w:w="3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48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5"/>
              <w:spacing w:after="0"/>
              <w:rPr>
                <w:sz w:val="20"/>
                <w:szCs w:val="20"/>
                <w:color w:val="auto"/>
              </w:rPr>
            </w:pPr>
            <w:r>
              <w:rPr>
                <w:rFonts w:ascii="Arial" w:cs="Arial" w:eastAsia="Arial" w:hAnsi="Arial"/>
                <w:sz w:val="18"/>
                <w:szCs w:val="18"/>
                <w:b w:val="1"/>
                <w:bCs w:val="1"/>
                <w:color w:val="auto"/>
              </w:rPr>
              <w:t>1,300</w:t>
            </w:r>
          </w:p>
        </w:tc>
        <w:tc>
          <w:tcPr>
            <w:tcW w:w="7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1,435</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495"/>
              <w:spacing w:after="0"/>
              <w:rPr>
                <w:sz w:val="20"/>
                <w:szCs w:val="20"/>
                <w:color w:val="auto"/>
              </w:rPr>
            </w:pPr>
            <w:r>
              <w:rPr>
                <w:rFonts w:ascii="Arial" w:cs="Arial" w:eastAsia="Arial" w:hAnsi="Arial"/>
                <w:sz w:val="18"/>
                <w:szCs w:val="18"/>
                <w:b w:val="1"/>
                <w:bCs w:val="1"/>
                <w:color w:val="auto"/>
              </w:rPr>
              <w:t>(135)</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(9.4)%</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63" w:lineRule="exact"/>
        <w:rPr>
          <w:sz w:val="20"/>
          <w:szCs w:val="20"/>
          <w:color w:val="auto"/>
        </w:rPr>
      </w:pPr>
    </w:p>
    <w:p>
      <w:pPr>
        <w:ind w:left="260" w:hanging="252"/>
        <w:spacing w:after="0" w:line="273"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35 for additional information, including our definition and our use of constant currency, and for a reconciliation of Sky’s constant currency growth rates.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804"/>
              <w:spacing w:after="0"/>
              <w:rPr>
                <w:sz w:val="20"/>
                <w:szCs w:val="20"/>
                <w:color w:val="auto"/>
              </w:rPr>
            </w:pPr>
            <w:r>
              <w:rPr>
                <w:rFonts w:ascii="Arial" w:cs="Arial" w:eastAsia="Arial" w:hAnsi="Arial"/>
                <w:sz w:val="14"/>
                <w:szCs w:val="14"/>
                <w:color w:val="auto"/>
              </w:rPr>
              <w:t>Net Additions</w:t>
            </w:r>
          </w:p>
        </w:tc>
        <w:tc>
          <w:tcPr>
            <w:tcW w:w="700" w:type="dxa"/>
            <w:vAlign w:val="bottom"/>
            <w:tcBorders>
              <w:bottom w:val="single" w:sz="8" w:color="auto"/>
            </w:tcBorders>
          </w:tcPr>
          <w:p>
            <w:pPr>
              <w:spacing w:after="0"/>
              <w:rPr>
                <w:sz w:val="16"/>
                <w:szCs w:val="16"/>
                <w:color w:val="auto"/>
              </w:rPr>
            </w:pPr>
          </w:p>
        </w:tc>
      </w:tr>
      <w:tr>
        <w:trPr>
          <w:trHeight w:val="156"/>
        </w:trPr>
        <w:tc>
          <w:tcPr>
            <w:tcW w:w="5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gridSpan w:val="2"/>
          </w:tcPr>
          <w:p>
            <w:pPr>
              <w:jc w:val="center"/>
              <w:ind w:right="22"/>
              <w:spacing w:after="0" w:line="156" w:lineRule="exact"/>
              <w:rPr>
                <w:sz w:val="20"/>
                <w:szCs w:val="20"/>
                <w:color w:val="auto"/>
              </w:rPr>
            </w:pPr>
            <w:r>
              <w:rPr>
                <w:rFonts w:ascii="Arial" w:cs="Arial" w:eastAsia="Arial" w:hAnsi="Arial"/>
                <w:sz w:val="14"/>
                <w:szCs w:val="14"/>
                <w:color w:val="auto"/>
                <w:w w:val="93"/>
              </w:rPr>
              <w:t>Three Months Ended</w:t>
            </w:r>
          </w:p>
        </w:tc>
        <w:tc>
          <w:tcPr>
            <w:tcW w:w="188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95"/>
              </w:rPr>
              <w:t>Six Months Ended</w:t>
            </w:r>
          </w:p>
        </w:tc>
      </w:tr>
      <w:tr>
        <w:trPr>
          <w:trHeight w:val="188"/>
        </w:trPr>
        <w:tc>
          <w:tcPr>
            <w:tcW w:w="51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644"/>
              <w:spacing w:after="0"/>
              <w:rPr>
                <w:sz w:val="20"/>
                <w:szCs w:val="20"/>
                <w:color w:val="auto"/>
              </w:rPr>
            </w:pPr>
            <w:r>
              <w:rPr>
                <w:rFonts w:ascii="Arial" w:cs="Arial" w:eastAsia="Arial" w:hAnsi="Arial"/>
                <w:sz w:val="14"/>
                <w:szCs w:val="14"/>
                <w:color w:val="auto"/>
                <w:w w:val="85"/>
              </w:rPr>
              <w:t>June 30,</w:t>
            </w: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544"/>
              <w:spacing w:after="0"/>
              <w:rPr>
                <w:sz w:val="20"/>
                <w:szCs w:val="20"/>
                <w:color w:val="auto"/>
              </w:rPr>
            </w:pPr>
            <w:r>
              <w:rPr>
                <w:rFonts w:ascii="Arial" w:cs="Arial" w:eastAsia="Arial" w:hAnsi="Arial"/>
                <w:sz w:val="14"/>
                <w:szCs w:val="14"/>
                <w:color w:val="auto"/>
                <w:w w:val="89"/>
              </w:rPr>
              <w:t>June 30,</w:t>
            </w:r>
          </w:p>
        </w:tc>
        <w:tc>
          <w:tcPr>
            <w:tcW w:w="70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2020</w:t>
            </w: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340" w:type="dxa"/>
            <w:vAlign w:val="bottom"/>
          </w:tcPr>
          <w:p>
            <w:pPr>
              <w:jc w:val="right"/>
              <w:ind w:right="362"/>
              <w:spacing w:after="0"/>
              <w:rPr>
                <w:sz w:val="20"/>
                <w:szCs w:val="20"/>
                <w:color w:val="auto"/>
              </w:rPr>
            </w:pPr>
            <w:r>
              <w:rPr>
                <w:rFonts w:ascii="Arial" w:cs="Arial" w:eastAsia="Arial" w:hAnsi="Arial"/>
                <w:sz w:val="18"/>
                <w:szCs w:val="18"/>
                <w:color w:val="auto"/>
              </w:rPr>
              <w:t>23,716</w:t>
            </w:r>
          </w:p>
        </w:tc>
        <w:tc>
          <w:tcPr>
            <w:tcW w:w="720" w:type="dxa"/>
            <w:vAlign w:val="bottom"/>
          </w:tcPr>
          <w:p>
            <w:pPr>
              <w:jc w:val="right"/>
              <w:ind w:right="59"/>
              <w:spacing w:after="0"/>
              <w:rPr>
                <w:sz w:val="20"/>
                <w:szCs w:val="20"/>
                <w:color w:val="auto"/>
              </w:rPr>
            </w:pPr>
            <w:r>
              <w:rPr>
                <w:rFonts w:ascii="Arial" w:cs="Arial" w:eastAsia="Arial" w:hAnsi="Arial"/>
                <w:sz w:val="18"/>
                <w:szCs w:val="18"/>
                <w:color w:val="auto"/>
              </w:rPr>
              <w:t>24,016</w:t>
            </w:r>
          </w:p>
        </w:tc>
        <w:tc>
          <w:tcPr>
            <w:tcW w:w="1300" w:type="dxa"/>
            <w:vAlign w:val="bottom"/>
          </w:tcPr>
          <w:p>
            <w:pPr>
              <w:jc w:val="right"/>
              <w:ind w:right="264"/>
              <w:spacing w:after="0"/>
              <w:rPr>
                <w:sz w:val="20"/>
                <w:szCs w:val="20"/>
                <w:color w:val="auto"/>
              </w:rPr>
            </w:pPr>
            <w:r>
              <w:rPr>
                <w:rFonts w:ascii="Arial" w:cs="Arial" w:eastAsia="Arial" w:hAnsi="Arial"/>
                <w:sz w:val="18"/>
                <w:szCs w:val="18"/>
                <w:color w:val="auto"/>
              </w:rPr>
              <w:t>(214)</w:t>
            </w:r>
          </w:p>
        </w:tc>
        <w:tc>
          <w:tcPr>
            <w:tcW w:w="820" w:type="dxa"/>
            <w:vAlign w:val="bottom"/>
          </w:tcPr>
          <w:p>
            <w:pPr>
              <w:jc w:val="right"/>
              <w:ind w:right="142"/>
              <w:spacing w:after="0"/>
              <w:rPr>
                <w:sz w:val="20"/>
                <w:szCs w:val="20"/>
                <w:color w:val="auto"/>
              </w:rPr>
            </w:pPr>
            <w:r>
              <w:rPr>
                <w:rFonts w:ascii="Arial" w:cs="Arial" w:eastAsia="Arial" w:hAnsi="Arial"/>
                <w:sz w:val="18"/>
                <w:szCs w:val="18"/>
                <w:color w:val="auto"/>
              </w:rPr>
              <w:t>304</w:t>
            </w:r>
          </w:p>
        </w:tc>
        <w:tc>
          <w:tcPr>
            <w:tcW w:w="1180" w:type="dxa"/>
            <w:vAlign w:val="bottom"/>
          </w:tcPr>
          <w:p>
            <w:pPr>
              <w:jc w:val="right"/>
              <w:ind w:right="264"/>
              <w:spacing w:after="0"/>
              <w:rPr>
                <w:sz w:val="20"/>
                <w:szCs w:val="20"/>
                <w:color w:val="auto"/>
              </w:rPr>
            </w:pPr>
            <w:r>
              <w:rPr>
                <w:rFonts w:ascii="Arial" w:cs="Arial" w:eastAsia="Arial" w:hAnsi="Arial"/>
                <w:sz w:val="18"/>
                <w:szCs w:val="18"/>
                <w:color w:val="auto"/>
              </w:rPr>
              <w:t>(279)</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416</w:t>
            </w:r>
          </w:p>
        </w:tc>
      </w:tr>
      <w:tr>
        <w:trPr>
          <w:trHeight w:val="27"/>
        </w:trPr>
        <w:tc>
          <w:tcPr>
            <w:tcW w:w="5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Sky customer relationships represent the number of residential retail customers that subscribe to at least one of Sky’s four primary services of video, high-speed internet, voice and wireless phone service. Commercial retail customers include hotels, bars, workplaces and restaurants with an active subscription for the purpose of providing Sky services to customers. Sky reports commercial customers based on the number of commercial agreements per venue in the U.K., and generally based on a residential equivalent unit using the multiple of residential customer revenue in Italy and the number of active venues (bars and restaurants) or rooms (hotels and clinics) in Germany.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center"/>
              <w:ind w:right="304"/>
              <w:spacing w:after="0"/>
              <w:rPr>
                <w:sz w:val="20"/>
                <w:szCs w:val="20"/>
                <w:color w:val="auto"/>
              </w:rPr>
            </w:pPr>
            <w:r>
              <w:rPr>
                <w:rFonts w:ascii="Arial" w:cs="Arial" w:eastAsia="Arial" w:hAnsi="Arial"/>
                <w:sz w:val="14"/>
                <w:szCs w:val="14"/>
                <w:color w:val="auto"/>
                <w:w w:val="89"/>
              </w:rPr>
              <w:t>Constant</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center"/>
              <w:ind w:right="24"/>
              <w:spacing w:after="0"/>
              <w:rPr>
                <w:sz w:val="20"/>
                <w:szCs w:val="20"/>
                <w:color w:val="auto"/>
              </w:rPr>
            </w:pPr>
            <w:r>
              <w:rPr>
                <w:rFonts w:ascii="Arial" w:cs="Arial" w:eastAsia="Arial" w:hAnsi="Arial"/>
                <w:sz w:val="14"/>
                <w:szCs w:val="14"/>
                <w:color w:val="auto"/>
                <w:w w:val="89"/>
              </w:rPr>
              <w:t>Constant</w:t>
            </w:r>
          </w:p>
        </w:tc>
      </w:tr>
      <w:tr>
        <w:trPr>
          <w:trHeight w:val="149"/>
        </w:trPr>
        <w:tc>
          <w:tcPr>
            <w:tcW w:w="3700" w:type="dxa"/>
            <w:vAlign w:val="bottom"/>
          </w:tcPr>
          <w:p>
            <w:pPr>
              <w:spacing w:after="0"/>
              <w:rPr>
                <w:sz w:val="12"/>
                <w:szCs w:val="12"/>
                <w:color w:val="auto"/>
              </w:rPr>
            </w:pPr>
          </w:p>
        </w:tc>
        <w:tc>
          <w:tcPr>
            <w:tcW w:w="18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Three Months Ended</w:t>
            </w:r>
          </w:p>
        </w:tc>
        <w:tc>
          <w:tcPr>
            <w:tcW w:w="1040" w:type="dxa"/>
            <w:vAlign w:val="bottom"/>
          </w:tcPr>
          <w:p>
            <w:pPr>
              <w:jc w:val="center"/>
              <w:ind w:right="44"/>
              <w:spacing w:after="0" w:line="149" w:lineRule="exact"/>
              <w:rPr>
                <w:sz w:val="20"/>
                <w:szCs w:val="20"/>
                <w:color w:val="auto"/>
              </w:rPr>
            </w:pPr>
            <w:r>
              <w:rPr>
                <w:rFonts w:ascii="Arial" w:cs="Arial" w:eastAsia="Arial" w:hAnsi="Arial"/>
                <w:sz w:val="14"/>
                <w:szCs w:val="14"/>
                <w:color w:val="auto"/>
                <w:w w:val="90"/>
              </w:rPr>
              <w:t>Increase/</w:t>
            </w:r>
          </w:p>
        </w:tc>
        <w:tc>
          <w:tcPr>
            <w:tcW w:w="1120" w:type="dxa"/>
            <w:vAlign w:val="bottom"/>
          </w:tcPr>
          <w:p>
            <w:pPr>
              <w:jc w:val="center"/>
              <w:ind w:right="304"/>
              <w:spacing w:after="0" w:line="149" w:lineRule="exact"/>
              <w:rPr>
                <w:sz w:val="20"/>
                <w:szCs w:val="20"/>
                <w:color w:val="auto"/>
              </w:rPr>
            </w:pPr>
            <w:r>
              <w:rPr>
                <w:rFonts w:ascii="Arial" w:cs="Arial" w:eastAsia="Arial" w:hAnsi="Arial"/>
                <w:sz w:val="14"/>
                <w:szCs w:val="14"/>
                <w:color w:val="auto"/>
                <w:w w:val="95"/>
              </w:rPr>
              <w:t>Currency</w:t>
            </w:r>
          </w:p>
        </w:tc>
        <w:tc>
          <w:tcPr>
            <w:tcW w:w="16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Six Months Ended</w:t>
            </w:r>
          </w:p>
        </w:tc>
        <w:tc>
          <w:tcPr>
            <w:tcW w:w="1060" w:type="dxa"/>
            <w:vAlign w:val="bottom"/>
          </w:tcPr>
          <w:p>
            <w:pPr>
              <w:jc w:val="center"/>
              <w:ind w:right="64"/>
              <w:spacing w:after="0" w:line="149" w:lineRule="exact"/>
              <w:rPr>
                <w:sz w:val="20"/>
                <w:szCs w:val="20"/>
                <w:color w:val="auto"/>
              </w:rPr>
            </w:pPr>
            <w:r>
              <w:rPr>
                <w:rFonts w:ascii="Arial" w:cs="Arial" w:eastAsia="Arial" w:hAnsi="Arial"/>
                <w:sz w:val="14"/>
                <w:szCs w:val="14"/>
                <w:color w:val="auto"/>
                <w:w w:val="90"/>
              </w:rPr>
              <w:t>Increase/</w:t>
            </w:r>
          </w:p>
        </w:tc>
        <w:tc>
          <w:tcPr>
            <w:tcW w:w="920" w:type="dxa"/>
            <w:vAlign w:val="bottom"/>
          </w:tcPr>
          <w:p>
            <w:pPr>
              <w:jc w:val="center"/>
              <w:ind w:right="24"/>
              <w:spacing w:after="0" w:line="149" w:lineRule="exact"/>
              <w:rPr>
                <w:sz w:val="20"/>
                <w:szCs w:val="20"/>
                <w:color w:val="auto"/>
              </w:rPr>
            </w:pPr>
            <w:r>
              <w:rPr>
                <w:rFonts w:ascii="Arial" w:cs="Arial" w:eastAsia="Arial" w:hAnsi="Arial"/>
                <w:sz w:val="14"/>
                <w:szCs w:val="14"/>
                <w:color w:val="auto"/>
                <w:w w:val="95"/>
              </w:rPr>
              <w:t>Currency</w:t>
            </w:r>
          </w:p>
        </w:tc>
      </w:tr>
      <w:tr>
        <w:trPr>
          <w:trHeight w:val="188"/>
        </w:trPr>
        <w:tc>
          <w:tcPr>
            <w:tcW w:w="3700" w:type="dxa"/>
            <w:vAlign w:val="bottom"/>
          </w:tcPr>
          <w:p>
            <w:pPr>
              <w:spacing w:after="0"/>
              <w:rPr>
                <w:sz w:val="16"/>
                <w:szCs w:val="16"/>
                <w:color w:val="auto"/>
              </w:rPr>
            </w:pPr>
          </w:p>
        </w:tc>
        <w:tc>
          <w:tcPr>
            <w:tcW w:w="11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w w:val="85"/>
              </w:rPr>
              <w:t>June 30,</w:t>
            </w: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w w:val="89"/>
              </w:rPr>
              <w:t>(Decrease)</w:t>
            </w:r>
          </w:p>
        </w:tc>
        <w:tc>
          <w:tcPr>
            <w:tcW w:w="112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c>
          <w:tcPr>
            <w:tcW w:w="9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w w:val="89"/>
              </w:rPr>
              <w:t>June 30,</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w w:val="89"/>
              </w:rPr>
              <w:t>(Decrease)</w:t>
            </w: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r>
      <w:tr>
        <w:trPr>
          <w:trHeight w:val="264"/>
        </w:trPr>
        <w:tc>
          <w:tcPr>
            <w:tcW w:w="37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96"/>
              </w:rPr>
              <w:t>2019</w:t>
            </w: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w w:val="96"/>
              </w:rPr>
              <w:t>%</w:t>
            </w:r>
          </w:p>
        </w:tc>
        <w:tc>
          <w:tcPr>
            <w:tcW w:w="112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color w:val="auto"/>
                <w:w w:val="96"/>
              </w:rPr>
              <w:t>%</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89"/>
              </w:rPr>
              <w:t>2019</w:t>
            </w: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w w:val="96"/>
              </w:rPr>
              <w:t>%</w:t>
            </w:r>
          </w:p>
        </w:tc>
        <w:tc>
          <w:tcPr>
            <w:tcW w:w="9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color w:val="auto"/>
                <w:w w:val="96"/>
              </w:rPr>
              <w:t>%</w:t>
            </w:r>
          </w:p>
        </w:tc>
      </w:tr>
      <w:tr>
        <w:trPr>
          <w:trHeight w:val="228"/>
        </w:trPr>
        <w:tc>
          <w:tcPr>
            <w:tcW w:w="3700" w:type="dxa"/>
            <w:vAlign w:val="bottom"/>
          </w:tcPr>
          <w:p>
            <w:pPr>
              <w:ind w:left="40"/>
              <w:spacing w:after="0"/>
              <w:rPr>
                <w:sz w:val="20"/>
                <w:szCs w:val="20"/>
                <w:color w:val="auto"/>
              </w:rPr>
            </w:pPr>
            <w:r>
              <w:rPr>
                <w:rFonts w:ascii="Arial" w:cs="Arial" w:eastAsia="Arial" w:hAnsi="Arial"/>
                <w:sz w:val="18"/>
                <w:szCs w:val="18"/>
                <w:color w:val="auto"/>
                <w:w w:val="93"/>
              </w:rPr>
              <w:t>Average monthly direct-to-consumer revenue per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customer relationship</w:t>
            </w:r>
          </w:p>
        </w:tc>
        <w:tc>
          <w:tcPr>
            <w:tcW w:w="840" w:type="dxa"/>
            <w:vAlign w:val="bottom"/>
          </w:tcPr>
          <w:p>
            <w:pPr>
              <w:jc w:val="right"/>
              <w:ind w:right="4"/>
              <w:spacing w:after="0"/>
              <w:rPr>
                <w:sz w:val="20"/>
                <w:szCs w:val="20"/>
                <w:color w:val="auto"/>
              </w:rPr>
            </w:pPr>
            <w:r>
              <w:rPr>
                <w:rFonts w:ascii="Arial" w:cs="Arial" w:eastAsia="Arial" w:hAnsi="Arial"/>
                <w:sz w:val="18"/>
                <w:szCs w:val="18"/>
                <w:color w:val="auto"/>
              </w:rPr>
              <w:t>$   49.29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9"/>
              <w:spacing w:after="0"/>
              <w:rPr>
                <w:sz w:val="20"/>
                <w:szCs w:val="20"/>
                <w:color w:val="auto"/>
              </w:rPr>
            </w:pPr>
            <w:r>
              <w:rPr>
                <w:rFonts w:ascii="Arial" w:cs="Arial" w:eastAsia="Arial" w:hAnsi="Arial"/>
                <w:sz w:val="18"/>
                <w:szCs w:val="18"/>
                <w:color w:val="auto"/>
              </w:rPr>
              <w:t>54.31</w:t>
            </w:r>
          </w:p>
        </w:tc>
        <w:tc>
          <w:tcPr>
            <w:tcW w:w="1040" w:type="dxa"/>
            <w:vAlign w:val="bottom"/>
          </w:tcPr>
          <w:p>
            <w:pPr>
              <w:jc w:val="right"/>
              <w:ind w:right="44"/>
              <w:spacing w:after="0"/>
              <w:rPr>
                <w:sz w:val="20"/>
                <w:szCs w:val="20"/>
                <w:color w:val="auto"/>
              </w:rPr>
            </w:pPr>
            <w:r>
              <w:rPr>
                <w:rFonts w:ascii="Arial" w:cs="Arial" w:eastAsia="Arial" w:hAnsi="Arial"/>
                <w:sz w:val="18"/>
                <w:szCs w:val="18"/>
                <w:color w:val="auto"/>
              </w:rPr>
              <w:t>(9.2)%</w:t>
            </w:r>
          </w:p>
        </w:tc>
        <w:tc>
          <w:tcPr>
            <w:tcW w:w="1120" w:type="dxa"/>
            <w:vAlign w:val="bottom"/>
          </w:tcPr>
          <w:p>
            <w:pPr>
              <w:jc w:val="right"/>
              <w:ind w:right="4"/>
              <w:spacing w:after="0"/>
              <w:rPr>
                <w:sz w:val="20"/>
                <w:szCs w:val="20"/>
                <w:color w:val="auto"/>
              </w:rPr>
            </w:pPr>
            <w:r>
              <w:rPr>
                <w:rFonts w:ascii="Arial" w:cs="Arial" w:eastAsia="Arial" w:hAnsi="Arial"/>
                <w:sz w:val="18"/>
                <w:szCs w:val="18"/>
                <w:color w:val="auto"/>
              </w:rPr>
              <w:t>(6.5)%  $</w:t>
            </w:r>
          </w:p>
        </w:tc>
        <w:tc>
          <w:tcPr>
            <w:tcW w:w="640" w:type="dxa"/>
            <w:vAlign w:val="bottom"/>
          </w:tcPr>
          <w:p>
            <w:pPr>
              <w:ind w:left="160"/>
              <w:spacing w:after="0"/>
              <w:rPr>
                <w:sz w:val="20"/>
                <w:szCs w:val="20"/>
                <w:color w:val="auto"/>
              </w:rPr>
            </w:pPr>
            <w:r>
              <w:rPr>
                <w:rFonts w:ascii="Arial" w:cs="Arial" w:eastAsia="Arial" w:hAnsi="Arial"/>
                <w:sz w:val="18"/>
                <w:szCs w:val="18"/>
                <w:color w:val="auto"/>
              </w:rPr>
              <w:t>50.32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9"/>
              <w:spacing w:after="0"/>
              <w:rPr>
                <w:sz w:val="20"/>
                <w:szCs w:val="20"/>
                <w:color w:val="auto"/>
              </w:rPr>
            </w:pPr>
            <w:r>
              <w:rPr>
                <w:rFonts w:ascii="Arial" w:cs="Arial" w:eastAsia="Arial" w:hAnsi="Arial"/>
                <w:sz w:val="18"/>
                <w:szCs w:val="18"/>
                <w:color w:val="auto"/>
              </w:rPr>
              <w:t>54.06</w:t>
            </w:r>
          </w:p>
        </w:tc>
        <w:tc>
          <w:tcPr>
            <w:tcW w:w="1060" w:type="dxa"/>
            <w:vAlign w:val="bottom"/>
          </w:tcPr>
          <w:p>
            <w:pPr>
              <w:jc w:val="right"/>
              <w:ind w:right="44"/>
              <w:spacing w:after="0"/>
              <w:rPr>
                <w:sz w:val="20"/>
                <w:szCs w:val="20"/>
                <w:color w:val="auto"/>
              </w:rPr>
            </w:pPr>
            <w:r>
              <w:rPr>
                <w:rFonts w:ascii="Arial" w:cs="Arial" w:eastAsia="Arial" w:hAnsi="Arial"/>
                <w:sz w:val="18"/>
                <w:szCs w:val="18"/>
                <w:color w:val="auto"/>
              </w:rPr>
              <w:t>(6.9)%</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3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260" w:hanging="252"/>
        <w:spacing w:after="0" w:line="273"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35 for additional information, including our definition and our use of constant currency, and for a reconciliation of Sky’s constant currency growth rates.</w:t>
      </w:r>
    </w:p>
    <w:p>
      <w:pPr>
        <w:sectPr>
          <w:pgSz w:w="11900" w:h="16838" w:orient="portrait"/>
          <w:cols w:equalWidth="0" w:num="1">
            <w:col w:w="11240"/>
          </w:cols>
          <w:pgMar w:left="320" w:top="175" w:right="3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75"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monthly direct-to-consumer revenue per customer relationship is impacted by rate adjustments and changes in the types and levels of services received by Sky’s customers. Each of Sky’s services has a different contribution to Adjusted EBITDA. We believe this metric is useful in understanding the trends in our business across all of our direct-to-consumer service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for the three and six months ended June 30, 2020 compared to the same periods in 2019. Excluding the impact of foreign currency, revenue decreased primarily due to decreases in average revenue per customer relationship, driven by the impacts of COVID-19, which has resulted in lower sports subscription revenue, as well as a decrease in customer relationships.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for the three and six months ended June 30, 2020 compared to the same periods in 2019. Excluding the impact of foreign currency, revenue decreased primarily due to decreases in wholesale revenue from sports programming as a result of professional sports leagues postponing events as a result of COVID-19.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decreased for the three and six months ended June 30, 2020 compared to the same periods in 2019. Excluding the impact of foreign currency, revenue decreased primarily due to overall market weakness, which has worsened due to COVID-19, the postponement of sporting events due to COVID-19, and the impact of changes in legislation related to gambling advertisements in the U.K. and Italy that occurred in the third quarter of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and production costs decreased for the three and six months ended June 30, 2020 compared to the same periods in 2019. Excluding the impact of foreign currency, programming and production costs decreased primarily due to decreases in sports programming costs recognized as a result of professional sports leagues postponing events as a result of COVID-19. Sporting events, including European soccer leagues, resumed in May and June 2020 and the costs associated with broadcasting these sporting events will be recognized in future periods depending on the timing and extent of future events.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network costs increased for the three and six months ended June 30, 2020 compared to the same periods in 2019. Excluding the impact of foreign currency, direct network costs increased primarily due to increases in costs associated with Sky’s high-speed internet and wireless phone services as a result of increases in the number of customers receiving these services.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expenses decreased for the three and six months ended June 30, 2020 compared to the same periods in 2019. Excluding the impact of foreign currency, other expenses decreased primarily due to lower advertising costs, resulting from the impact of COVID-19.</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center"/>
              <w:ind w:left="478"/>
              <w:spacing w:after="0"/>
              <w:rPr>
                <w:sz w:val="20"/>
                <w:szCs w:val="20"/>
                <w:color w:val="auto"/>
              </w:rPr>
            </w:pPr>
            <w:r>
              <w:rPr>
                <w:rFonts w:ascii="Arial" w:cs="Arial" w:eastAsia="Arial" w:hAnsi="Arial"/>
                <w:sz w:val="14"/>
                <w:szCs w:val="14"/>
                <w:color w:val="auto"/>
                <w:w w:val="93"/>
              </w:rPr>
              <w:t>Three Months Ended</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jc w:val="center"/>
              <w:ind w:left="538"/>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4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color w:val="auto"/>
                <w:w w:val="89"/>
              </w:rPr>
              <w:t>June 30,</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8"/>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3"/>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9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46</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56</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8"/>
              <w:spacing w:after="0"/>
              <w:rPr>
                <w:sz w:val="20"/>
                <w:szCs w:val="20"/>
                <w:color w:val="auto"/>
              </w:rPr>
            </w:pPr>
            <w:r>
              <w:rPr>
                <w:rFonts w:ascii="Arial" w:cs="Arial" w:eastAsia="Arial" w:hAnsi="Arial"/>
                <w:sz w:val="18"/>
                <w:szCs w:val="18"/>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48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568</w:t>
            </w:r>
          </w:p>
        </w:tc>
        <w:tc>
          <w:tcPr>
            <w:tcW w:w="660" w:type="dxa"/>
            <w:vAlign w:val="bottom"/>
          </w:tcPr>
          <w:p>
            <w:pPr>
              <w:spacing w:after="0"/>
              <w:rPr>
                <w:sz w:val="23"/>
                <w:szCs w:val="23"/>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353</w:t>
            </w:r>
          </w:p>
        </w:tc>
        <w:tc>
          <w:tcPr>
            <w:tcW w:w="520" w:type="dxa"/>
            <w:vAlign w:val="bottom"/>
          </w:tcPr>
          <w:p>
            <w:pPr>
              <w:spacing w:after="0"/>
              <w:rPr>
                <w:sz w:val="23"/>
                <w:szCs w:val="23"/>
                <w:color w:val="auto"/>
              </w:rPr>
            </w:pPr>
          </w:p>
        </w:tc>
        <w:tc>
          <w:tcPr>
            <w:tcW w:w="1620" w:type="dxa"/>
            <w:vAlign w:val="bottom"/>
          </w:tcPr>
          <w:p>
            <w:pPr>
              <w:jc w:val="right"/>
              <w:ind w:right="618"/>
              <w:spacing w:after="0"/>
              <w:rPr>
                <w:sz w:val="20"/>
                <w:szCs w:val="20"/>
                <w:color w:val="auto"/>
              </w:rPr>
            </w:pPr>
            <w:r>
              <w:rPr>
                <w:rFonts w:ascii="Arial" w:cs="Arial" w:eastAsia="Arial" w:hAnsi="Arial"/>
                <w:sz w:val="18"/>
                <w:szCs w:val="18"/>
                <w:color w:val="auto"/>
              </w:rPr>
              <w:t>215</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60.5</w:t>
            </w:r>
          </w:p>
        </w:tc>
      </w:tr>
      <w:tr>
        <w:trPr>
          <w:trHeight w:val="270"/>
        </w:trPr>
        <w:tc>
          <w:tcPr>
            <w:tcW w:w="486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78"/>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3"/>
                <w:szCs w:val="23"/>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23"/>
                <w:szCs w:val="23"/>
                <w:color w:val="auto"/>
              </w:rPr>
            </w:pPr>
          </w:p>
        </w:tc>
        <w:tc>
          <w:tcPr>
            <w:tcW w:w="1620" w:type="dxa"/>
            <w:vAlign w:val="bottom"/>
          </w:tcPr>
          <w:p>
            <w:pPr>
              <w:jc w:val="right"/>
              <w:ind w:right="618"/>
              <w:spacing w:after="0"/>
              <w:rPr>
                <w:sz w:val="20"/>
                <w:szCs w:val="20"/>
                <w:color w:val="auto"/>
              </w:rPr>
            </w:pPr>
            <w:r>
              <w:rPr>
                <w:rFonts w:ascii="Arial" w:cs="Arial" w:eastAsia="Arial" w:hAnsi="Arial"/>
                <w:sz w:val="18"/>
                <w:szCs w:val="18"/>
                <w:color w:val="auto"/>
              </w:rPr>
              <w:t>68</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NM</w:t>
            </w:r>
          </w:p>
        </w:tc>
      </w:tr>
      <w:tr>
        <w:trPr>
          <w:trHeight w:val="27"/>
        </w:trPr>
        <w:tc>
          <w:tcPr>
            <w:tcW w:w="4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78"/>
              <w:spacing w:after="0"/>
              <w:rPr>
                <w:sz w:val="20"/>
                <w:szCs w:val="20"/>
                <w:color w:val="auto"/>
              </w:rPr>
            </w:pPr>
            <w:r>
              <w:rPr>
                <w:rFonts w:ascii="Arial" w:cs="Arial" w:eastAsia="Arial" w:hAnsi="Arial"/>
                <w:sz w:val="18"/>
                <w:szCs w:val="18"/>
                <w:b w:val="1"/>
                <w:bCs w:val="1"/>
                <w:color w:val="auto"/>
              </w:rPr>
              <w:t>(506)</w:t>
            </w:r>
          </w:p>
        </w:tc>
        <w:tc>
          <w:tcPr>
            <w:tcW w:w="6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b w:val="1"/>
                <w:bCs w:val="1"/>
                <w:color w:val="auto"/>
              </w:rPr>
              <w:t>(213)</w:t>
            </w:r>
          </w:p>
        </w:tc>
        <w:tc>
          <w:tcPr>
            <w:tcW w:w="5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58"/>
              <w:spacing w:after="0"/>
              <w:rPr>
                <w:sz w:val="20"/>
                <w:szCs w:val="20"/>
                <w:color w:val="auto"/>
              </w:rPr>
            </w:pPr>
            <w:r>
              <w:rPr>
                <w:rFonts w:ascii="Arial" w:cs="Arial" w:eastAsia="Arial" w:hAnsi="Arial"/>
                <w:sz w:val="18"/>
                <w:szCs w:val="18"/>
                <w:b w:val="1"/>
                <w:bCs w:val="1"/>
                <w:color w:val="auto"/>
              </w:rPr>
              <w:t>(293)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(136.9)%</w:t>
            </w:r>
          </w:p>
        </w:tc>
      </w:tr>
      <w:tr>
        <w:trPr>
          <w:trHeight w:val="34"/>
        </w:trPr>
        <w:tc>
          <w:tcPr>
            <w:tcW w:w="4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54"/>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center"/>
              <w:ind w:left="518"/>
              <w:spacing w:after="0"/>
              <w:rPr>
                <w:sz w:val="20"/>
                <w:szCs w:val="20"/>
                <w:color w:val="auto"/>
              </w:rPr>
            </w:pPr>
            <w:r>
              <w:rPr>
                <w:rFonts w:ascii="Arial" w:cs="Arial" w:eastAsia="Arial" w:hAnsi="Arial"/>
                <w:sz w:val="14"/>
                <w:szCs w:val="14"/>
                <w:color w:val="auto"/>
                <w:w w:val="93"/>
              </w:rPr>
              <w:t>Six Months Ended</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jc w:val="center"/>
              <w:ind w:left="578"/>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color w:val="auto"/>
                <w:w w:val="89"/>
              </w:rPr>
              <w:t>June 30,</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8"/>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196"/>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17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2"/>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166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164</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98"/>
              <w:spacing w:after="0"/>
              <w:rPr>
                <w:sz w:val="20"/>
                <w:szCs w:val="20"/>
                <w:color w:val="auto"/>
              </w:rPr>
            </w:pPr>
            <w:r>
              <w:rPr>
                <w:rFonts w:ascii="Arial" w:cs="Arial" w:eastAsia="Arial" w:hAnsi="Arial"/>
                <w:sz w:val="18"/>
                <w:szCs w:val="18"/>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0"/>
        </w:trPr>
        <w:tc>
          <w:tcPr>
            <w:tcW w:w="48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954</w:t>
            </w:r>
          </w:p>
        </w:tc>
        <w:tc>
          <w:tcPr>
            <w:tcW w:w="660" w:type="dxa"/>
            <w:vAlign w:val="bottom"/>
          </w:tcPr>
          <w:p>
            <w:pPr>
              <w:spacing w:after="0"/>
              <w:rPr>
                <w:sz w:val="23"/>
                <w:szCs w:val="23"/>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699</w:t>
            </w:r>
          </w:p>
        </w:tc>
        <w:tc>
          <w:tcPr>
            <w:tcW w:w="520" w:type="dxa"/>
            <w:vAlign w:val="bottom"/>
          </w:tcPr>
          <w:p>
            <w:pPr>
              <w:spacing w:after="0"/>
              <w:rPr>
                <w:sz w:val="23"/>
                <w:szCs w:val="23"/>
                <w:color w:val="auto"/>
              </w:rPr>
            </w:pPr>
          </w:p>
        </w:tc>
        <w:tc>
          <w:tcPr>
            <w:tcW w:w="1620" w:type="dxa"/>
            <w:vAlign w:val="bottom"/>
          </w:tcPr>
          <w:p>
            <w:pPr>
              <w:jc w:val="right"/>
              <w:ind w:right="598"/>
              <w:spacing w:after="0"/>
              <w:rPr>
                <w:sz w:val="20"/>
                <w:szCs w:val="20"/>
                <w:color w:val="auto"/>
              </w:rPr>
            </w:pPr>
            <w:r>
              <w:rPr>
                <w:rFonts w:ascii="Arial" w:cs="Arial" w:eastAsia="Arial" w:hAnsi="Arial"/>
                <w:sz w:val="18"/>
                <w:szCs w:val="18"/>
                <w:color w:val="auto"/>
              </w:rPr>
              <w:t>255</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36.3</w:t>
            </w:r>
          </w:p>
        </w:tc>
      </w:tr>
      <w:tr>
        <w:trPr>
          <w:trHeight w:val="270"/>
        </w:trPr>
        <w:tc>
          <w:tcPr>
            <w:tcW w:w="486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23"/>
                <w:szCs w:val="23"/>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(135)</w:t>
            </w:r>
          </w:p>
        </w:tc>
        <w:tc>
          <w:tcPr>
            <w:tcW w:w="520" w:type="dxa"/>
            <w:vAlign w:val="bottom"/>
          </w:tcPr>
          <w:p>
            <w:pPr>
              <w:spacing w:after="0"/>
              <w:rPr>
                <w:sz w:val="23"/>
                <w:szCs w:val="23"/>
                <w:color w:val="auto"/>
              </w:rPr>
            </w:pPr>
          </w:p>
        </w:tc>
        <w:tc>
          <w:tcPr>
            <w:tcW w:w="1620" w:type="dxa"/>
            <w:vAlign w:val="bottom"/>
          </w:tcPr>
          <w:p>
            <w:pPr>
              <w:jc w:val="right"/>
              <w:ind w:right="598"/>
              <w:spacing w:after="0"/>
              <w:rPr>
                <w:sz w:val="20"/>
                <w:szCs w:val="20"/>
                <w:color w:val="auto"/>
              </w:rPr>
            </w:pPr>
            <w:r>
              <w:rPr>
                <w:rFonts w:ascii="Arial" w:cs="Arial" w:eastAsia="Arial" w:hAnsi="Arial"/>
                <w:sz w:val="18"/>
                <w:szCs w:val="18"/>
                <w:color w:val="auto"/>
              </w:rPr>
              <w:t>105</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NM</w:t>
            </w:r>
          </w:p>
        </w:tc>
      </w:tr>
      <w:tr>
        <w:trPr>
          <w:trHeight w:val="27"/>
        </w:trPr>
        <w:tc>
          <w:tcPr>
            <w:tcW w:w="4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8"/>
              <w:spacing w:after="0"/>
              <w:rPr>
                <w:sz w:val="20"/>
                <w:szCs w:val="20"/>
                <w:color w:val="auto"/>
              </w:rPr>
            </w:pPr>
            <w:r>
              <w:rPr>
                <w:rFonts w:ascii="Arial" w:cs="Arial" w:eastAsia="Arial" w:hAnsi="Arial"/>
                <w:sz w:val="18"/>
                <w:szCs w:val="18"/>
                <w:b w:val="1"/>
                <w:bCs w:val="1"/>
                <w:color w:val="auto"/>
              </w:rPr>
              <w:t>(758)</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(400)</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38"/>
              <w:spacing w:after="0"/>
              <w:rPr>
                <w:sz w:val="20"/>
                <w:szCs w:val="20"/>
                <w:color w:val="auto"/>
              </w:rPr>
            </w:pPr>
            <w:r>
              <w:rPr>
                <w:rFonts w:ascii="Arial" w:cs="Arial" w:eastAsia="Arial" w:hAnsi="Arial"/>
                <w:sz w:val="18"/>
                <w:szCs w:val="18"/>
                <w:b w:val="1"/>
                <w:bCs w:val="1"/>
                <w:color w:val="auto"/>
              </w:rPr>
              <w:t>(358)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ectPr>
          <w:pgSz w:w="11900" w:h="16838" w:orient="portrait"/>
          <w:cols w:equalWidth="0" w:num="1">
            <w:col w:w="11240"/>
          </w:cols>
          <w:pgMar w:left="320" w:top="175"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75"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 Revenue</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primarily relates to Comcast Spectacor, which owns the Philadelphia Flyers and the Wells Fargo Center arena in Philadelphia, Pennsylvania, and, beginning in the second quarter of 2020, revenues at Peacock.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 Operating Costs and Expenses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primarily include overhead, personnel costs, the costs of other business initiatives, such as Peacock, and operating costs and expenses associated with Comcast Spectacor.</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Expenses increased for the three and six months ended June 30, 2020 compared to the same periods in 2019 primarily due to certain costs incurred in the second quarter of 2020 in response to COVID-19, including severance and restructuring charges related to our NBCUniversal segments, and costs associated with Peacock, which were partially offset by a reduction in costs related to the Sky transaction. Beginning in the second quarter of 2020, Peacock costs include amortization of film and television costs and we expect to continue to incur significant costs related to additional content and marketing for the new platform. Corporate and Other Adjusted EBITDA excludes Sky transaction-related costs.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159"/>
              <w:spacing w:after="0"/>
              <w:rPr>
                <w:sz w:val="20"/>
                <w:szCs w:val="20"/>
                <w:color w:val="auto"/>
              </w:rPr>
            </w:pPr>
            <w:r>
              <w:rPr>
                <w:rFonts w:ascii="Arial" w:cs="Arial" w:eastAsia="Arial" w:hAnsi="Arial"/>
                <w:sz w:val="14"/>
                <w:szCs w:val="14"/>
                <w:color w:val="auto"/>
              </w:rPr>
              <w:t>Increase/</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(Decrease)</w:t>
            </w:r>
          </w:p>
        </w:tc>
        <w:tc>
          <w:tcPr>
            <w:tcW w:w="9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4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5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(962)</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(682)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79"/>
              <w:spacing w:after="0"/>
              <w:rPr>
                <w:sz w:val="20"/>
                <w:szCs w:val="20"/>
                <w:color w:val="auto"/>
              </w:rPr>
            </w:pPr>
            <w:r>
              <w:rPr>
                <w:rFonts w:ascii="Arial" w:cs="Arial" w:eastAsia="Arial" w:hAnsi="Arial"/>
                <w:sz w:val="18"/>
                <w:szCs w:val="18"/>
                <w:color w:val="auto"/>
              </w:rPr>
              <w:t>280</w:t>
            </w:r>
          </w:p>
        </w:tc>
        <w:tc>
          <w:tcPr>
            <w:tcW w:w="980" w:type="dxa"/>
            <w:vAlign w:val="bottom"/>
          </w:tcPr>
          <w:p>
            <w:pPr>
              <w:ind w:left="460"/>
              <w:spacing w:after="0"/>
              <w:rPr>
                <w:sz w:val="20"/>
                <w:szCs w:val="20"/>
                <w:color w:val="auto"/>
              </w:rPr>
            </w:pPr>
            <w:r>
              <w:rPr>
                <w:rFonts w:ascii="Arial" w:cs="Arial" w:eastAsia="Arial" w:hAnsi="Arial"/>
                <w:sz w:val="18"/>
                <w:szCs w:val="18"/>
                <w:color w:val="auto"/>
                <w:w w:val="97"/>
              </w:rPr>
              <w:t>41.0%</w:t>
            </w:r>
          </w:p>
        </w:tc>
        <w:tc>
          <w:tcPr>
            <w:tcW w:w="40" w:type="dxa"/>
            <w:vAlign w:val="bottom"/>
          </w:tcPr>
          <w:p>
            <w:pPr>
              <w:spacing w:after="0"/>
              <w:rPr>
                <w:sz w:val="21"/>
                <w:szCs w:val="21"/>
                <w:color w:val="auto"/>
              </w:rPr>
            </w:pPr>
          </w:p>
        </w:tc>
      </w:tr>
      <w:tr>
        <w:trPr>
          <w:trHeight w:val="270"/>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(832)</w:t>
            </w:r>
          </w:p>
        </w:tc>
        <w:tc>
          <w:tcPr>
            <w:tcW w:w="640" w:type="dxa"/>
            <w:vAlign w:val="bottom"/>
          </w:tcPr>
          <w:p>
            <w:pPr>
              <w:spacing w:after="0"/>
              <w:rPr>
                <w:sz w:val="23"/>
                <w:szCs w:val="23"/>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(661)</w:t>
            </w:r>
          </w:p>
        </w:tc>
        <w:tc>
          <w:tcPr>
            <w:tcW w:w="520" w:type="dxa"/>
            <w:vAlign w:val="bottom"/>
          </w:tcPr>
          <w:p>
            <w:pPr>
              <w:spacing w:after="0"/>
              <w:rPr>
                <w:sz w:val="23"/>
                <w:szCs w:val="23"/>
                <w:color w:val="auto"/>
              </w:rPr>
            </w:pPr>
          </w:p>
        </w:tc>
        <w:tc>
          <w:tcPr>
            <w:tcW w:w="1580" w:type="dxa"/>
            <w:vAlign w:val="bottom"/>
          </w:tcPr>
          <w:p>
            <w:pPr>
              <w:jc w:val="right"/>
              <w:ind w:right="579"/>
              <w:spacing w:after="0"/>
              <w:rPr>
                <w:sz w:val="20"/>
                <w:szCs w:val="20"/>
                <w:color w:val="auto"/>
              </w:rPr>
            </w:pPr>
            <w:r>
              <w:rPr>
                <w:rFonts w:ascii="Arial" w:cs="Arial" w:eastAsia="Arial" w:hAnsi="Arial"/>
                <w:sz w:val="18"/>
                <w:szCs w:val="18"/>
                <w:color w:val="auto"/>
              </w:rPr>
              <w:t>171</w:t>
            </w:r>
          </w:p>
        </w:tc>
        <w:tc>
          <w:tcPr>
            <w:tcW w:w="980" w:type="dxa"/>
            <w:vAlign w:val="bottom"/>
          </w:tcPr>
          <w:p>
            <w:pPr>
              <w:ind w:left="46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79"/>
              <w:spacing w:after="0"/>
              <w:rPr>
                <w:sz w:val="20"/>
                <w:szCs w:val="20"/>
                <w:color w:val="auto"/>
              </w:rPr>
            </w:pPr>
            <w:r>
              <w:rPr>
                <w:rFonts w:ascii="Arial" w:cs="Arial" w:eastAsia="Arial" w:hAnsi="Arial"/>
                <w:sz w:val="18"/>
                <w:szCs w:val="18"/>
                <w:b w:val="1"/>
                <w:bCs w:val="1"/>
                <w:color w:val="auto"/>
              </w:rPr>
              <w:t>(130)</w:t>
            </w:r>
          </w:p>
        </w:tc>
        <w:tc>
          <w:tcPr>
            <w:tcW w:w="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(21)</w:t>
            </w:r>
          </w:p>
        </w:tc>
        <w:tc>
          <w:tcPr>
            <w:tcW w:w="5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79"/>
              <w:spacing w:after="0"/>
              <w:rPr>
                <w:sz w:val="20"/>
                <w:szCs w:val="20"/>
                <w:color w:val="auto"/>
              </w:rPr>
            </w:pPr>
            <w:r>
              <w:rPr>
                <w:rFonts w:ascii="Arial" w:cs="Arial" w:eastAsia="Arial" w:hAnsi="Arial"/>
                <w:sz w:val="18"/>
                <w:szCs w:val="18"/>
                <w:b w:val="1"/>
                <w:bCs w:val="1"/>
                <w:color w:val="auto"/>
              </w:rPr>
              <w:t>109</w:t>
            </w:r>
          </w:p>
        </w:tc>
        <w:tc>
          <w:tcPr>
            <w:tcW w:w="980" w:type="dxa"/>
            <w:vAlign w:val="bottom"/>
          </w:tcPr>
          <w:p>
            <w:pPr>
              <w:ind w:left="480"/>
              <w:spacing w:after="0"/>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454"/>
        </w:trPr>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jc w:val="right"/>
              <w:ind w:right="119"/>
              <w:spacing w:after="0"/>
              <w:rPr>
                <w:sz w:val="20"/>
                <w:szCs w:val="20"/>
                <w:color w:val="auto"/>
              </w:rPr>
            </w:pPr>
            <w:r>
              <w:rPr>
                <w:rFonts w:ascii="Arial" w:cs="Arial" w:eastAsia="Arial" w:hAnsi="Arial"/>
                <w:sz w:val="14"/>
                <w:szCs w:val="14"/>
                <w:color w:val="auto"/>
              </w:rPr>
              <w:t>Increase/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(Decrease)</w:t>
            </w: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1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(1,642)</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(1,321)</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9"/>
              <w:spacing w:after="0"/>
              <w:rPr>
                <w:sz w:val="20"/>
                <w:szCs w:val="20"/>
                <w:color w:val="auto"/>
              </w:rPr>
            </w:pPr>
            <w:r>
              <w:rPr>
                <w:rFonts w:ascii="Arial" w:cs="Arial" w:eastAsia="Arial" w:hAnsi="Arial"/>
                <w:sz w:val="18"/>
                <w:szCs w:val="18"/>
                <w:color w:val="auto"/>
              </w:rPr>
              <w:t>321</w:t>
            </w:r>
          </w:p>
        </w:tc>
        <w:tc>
          <w:tcPr>
            <w:tcW w:w="980" w:type="dxa"/>
            <w:vAlign w:val="bottom"/>
          </w:tcPr>
          <w:p>
            <w:pPr>
              <w:ind w:left="500"/>
              <w:spacing w:after="0"/>
              <w:rPr>
                <w:sz w:val="20"/>
                <w:szCs w:val="20"/>
                <w:color w:val="auto"/>
              </w:rPr>
            </w:pPr>
            <w:r>
              <w:rPr>
                <w:rFonts w:ascii="Arial" w:cs="Arial" w:eastAsia="Arial" w:hAnsi="Arial"/>
                <w:sz w:val="18"/>
                <w:szCs w:val="18"/>
                <w:color w:val="auto"/>
                <w:w w:val="90"/>
              </w:rPr>
              <w:t>24.2%</w:t>
            </w:r>
          </w:p>
        </w:tc>
        <w:tc>
          <w:tcPr>
            <w:tcW w:w="4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(1,520)</w:t>
            </w:r>
          </w:p>
        </w:tc>
        <w:tc>
          <w:tcPr>
            <w:tcW w:w="64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(1,312)</w:t>
            </w:r>
          </w:p>
        </w:tc>
        <w:tc>
          <w:tcPr>
            <w:tcW w:w="520" w:type="dxa"/>
            <w:vAlign w:val="bottom"/>
          </w:tcPr>
          <w:p>
            <w:pPr>
              <w:spacing w:after="0"/>
              <w:rPr>
                <w:sz w:val="23"/>
                <w:szCs w:val="23"/>
                <w:color w:val="auto"/>
              </w:rPr>
            </w:pPr>
          </w:p>
        </w:tc>
        <w:tc>
          <w:tcPr>
            <w:tcW w:w="1580" w:type="dxa"/>
            <w:vAlign w:val="bottom"/>
          </w:tcPr>
          <w:p>
            <w:pPr>
              <w:jc w:val="right"/>
              <w:ind w:right="539"/>
              <w:spacing w:after="0"/>
              <w:rPr>
                <w:sz w:val="20"/>
                <w:szCs w:val="20"/>
                <w:color w:val="auto"/>
              </w:rPr>
            </w:pPr>
            <w:r>
              <w:rPr>
                <w:rFonts w:ascii="Arial" w:cs="Arial" w:eastAsia="Arial" w:hAnsi="Arial"/>
                <w:sz w:val="18"/>
                <w:szCs w:val="18"/>
                <w:color w:val="auto"/>
              </w:rPr>
              <w:t>208</w:t>
            </w:r>
          </w:p>
        </w:tc>
        <w:tc>
          <w:tcPr>
            <w:tcW w:w="980" w:type="dxa"/>
            <w:vAlign w:val="bottom"/>
          </w:tcPr>
          <w:p>
            <w:pPr>
              <w:ind w:left="50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9"/>
              <w:spacing w:after="0"/>
              <w:rPr>
                <w:sz w:val="20"/>
                <w:szCs w:val="20"/>
                <w:color w:val="auto"/>
              </w:rPr>
            </w:pPr>
            <w:r>
              <w:rPr>
                <w:rFonts w:ascii="Arial" w:cs="Arial" w:eastAsia="Arial" w:hAnsi="Arial"/>
                <w:sz w:val="18"/>
                <w:szCs w:val="18"/>
                <w:b w:val="1"/>
                <w:bCs w:val="1"/>
                <w:color w:val="auto"/>
              </w:rPr>
              <w:t>(122)</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(9)</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39"/>
              <w:spacing w:after="0"/>
              <w:rPr>
                <w:sz w:val="20"/>
                <w:szCs w:val="20"/>
                <w:color w:val="auto"/>
              </w:rPr>
            </w:pPr>
            <w:r>
              <w:rPr>
                <w:rFonts w:ascii="Arial" w:cs="Arial" w:eastAsia="Arial" w:hAnsi="Arial"/>
                <w:sz w:val="18"/>
                <w:szCs w:val="18"/>
                <w:b w:val="1"/>
                <w:bCs w:val="1"/>
                <w:color w:val="auto"/>
              </w:rPr>
              <w:t>113</w:t>
            </w:r>
          </w:p>
        </w:tc>
        <w:tc>
          <w:tcPr>
            <w:tcW w:w="980" w:type="dxa"/>
            <w:vAlign w:val="bottom"/>
          </w:tcPr>
          <w:p>
            <w:pPr>
              <w:ind w:left="520"/>
              <w:spacing w:after="0"/>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089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the second quarter of 2020, revenue and operating costs and expenses eliminations increased as a result of licensing of content between our NBCUniversal segments and Peacock. Refer to Note 2 for further description of transactions between our segments.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75"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(loss), net income attributable to Comcast Corporation, or net cash provided by operating activities that we have reported in accordance with GAAP.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3"/>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2019</w:t>
            </w: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2,988</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3,125</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5,135</w:t>
            </w: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6,678</w:t>
            </w:r>
          </w:p>
        </w:tc>
      </w:tr>
      <w:tr>
        <w:trPr>
          <w:trHeight w:val="256"/>
        </w:trPr>
        <w:tc>
          <w:tcPr>
            <w:tcW w:w="4740" w:type="dxa"/>
            <w:vAlign w:val="bottom"/>
          </w:tcPr>
          <w:p>
            <w:pPr>
              <w:ind w:left="40"/>
              <w:spacing w:after="0"/>
              <w:rPr>
                <w:sz w:val="20"/>
                <w:szCs w:val="20"/>
                <w:color w:val="auto"/>
              </w:rPr>
            </w:pPr>
            <w:r>
              <w:rPr>
                <w:rFonts w:ascii="Arial" w:cs="Arial" w:eastAsia="Arial" w:hAnsi="Arial"/>
                <w:sz w:val="18"/>
                <w:szCs w:val="18"/>
                <w:color w:val="auto"/>
                <w:w w:val="97"/>
              </w:rPr>
              <w:t>Net income (loss) attributable to noncontrolling interests and</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20"/>
                <w:szCs w:val="20"/>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98</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946</w:t>
            </w:r>
          </w:p>
        </w:tc>
        <w:tc>
          <w:tcPr>
            <w:tcW w:w="6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961</w:t>
            </w:r>
          </w:p>
        </w:tc>
        <w:tc>
          <w:tcPr>
            <w:tcW w:w="50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1,646</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2,037</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(420)</w:t>
            </w:r>
          </w:p>
        </w:tc>
        <w:tc>
          <w:tcPr>
            <w:tcW w:w="6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296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1,112</w:t>
            </w:r>
          </w:p>
        </w:tc>
        <w:tc>
          <w:tcPr>
            <w:tcW w:w="6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1,137</w:t>
            </w:r>
          </w:p>
        </w:tc>
        <w:tc>
          <w:tcPr>
            <w:tcW w:w="50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2,324</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2,287</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2,099</w:t>
            </w:r>
          </w:p>
        </w:tc>
        <w:tc>
          <w:tcPr>
            <w:tcW w:w="6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2,197</w:t>
            </w:r>
          </w:p>
        </w:tc>
        <w:tc>
          <w:tcPr>
            <w:tcW w:w="50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4,206</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4,437</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1,165</w:t>
            </w:r>
          </w:p>
        </w:tc>
        <w:tc>
          <w:tcPr>
            <w:tcW w:w="6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1,079</w:t>
            </w:r>
          </w:p>
        </w:tc>
        <w:tc>
          <w:tcPr>
            <w:tcW w:w="50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2,322</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2,159</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23"/>
                <w:szCs w:val="23"/>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7,927</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8,716</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5"/>
              <w:spacing w:after="0"/>
              <w:rPr>
                <w:sz w:val="20"/>
                <w:szCs w:val="20"/>
                <w:color w:val="auto"/>
              </w:rPr>
            </w:pPr>
            <w:r>
              <w:rPr>
                <w:rFonts w:ascii="Arial" w:cs="Arial" w:eastAsia="Arial" w:hAnsi="Arial"/>
                <w:sz w:val="18"/>
                <w:szCs w:val="18"/>
                <w:b w:val="1"/>
                <w:bCs w:val="1"/>
                <w:color w:val="auto"/>
              </w:rPr>
              <w:t>16,057</w:t>
            </w: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17,269</w:t>
            </w:r>
          </w:p>
        </w:tc>
      </w:tr>
      <w:tr>
        <w:trPr>
          <w:trHeight w:val="34"/>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Sky Constant Currency Growth Rates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4"/>
              <w:spacing w:after="0"/>
              <w:rPr>
                <w:sz w:val="20"/>
                <w:szCs w:val="20"/>
                <w:color w:val="auto"/>
              </w:rPr>
            </w:pPr>
            <w:r>
              <w:rPr>
                <w:rFonts w:ascii="Arial" w:cs="Arial" w:eastAsia="Arial" w:hAnsi="Arial"/>
                <w:sz w:val="14"/>
                <w:szCs w:val="14"/>
                <w:color w:val="auto"/>
                <w:w w:val="95"/>
              </w:rPr>
              <w:t>Six Months Ended</w:t>
            </w:r>
          </w:p>
        </w:tc>
        <w:tc>
          <w:tcPr>
            <w:tcW w:w="1340" w:type="dxa"/>
            <w:vAlign w:val="bottom"/>
          </w:tcPr>
          <w:p>
            <w:pPr>
              <w:spacing w:after="0"/>
              <w:rPr>
                <w:sz w:val="14"/>
                <w:szCs w:val="14"/>
                <w:color w:val="auto"/>
              </w:rPr>
            </w:pPr>
          </w:p>
        </w:tc>
      </w:tr>
      <w:tr>
        <w:trPr>
          <w:trHeight w:val="188"/>
        </w:trPr>
        <w:tc>
          <w:tcPr>
            <w:tcW w:w="3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June 30,</w:t>
            </w: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June 30,</w:t>
            </w:r>
          </w:p>
        </w:tc>
        <w:tc>
          <w:tcPr>
            <w:tcW w:w="1340" w:type="dxa"/>
            <w:vAlign w:val="bottom"/>
            <w:tcBorders>
              <w:bottom w:val="single" w:sz="8" w:color="auto"/>
            </w:tcBorders>
          </w:tcPr>
          <w:p>
            <w:pPr>
              <w:spacing w:after="0"/>
              <w:rPr>
                <w:sz w:val="16"/>
                <w:szCs w:val="16"/>
                <w:color w:val="auto"/>
              </w:rPr>
            </w:pPr>
          </w:p>
        </w:tc>
      </w:tr>
      <w:tr>
        <w:trPr>
          <w:trHeight w:val="156"/>
        </w:trPr>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40" w:type="dxa"/>
            <w:vAlign w:val="bottom"/>
          </w:tcPr>
          <w:p>
            <w:pPr>
              <w:jc w:val="center"/>
              <w:ind w:right="14"/>
              <w:spacing w:after="0" w:line="156" w:lineRule="exact"/>
              <w:rPr>
                <w:sz w:val="20"/>
                <w:szCs w:val="20"/>
                <w:color w:val="auto"/>
              </w:rPr>
            </w:pPr>
            <w:r>
              <w:rPr>
                <w:rFonts w:ascii="Arial" w:cs="Arial" w:eastAsia="Arial" w:hAnsi="Arial"/>
                <w:sz w:val="14"/>
                <w:szCs w:val="14"/>
                <w:color w:val="auto"/>
                <w:w w:val="92"/>
              </w:rPr>
              <w:t>Constant Currency</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Arial" w:cs="Arial" w:eastAsia="Arial" w:hAnsi="Arial"/>
                <w:sz w:val="14"/>
                <w:szCs w:val="14"/>
                <w:color w:val="auto"/>
                <w:w w:val="92"/>
              </w:rPr>
              <w:t>Constant Currency</w:t>
            </w:r>
          </w:p>
        </w:tc>
      </w:tr>
      <w:tr>
        <w:trPr>
          <w:trHeight w:val="188"/>
        </w:trPr>
        <w:tc>
          <w:tcPr>
            <w:tcW w:w="3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Actual</w:t>
            </w:r>
          </w:p>
        </w:tc>
        <w:tc>
          <w:tcPr>
            <w:tcW w:w="148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color w:val="auto"/>
              </w:rPr>
              <w:t>Constant Currency</w:t>
            </w:r>
          </w:p>
        </w:tc>
        <w:tc>
          <w:tcPr>
            <w:tcW w:w="13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7"/>
              </w:rPr>
              <w:t>Growth</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Actual</w:t>
            </w:r>
          </w:p>
        </w:tc>
        <w:tc>
          <w:tcPr>
            <w:tcW w:w="144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rPr>
              <w:t>Constant Currency</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Growth</w:t>
            </w:r>
          </w:p>
        </w:tc>
      </w:tr>
      <w:tr>
        <w:trPr>
          <w:trHeight w:val="264"/>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customer data)</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2019</w:t>
            </w:r>
          </w:p>
        </w:tc>
        <w:tc>
          <w:tcPr>
            <w:tcW w:w="13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6"/>
              </w:rPr>
              <w:t>%</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2019</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314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3,524</w:t>
            </w:r>
          </w:p>
        </w:tc>
        <w:tc>
          <w:tcPr>
            <w:tcW w:w="38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3,774</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7,203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7,525</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3140" w:type="dxa"/>
            <w:vAlign w:val="bottom"/>
          </w:tcPr>
          <w:p>
            <w:pPr>
              <w:ind w:left="180"/>
              <w:spacing w:after="0"/>
              <w:rPr>
                <w:sz w:val="20"/>
                <w:szCs w:val="20"/>
                <w:color w:val="auto"/>
              </w:rPr>
            </w:pPr>
            <w:r>
              <w:rPr>
                <w:rFonts w:ascii="Arial" w:cs="Arial" w:eastAsia="Arial" w:hAnsi="Arial"/>
                <w:sz w:val="18"/>
                <w:szCs w:val="18"/>
                <w:color w:val="auto"/>
              </w:rPr>
              <w:t>Content</w:t>
            </w:r>
          </w:p>
        </w:tc>
        <w:tc>
          <w:tcPr>
            <w:tcW w:w="26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234</w:t>
            </w:r>
          </w:p>
        </w:tc>
        <w:tc>
          <w:tcPr>
            <w:tcW w:w="380" w:type="dxa"/>
            <w:vAlign w:val="bottom"/>
          </w:tcPr>
          <w:p>
            <w:pPr>
              <w:spacing w:after="0"/>
              <w:rPr>
                <w:sz w:val="23"/>
                <w:szCs w:val="23"/>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364</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23"/>
                <w:szCs w:val="23"/>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727</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(23.3)</w:t>
            </w:r>
          </w:p>
        </w:tc>
      </w:tr>
      <w:tr>
        <w:trPr>
          <w:trHeight w:val="270"/>
        </w:trPr>
        <w:tc>
          <w:tcPr>
            <w:tcW w:w="314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26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3"/>
                <w:szCs w:val="23"/>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547</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23"/>
                <w:szCs w:val="23"/>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1,127</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(26.1)</w:t>
            </w:r>
          </w:p>
        </w:tc>
      </w:tr>
      <w:tr>
        <w:trPr>
          <w:trHeight w:val="27"/>
        </w:trPr>
        <w:tc>
          <w:tcPr>
            <w:tcW w:w="3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4,079</w:t>
            </w:r>
          </w:p>
        </w:tc>
        <w:tc>
          <w:tcPr>
            <w:tcW w:w="380" w:type="dxa"/>
            <w:vAlign w:val="bottom"/>
          </w:tcPr>
          <w:p>
            <w:pPr>
              <w:spacing w:after="0"/>
              <w:rPr>
                <w:sz w:val="20"/>
                <w:szCs w:val="20"/>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b w:val="1"/>
                <w:bCs w:val="1"/>
                <w:color w:val="auto"/>
              </w:rPr>
              <w:t>4,685</w:t>
            </w:r>
          </w:p>
        </w:tc>
        <w:tc>
          <w:tcPr>
            <w:tcW w:w="1340" w:type="dxa"/>
            <w:vAlign w:val="bottom"/>
          </w:tcPr>
          <w:p>
            <w:pPr>
              <w:jc w:val="right"/>
              <w:ind w:right="174"/>
              <w:spacing w:after="0"/>
              <w:rPr>
                <w:sz w:val="20"/>
                <w:szCs w:val="20"/>
                <w:color w:val="auto"/>
              </w:rPr>
            </w:pPr>
            <w:r>
              <w:rPr>
                <w:rFonts w:ascii="Arial" w:cs="Arial" w:eastAsia="Arial" w:hAnsi="Arial"/>
                <w:sz w:val="18"/>
                <w:szCs w:val="18"/>
                <w:b w:val="1"/>
                <w:bCs w:val="1"/>
                <w:color w:val="auto"/>
              </w:rPr>
              <w:t>(12.9)</w:t>
            </w:r>
          </w:p>
        </w:tc>
        <w:tc>
          <w:tcPr>
            <w:tcW w:w="32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8,596</w:t>
            </w:r>
          </w:p>
        </w:tc>
        <w:tc>
          <w:tcPr>
            <w:tcW w:w="240" w:type="dxa"/>
            <w:vAlign w:val="bottom"/>
          </w:tcPr>
          <w:p>
            <w:pPr>
              <w:spacing w:after="0"/>
              <w:rPr>
                <w:sz w:val="20"/>
                <w:szCs w:val="20"/>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b w:val="1"/>
                <w:bCs w:val="1"/>
                <w:color w:val="auto"/>
              </w:rPr>
              <w:t>9,379</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(8.4)</w:t>
            </w: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1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1,543</w:t>
            </w:r>
          </w:p>
        </w:tc>
        <w:tc>
          <w:tcPr>
            <w:tcW w:w="380" w:type="dxa"/>
            <w:vAlign w:val="bottom"/>
          </w:tcPr>
          <w:p>
            <w:pPr>
              <w:spacing w:after="0"/>
              <w:rPr>
                <w:sz w:val="23"/>
                <w:szCs w:val="23"/>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2,176</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3,607</w:t>
            </w:r>
          </w:p>
        </w:tc>
        <w:tc>
          <w:tcPr>
            <w:tcW w:w="240" w:type="dxa"/>
            <w:vAlign w:val="bottom"/>
          </w:tcPr>
          <w:p>
            <w:pPr>
              <w:spacing w:after="0"/>
              <w:rPr>
                <w:sz w:val="23"/>
                <w:szCs w:val="23"/>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4,424</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(18.5)</w:t>
            </w:r>
          </w:p>
        </w:tc>
      </w:tr>
      <w:tr>
        <w:trPr>
          <w:trHeight w:val="270"/>
        </w:trPr>
        <w:tc>
          <w:tcPr>
            <w:tcW w:w="314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26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498</w:t>
            </w:r>
          </w:p>
        </w:tc>
        <w:tc>
          <w:tcPr>
            <w:tcW w:w="380" w:type="dxa"/>
            <w:vAlign w:val="bottom"/>
          </w:tcPr>
          <w:p>
            <w:pPr>
              <w:spacing w:after="0"/>
              <w:rPr>
                <w:sz w:val="23"/>
                <w:szCs w:val="23"/>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400</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955</w:t>
            </w:r>
          </w:p>
        </w:tc>
        <w:tc>
          <w:tcPr>
            <w:tcW w:w="240" w:type="dxa"/>
            <w:vAlign w:val="bottom"/>
          </w:tcPr>
          <w:p>
            <w:pPr>
              <w:spacing w:after="0"/>
              <w:rPr>
                <w:sz w:val="23"/>
                <w:szCs w:val="23"/>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778</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22.9</w:t>
            </w:r>
          </w:p>
        </w:tc>
      </w:tr>
      <w:tr>
        <w:trPr>
          <w:trHeight w:val="270"/>
        </w:trPr>
        <w:tc>
          <w:tcPr>
            <w:tcW w:w="31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1,289</w:t>
            </w:r>
          </w:p>
        </w:tc>
        <w:tc>
          <w:tcPr>
            <w:tcW w:w="380" w:type="dxa"/>
            <w:vAlign w:val="bottom"/>
          </w:tcPr>
          <w:p>
            <w:pPr>
              <w:spacing w:after="0"/>
              <w:rPr>
                <w:sz w:val="23"/>
                <w:szCs w:val="23"/>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1,362</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2,734</w:t>
            </w:r>
          </w:p>
        </w:tc>
        <w:tc>
          <w:tcPr>
            <w:tcW w:w="240" w:type="dxa"/>
            <w:vAlign w:val="bottom"/>
          </w:tcPr>
          <w:p>
            <w:pPr>
              <w:spacing w:after="0"/>
              <w:rPr>
                <w:sz w:val="23"/>
                <w:szCs w:val="23"/>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2,778</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(1.7)</w:t>
            </w:r>
          </w:p>
        </w:tc>
      </w:tr>
      <w:tr>
        <w:trPr>
          <w:trHeight w:val="27"/>
        </w:trPr>
        <w:tc>
          <w:tcPr>
            <w:tcW w:w="3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3,330</w:t>
            </w:r>
          </w:p>
        </w:tc>
        <w:tc>
          <w:tcPr>
            <w:tcW w:w="380" w:type="dxa"/>
            <w:vAlign w:val="bottom"/>
          </w:tcPr>
          <w:p>
            <w:pPr>
              <w:spacing w:after="0"/>
              <w:rPr>
                <w:sz w:val="20"/>
                <w:szCs w:val="20"/>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3,938</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7,296</w:t>
            </w:r>
          </w:p>
        </w:tc>
        <w:tc>
          <w:tcPr>
            <w:tcW w:w="240" w:type="dxa"/>
            <w:vAlign w:val="bottom"/>
          </w:tcPr>
          <w:p>
            <w:pPr>
              <w:spacing w:after="0"/>
              <w:rPr>
                <w:sz w:val="20"/>
                <w:szCs w:val="20"/>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7,980</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(8.6)</w:t>
            </w:r>
          </w:p>
        </w:tc>
      </w:tr>
      <w:tr>
        <w:trPr>
          <w:trHeight w:val="27"/>
        </w:trPr>
        <w:tc>
          <w:tcPr>
            <w:tcW w:w="3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749</w:t>
            </w:r>
          </w:p>
        </w:tc>
        <w:tc>
          <w:tcPr>
            <w:tcW w:w="380" w:type="dxa"/>
            <w:vAlign w:val="bottom"/>
          </w:tcPr>
          <w:p>
            <w:pPr>
              <w:jc w:val="right"/>
              <w:ind w:right="97"/>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b w:val="1"/>
                <w:bCs w:val="1"/>
                <w:color w:val="auto"/>
              </w:rPr>
              <w:t>747</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0.2 %</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1,300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b w:val="1"/>
                <w:bCs w:val="1"/>
                <w:color w:val="auto"/>
              </w:rPr>
              <w:t>1,399</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27"/>
        </w:trPr>
        <w:tc>
          <w:tcPr>
            <w:tcW w:w="3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w w:val="97"/>
              </w:rPr>
              <w:t>Average monthly direct-to-consumer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3140" w:type="dxa"/>
            <w:vAlign w:val="bottom"/>
          </w:tcPr>
          <w:p>
            <w:pPr>
              <w:ind w:left="200"/>
              <w:spacing w:after="0"/>
              <w:rPr>
                <w:sz w:val="20"/>
                <w:szCs w:val="20"/>
                <w:color w:val="auto"/>
              </w:rPr>
            </w:pPr>
            <w:r>
              <w:rPr>
                <w:rFonts w:ascii="Arial" w:cs="Arial" w:eastAsia="Arial" w:hAnsi="Arial"/>
                <w:sz w:val="18"/>
                <w:szCs w:val="18"/>
                <w:b w:val="1"/>
                <w:bCs w:val="1"/>
                <w:color w:val="auto"/>
                <w:w w:val="98"/>
              </w:rPr>
              <w:t>revenue per customer relationship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49.29</w:t>
            </w:r>
          </w:p>
        </w:tc>
        <w:tc>
          <w:tcPr>
            <w:tcW w:w="380" w:type="dxa"/>
            <w:vAlign w:val="bottom"/>
          </w:tcPr>
          <w:p>
            <w:pPr>
              <w:jc w:val="right"/>
              <w:ind w:right="97"/>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b w:val="1"/>
                <w:bCs w:val="1"/>
                <w:color w:val="auto"/>
              </w:rPr>
              <w:t>52.72</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50.32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b w:val="1"/>
                <w:bCs w:val="1"/>
                <w:color w:val="auto"/>
              </w:rPr>
              <w:t>52.68</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4"/>
        </w:trPr>
        <w:tc>
          <w:tcPr>
            <w:tcW w:w="3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594"/>
        </w:trPr>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175"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Refer to “Impacts of COVID-19” for additional discussion.</w:t>
      </w: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significant availability under our revolving credit facilities and commercial paper programs to meet our short-term liquidity requirements. As of June 30, 2020, amounts available under our revolving credit facilities, net of amounts outstanding under our commercial paper programs and outstanding letters of credit and bank guarantees, totaled $9.2 billion.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9,499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10,538</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6,528</w:t>
            </w:r>
          </w:p>
        </w:tc>
        <w:tc>
          <w:tcPr>
            <w:tcW w:w="6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6,596</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621</w:t>
            </w:r>
          </w:p>
        </w:tc>
        <w:tc>
          <w:tcPr>
            <w:tcW w:w="6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533</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95</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(1,936)</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(333)</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(1,634)</w:t>
            </w:r>
          </w:p>
        </w:tc>
      </w:tr>
      <w:tr>
        <w:trPr>
          <w:trHeight w:val="270"/>
        </w:trPr>
        <w:tc>
          <w:tcPr>
            <w:tcW w:w="81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254</w:t>
            </w:r>
          </w:p>
        </w:tc>
      </w:tr>
      <w:tr>
        <w:trPr>
          <w:trHeight w:val="27"/>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5"/>
              <w:spacing w:after="0"/>
              <w:rPr>
                <w:sz w:val="20"/>
                <w:szCs w:val="20"/>
                <w:color w:val="auto"/>
              </w:rPr>
            </w:pPr>
            <w:r>
              <w:rPr>
                <w:rFonts w:ascii="Arial" w:cs="Arial" w:eastAsia="Arial" w:hAnsi="Arial"/>
                <w:sz w:val="18"/>
                <w:szCs w:val="18"/>
                <w:b w:val="1"/>
                <w:bCs w:val="1"/>
                <w:color w:val="auto"/>
              </w:rPr>
              <w:t>14,467</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14,271</w:t>
            </w:r>
          </w:p>
        </w:tc>
      </w:tr>
      <w:tr>
        <w:trPr>
          <w:trHeight w:val="34"/>
        </w:trPr>
        <w:tc>
          <w:tcPr>
            <w:tcW w:w="8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variance in changes in operating assets and liabilities for the six months ended June 30, 2020 compared to the same period in 2019 was primarily due to the impact of COVID-19 on the timing of our film and television costs, including sports rights, as well as the timing of our accounts payables and accrued expenses, which was partially offset by the timing of our accounts receivable.</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decrease in payments of income taxes for the six months ended June 30, 2020 compared to the same period in 2019 was primarily due to the extension of due dates for second quarter 2020 federal estimated income tax payments to the third quarter. Payments of income taxes for the second half of 2020 will also include payments relating to the taxable gain associated with the AirTouch redemption which approximated the proceeds received.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investing activities for the six months ended June 30, 2020 consisted primarily of capital expenditures, cash paid for intangible assets and the construction of Universal Beijing Resort, which were partially offset by proceeds from sales of businesses and investments. Net cash used in investing activities for the six months ended June 30, 2019 consisted primarily of capital expenditures, purchases of investments and cash paid for intangible assets. Capital expenditures decreased for the six months ended June 30, 2020 compared to the same period in 2019 primarily due to decreases in spending by our Cable Communications and Theme Parks segments. We anticipate further declines in spending across our segments as a result of COVID-19, even as we continue to invest in scalable infrastructure to increase network capacity in our Cable Communications segment. Proceeds from sales of businesses and investments increased for the six months ended June 30, 2020 compared to the same period in 2019 primarily due to $1.7 billion of proceeds received from the sale of our investment in AirTouch. See Note 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2020 consisted primarily of repayments of debt, dividend payments and payments related to the redemption and repayment of subsidiary preferred shares presented in other financing activities (see Note 9), which were partially offset by proceeds from borrowings. Net cash used in financing activities for the six months ended June 30, 2019 consisted primarily of repayments of debt and dividend payments.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first quarter of 2020, we issued $4.0 billion of fixed rate senior notes maturing between 2025 and 2040, $3.2 billion (using exchange rates on the date of issuance) of fixed rate Euro senior notes maturing between 2027 and 2040 and $1.8 billion (using exchange rates on the date of issuance) of fixed rate Sterling senior notes maturing between 2029 and 2036. In May 2020, we issued $4.0 billion of fixed rate senior notes maturing between 2031 and 2051.</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2020, we made debt repayments totaling $10.7 billion, including the early redemption and purchase of $9.0 billion of senior notes maturing between 2021 and 2047.</w:t>
      </w:r>
    </w:p>
    <w:p>
      <w:pPr>
        <w:sectPr>
          <w:pgSz w:w="11900" w:h="16838" w:orient="portrait"/>
          <w:cols w:equalWidth="0" w:num="1">
            <w:col w:w="11240"/>
          </w:cols>
          <w:pgMar w:left="320" w:top="175"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75" w:right="3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June 2020, we announced our election to exercise our option to redeem at par $1.4 billion of senior notes due 2046 in August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no commercial paper outstanding and there were no amounts outstanding under our revolving credit facilities.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See Notes 6 and 7 for additional information on our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We have paused our share repurchase program in order to accelerate the reduction of indebtedness we incurred in connection with the acquisition of Sky, and no common shares were repurchased under the authorization for the six months ended June 30, 2020.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$269 million for the six months ended June 30, 2020 related to employee taxes associated with the administration of our share-based compensation plans.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our Board of Directors approved a 10% increase in our dividend to $0.92 per share on an annualized basis. In May 2020, our Board of Directors approved our second quarter dividend of $0.23 per share paid in July 2020. We expect to continue to pay quarterly dividends, although each dividend is subject to approval by our Board of Directors. On April 22, 2020, we paid dividends of $1.1 billion.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billions)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June 30, 2020</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5"/>
              </w:rPr>
              <w:t>December 31, 2019</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Debt subject to cross-guarantees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color w:val="auto"/>
              </w:rPr>
              <w:t>Comcast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80.4</w:t>
            </w:r>
          </w:p>
        </w:tc>
      </w:tr>
      <w:tr>
        <w:trPr>
          <w:trHeight w:val="310"/>
        </w:trPr>
        <w:tc>
          <w:tcPr>
            <w:tcW w:w="7700" w:type="dxa"/>
            <w:vAlign w:val="bottom"/>
          </w:tcPr>
          <w:p>
            <w:pPr>
              <w:ind w:left="40"/>
              <w:spacing w:after="0"/>
              <w:rPr>
                <w:sz w:val="20"/>
                <w:szCs w:val="20"/>
                <w:color w:val="auto"/>
              </w:rPr>
            </w:pPr>
            <w:r>
              <w:rPr>
                <w:rFonts w:ascii="Arial" w:cs="Arial" w:eastAsia="Arial" w:hAnsi="Arial"/>
                <w:sz w:val="18"/>
                <w:szCs w:val="18"/>
                <w:color w:val="auto"/>
              </w:rPr>
              <w:t>NBCUniversal</w:t>
            </w:r>
            <w:r>
              <w:rPr>
                <w:rFonts w:ascii="Arial" w:cs="Arial" w:eastAsia="Arial" w:hAnsi="Arial"/>
                <w:sz w:val="25"/>
                <w:szCs w:val="25"/>
                <w:color w:val="auto"/>
                <w:vertAlign w:val="superscript"/>
              </w:rPr>
              <w:t>(a)</w:t>
            </w:r>
          </w:p>
        </w:tc>
        <w:tc>
          <w:tcPr>
            <w:tcW w:w="4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5.8</w:t>
            </w:r>
          </w:p>
        </w:tc>
      </w:tr>
      <w:tr>
        <w:trPr>
          <w:trHeight w:val="257"/>
        </w:trPr>
        <w:tc>
          <w:tcPr>
            <w:tcW w:w="77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Comcast Cable</w:t>
            </w:r>
            <w:r>
              <w:rPr>
                <w:rFonts w:ascii="Arial" w:cs="Arial" w:eastAsia="Arial" w:hAnsi="Arial"/>
                <w:sz w:val="25"/>
                <w:szCs w:val="25"/>
                <w:color w:val="auto"/>
                <w:vertAlign w:val="superscript"/>
              </w:rPr>
              <w:t>(a)</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r>
      <w:tr>
        <w:trPr>
          <w:trHeight w:val="237"/>
        </w:trPr>
        <w:tc>
          <w:tcPr>
            <w:tcW w:w="7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88.3</w:t>
            </w: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Debt subject to one-way guarantees</w:t>
            </w: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color w:val="auto"/>
              </w:rPr>
              <w:t>Sky</w:t>
            </w:r>
          </w:p>
        </w:tc>
        <w:tc>
          <w:tcPr>
            <w:tcW w:w="4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3"/>
                <w:szCs w:val="23"/>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9.2</w:t>
            </w:r>
          </w:p>
        </w:tc>
      </w:tr>
      <w:tr>
        <w:trPr>
          <w:trHeight w:val="297"/>
        </w:trPr>
        <w:tc>
          <w:tcPr>
            <w:tcW w:w="7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r>
      <w:tr>
        <w:trPr>
          <w:trHeight w:val="237"/>
        </w:trPr>
        <w:tc>
          <w:tcPr>
            <w:tcW w:w="7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13.3</w:t>
            </w: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Debt not guaranteed</w:t>
            </w: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10"/>
        </w:trPr>
        <w:tc>
          <w:tcPr>
            <w:tcW w:w="7700" w:type="dxa"/>
            <w:vAlign w:val="bottom"/>
          </w:tcPr>
          <w:p>
            <w:pPr>
              <w:ind w:left="40"/>
              <w:spacing w:after="0"/>
              <w:rPr>
                <w:sz w:val="20"/>
                <w:szCs w:val="20"/>
                <w:color w:val="auto"/>
              </w:rPr>
            </w:pPr>
            <w:r>
              <w:rPr>
                <w:rFonts w:ascii="Arial" w:cs="Arial" w:eastAsia="Arial" w:hAnsi="Arial"/>
                <w:sz w:val="18"/>
                <w:szCs w:val="18"/>
                <w:color w:val="auto"/>
              </w:rPr>
              <w:t>Universal Beijing Resort</w:t>
            </w:r>
            <w:r>
              <w:rPr>
                <w:rFonts w:ascii="Arial" w:cs="Arial" w:eastAsia="Arial" w:hAnsi="Arial"/>
                <w:sz w:val="25"/>
                <w:szCs w:val="25"/>
                <w:color w:val="auto"/>
                <w:vertAlign w:val="superscript"/>
              </w:rPr>
              <w:t>(b)</w:t>
            </w:r>
          </w:p>
        </w:tc>
        <w:tc>
          <w:tcPr>
            <w:tcW w:w="4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30"/>
        </w:trPr>
        <w:tc>
          <w:tcPr>
            <w:tcW w:w="770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w:t>
            </w:r>
          </w:p>
        </w:tc>
      </w:tr>
      <w:tr>
        <w:trPr>
          <w:trHeight w:val="27"/>
        </w:trPr>
        <w:tc>
          <w:tcPr>
            <w:tcW w:w="7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2.3</w:t>
            </w:r>
          </w:p>
        </w:tc>
      </w:tr>
      <w:tr>
        <w:trPr>
          <w:trHeight w:val="256"/>
        </w:trPr>
        <w:tc>
          <w:tcPr>
            <w:tcW w:w="7700" w:type="dxa"/>
            <w:vAlign w:val="bottom"/>
          </w:tcPr>
          <w:p>
            <w:pPr>
              <w:ind w:left="40"/>
              <w:spacing w:after="0"/>
              <w:rPr>
                <w:sz w:val="20"/>
                <w:szCs w:val="20"/>
                <w:color w:val="auto"/>
              </w:rPr>
            </w:pPr>
            <w:r>
              <w:rPr>
                <w:rFonts w:ascii="Arial" w:cs="Arial" w:eastAsia="Arial" w:hAnsi="Arial"/>
                <w:sz w:val="18"/>
                <w:szCs w:val="18"/>
                <w:color w:val="auto"/>
                <w:w w:val="92"/>
              </w:rPr>
              <w:t>Debt issuance costs, premiums, discounts, fair value adjustments for acquisition accounting and hedged</w:t>
            </w: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positions, net</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104.8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102.2</w:t>
            </w:r>
          </w:p>
        </w:tc>
      </w:tr>
      <w:tr>
        <w:trPr>
          <w:trHeight w:val="34"/>
        </w:trPr>
        <w:tc>
          <w:tcPr>
            <w:tcW w:w="7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line="27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7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w:t>
      </w:r>
    </w:p>
    <w:p>
      <w:pPr>
        <w:sectPr>
          <w:pgSz w:w="11900" w:h="16838" w:orient="portrait"/>
          <w:cols w:equalWidth="0" w:num="1">
            <w:col w:w="11240"/>
          </w:cols>
          <w:pgMar w:left="320" w:top="175"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75" w:right="3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2020 and December 31, 2019, the combined Guarantors have noncurrent notes payable to non-guarantor subsidiaries of $123 billion and $122 billion, respectively, and noncurrent notes receivable from non-guarantor subsidiaries of $23 billion and $21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Comcast provides full and unconditional guarantees of certain debt issued by Sky and other consolidated subsidiaries not subject to the periodic reporting requirements of the SEC.</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also provides a full and unconditional guarantee of $185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2020 and December 31, 2019, Comcast and Comcast Holdings, the combined issuer and guarantor of the guaranteed subordinated debt, have noncurrent senior notes payable to non-guarantor subsidiaries of $93 billion and $92 billion, respectively, and noncurrent notes receivable from non-guarantor subsidiaries of $20 billion and $18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2019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 related to recent accounting pronouncements.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75"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2019 Annual Report on Form 10-K and there have been no significant changes to this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75"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See Note 12 included in this Quarterly Report on Form 10-Q for a discussion of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Item 1A of our 2019 Annual Report on Form 10-K and our Quarterly Report on Form 10-Q for the quarter ended March 31, 2020.</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27, 2020, the employment agreements of Stephen B. Burke, Chairman, NBCUniversal, and David L. Cohen, Senior Executive Vice President, Comcast Corporation, were amended in connection with their planned retirements, with Mr. Burke assuming a new role as Senior Advisor and Mr. Cohen assuming a new role as Senior Advisor to the CEO, in each case reporting to Brian L. Roberts, Chairman and CEO, Comcast Corporation. Each agreement is effective as of January 1, 2021 through December 31, 2025 and provides that each of Messrs. Burke and Cohen will receive an annual base salary of $350,000 but that neither will be entitled to participate in the Company’s annual cash bonus plan or any grant programs under the Company’s equity-based compensation plans beyond the first quarter of 2021.</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summary is qualified in its entirety by the terms and conditions set forth in Messrs. Burke and Cohen’s agreements, copies of which are attached hereto as Exhibits 10.1 and 10.2,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Exhibit</w:t>
      </w:r>
    </w:p>
    <w:p>
      <w:pPr>
        <w:ind w:left="300"/>
        <w:spacing w:after="0"/>
        <w:tabs>
          <w:tab w:leader="none" w:pos="9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p>
      <w:pPr>
        <w:ind w:left="40"/>
        <w:spacing w:after="0"/>
        <w:tabs>
          <w:tab w:leader="none" w:pos="920" w:val="left"/>
        </w:tabs>
        <w:rPr>
          <w:rFonts w:ascii="Arial" w:cs="Arial" w:eastAsia="Arial" w:hAnsi="Arial"/>
          <w:sz w:val="18"/>
          <w:szCs w:val="18"/>
          <w:color w:val="0000FF"/>
        </w:rPr>
      </w:pPr>
      <w:hyperlink w:anchor="page47">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Amendment No. 5 to Employment Agreement with Stephen B. Burke, dated as of July 27, 2020</w:t>
      </w:r>
    </w:p>
    <w:p>
      <w:pPr>
        <w:spacing w:after="0" w:line="63" w:lineRule="exact"/>
        <w:rPr>
          <w:sz w:val="20"/>
          <w:szCs w:val="20"/>
          <w:color w:val="auto"/>
        </w:rPr>
      </w:pPr>
    </w:p>
    <w:p>
      <w:pPr>
        <w:ind w:left="40"/>
        <w:spacing w:after="0"/>
        <w:tabs>
          <w:tab w:leader="none" w:pos="920" w:val="left"/>
        </w:tabs>
        <w:rPr>
          <w:rFonts w:ascii="Arial" w:cs="Arial" w:eastAsia="Arial" w:hAnsi="Arial"/>
          <w:sz w:val="18"/>
          <w:szCs w:val="18"/>
          <w:color w:val="0000FF"/>
        </w:rPr>
      </w:pPr>
      <w:hyperlink w:anchor="page49">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Amendment No. 2 to Employment Agreement with David L. Cohen, dated as of July 27, 2020</w:t>
      </w:r>
    </w:p>
    <w:p>
      <w:pPr>
        <w:spacing w:after="0" w:line="63" w:lineRule="exact"/>
        <w:rPr>
          <w:sz w:val="20"/>
          <w:szCs w:val="20"/>
          <w:color w:val="auto"/>
        </w:rPr>
      </w:pPr>
    </w:p>
    <w:p>
      <w:pPr>
        <w:ind w:left="940" w:right="20" w:hanging="905"/>
        <w:spacing w:after="0" w:line="277" w:lineRule="auto"/>
        <w:tabs>
          <w:tab w:leader="none" w:pos="940" w:val="left"/>
        </w:tabs>
        <w:numPr>
          <w:ilvl w:val="0"/>
          <w:numId w:val="16"/>
        </w:numPr>
        <w:rPr>
          <w:rFonts w:ascii="Arial" w:cs="Arial" w:eastAsia="Arial" w:hAnsi="Arial"/>
          <w:sz w:val="18"/>
          <w:szCs w:val="18"/>
          <w:u w:val="single" w:color="auto"/>
          <w:color w:val="0000FF"/>
        </w:rPr>
      </w:pPr>
      <w:r>
        <w:rPr>
          <w:rFonts w:ascii="Arial" w:cs="Arial" w:eastAsia="Arial" w:hAnsi="Arial"/>
          <w:sz w:val="18"/>
          <w:szCs w:val="18"/>
          <w:color w:val="auto"/>
        </w:rPr>
        <w:t>Subsidiary guarantors and issuers of guaranteed securities and affiliates whose securities collateralize securities of the registrant (incorporated by reference to Exhibit 22.1 to Comcast’s Quarterly Report on Form 10-Q for the quarter ended March 31, 2020)</w:t>
      </w:r>
    </w:p>
    <w:p>
      <w:pPr>
        <w:spacing w:after="0" w:line="8" w:lineRule="exact"/>
        <w:rPr>
          <w:sz w:val="20"/>
          <w:szCs w:val="20"/>
          <w:color w:val="auto"/>
        </w:rPr>
      </w:pPr>
    </w:p>
    <w:p>
      <w:pPr>
        <w:ind w:left="940" w:hanging="905"/>
        <w:spacing w:after="0"/>
        <w:tabs>
          <w:tab w:leader="none" w:pos="940" w:val="left"/>
        </w:tabs>
        <w:numPr>
          <w:ilvl w:val="0"/>
          <w:numId w:val="17"/>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63" w:lineRule="exact"/>
        <w:rPr>
          <w:rFonts w:ascii="Arial" w:cs="Arial" w:eastAsia="Arial" w:hAnsi="Arial"/>
          <w:sz w:val="18"/>
          <w:szCs w:val="18"/>
          <w:u w:val="single" w:color="auto"/>
          <w:color w:val="0000FF"/>
        </w:rPr>
      </w:pPr>
    </w:p>
    <w:p>
      <w:pPr>
        <w:ind w:left="940" w:hanging="905"/>
        <w:spacing w:after="0"/>
        <w:tabs>
          <w:tab w:leader="none" w:pos="940" w:val="left"/>
        </w:tabs>
        <w:numPr>
          <w:ilvl w:val="0"/>
          <w:numId w:val="17"/>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40" w:right="40" w:hanging="905"/>
        <w:spacing w:after="0" w:line="275" w:lineRule="auto"/>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three and six months ended June 30, 2020, filed with the Securities and Exchange Commission on July 30, 2020, formatted in Inline Extensible Business Reporting Language (iXBRL):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14"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5" w:lineRule="exact"/>
        <w:rPr>
          <w:sz w:val="20"/>
          <w:szCs w:val="20"/>
          <w:color w:val="auto"/>
        </w:rPr>
      </w:pPr>
    </w:p>
    <w:p>
      <w:pPr>
        <w:ind w:left="940" w:hanging="905"/>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4"/>
          <w:szCs w:val="14"/>
          <w:color w:val="auto"/>
        </w:rPr>
        <w:t>Constitutes a management contract or compensatory plan or arrangement.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75"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31203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Executive Vice President, Chief Accounting Officer and Controller</w:t>
      </w:r>
    </w:p>
    <w:p>
      <w:pPr>
        <w:spacing w:after="0" w:line="32"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7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5 TO EMPLOYMENT AGREEMENT</w:t>
      </w:r>
    </w:p>
    <w:p>
      <w:pPr>
        <w:spacing w:after="0" w:line="252" w:lineRule="exact"/>
        <w:rPr>
          <w:sz w:val="20"/>
          <w:szCs w:val="20"/>
          <w:color w:val="auto"/>
        </w:rPr>
      </w:pPr>
    </w:p>
    <w:p>
      <w:pPr>
        <w:ind w:right="20" w:firstLine="648"/>
        <w:spacing w:after="0" w:line="304" w:lineRule="auto"/>
        <w:rPr>
          <w:sz w:val="20"/>
          <w:szCs w:val="20"/>
          <w:color w:val="auto"/>
        </w:rPr>
      </w:pPr>
      <w:r>
        <w:rPr>
          <w:rFonts w:ascii="Arial" w:cs="Arial" w:eastAsia="Arial" w:hAnsi="Arial"/>
          <w:sz w:val="22"/>
          <w:szCs w:val="22"/>
          <w:color w:val="auto"/>
        </w:rPr>
        <w:t>This AMENDMENT NO. 5 TO EMPLOYMENT AGREEMENT (“Amendment No. 5”) is entered into as of the 27th day of July, 2020, between COMCAST CORPORATION, a Pennsylvania corporation (together with its subsidiaries, the “Company”), and STEPHEN B. BURKE (“Employee”).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66" w:lineRule="exact"/>
        <w:rPr>
          <w:sz w:val="20"/>
          <w:szCs w:val="20"/>
          <w:color w:val="auto"/>
        </w:rPr>
      </w:pPr>
    </w:p>
    <w:p>
      <w:pPr>
        <w:ind w:right="140" w:firstLine="648"/>
        <w:spacing w:after="0" w:line="361" w:lineRule="auto"/>
        <w:rPr>
          <w:sz w:val="20"/>
          <w:szCs w:val="20"/>
          <w:color w:val="auto"/>
        </w:rPr>
      </w:pPr>
      <w:r>
        <w:rPr>
          <w:rFonts w:ascii="Arial" w:cs="Arial" w:eastAsia="Arial" w:hAnsi="Arial"/>
          <w:sz w:val="19"/>
          <w:szCs w:val="19"/>
          <w:color w:val="auto"/>
        </w:rPr>
        <w:t>The Company and Employee entered into an Employment Agreement (the “Original Agreement”) dated as of December 16, 2009, as amended by Amendment No. 1 to Employment Agreement, Amendment No. 2 to Employment Agreement, Amendment No. 3 to Employment Agreement and Amendment No. 4 to Employment Agreement (collectively with the Original Agreement, the “Agreement”), and desire to further amend the Agreement as provided herein.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right="820" w:firstLine="648"/>
        <w:spacing w:after="0" w:line="301" w:lineRule="auto"/>
        <w:rPr>
          <w:sz w:val="20"/>
          <w:szCs w:val="20"/>
          <w:color w:val="auto"/>
        </w:rPr>
      </w:pPr>
      <w:r>
        <w:rPr>
          <w:rFonts w:ascii="Arial" w:cs="Arial" w:eastAsia="Arial" w:hAnsi="Arial"/>
          <w:sz w:val="21"/>
          <w:szCs w:val="21"/>
          <w:color w:val="auto"/>
        </w:rPr>
        <w:t>Intending to be legally bound hereby, the Company and Employee agree that, effective as of January 1, 2021, the following provisions of the Agreement shall be amended and restated in their entirety as follows:</w:t>
      </w:r>
    </w:p>
    <w:p>
      <w:pPr>
        <w:spacing w:after="0" w:line="150"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Clauses (a) and (b) of paragraph 1 of the Agreement shall be amended and restated to read in their entirety as follows:</w:t>
      </w:r>
    </w:p>
    <w:p>
      <w:pPr>
        <w:spacing w:after="0" w:line="267" w:lineRule="exact"/>
        <w:rPr>
          <w:rFonts w:ascii="Arial" w:cs="Arial" w:eastAsia="Arial" w:hAnsi="Arial"/>
          <w:sz w:val="19"/>
          <w:szCs w:val="19"/>
          <w:color w:val="auto"/>
        </w:rPr>
      </w:pPr>
    </w:p>
    <w:p>
      <w:pPr>
        <w:ind w:left="1060" w:right="40" w:hanging="323"/>
        <w:spacing w:after="0" w:line="262" w:lineRule="auto"/>
        <w:tabs>
          <w:tab w:leader="none" w:pos="10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Employee shall serve and the Company shall employ Employee in the position of Senior Advisor. Employee shall report directly to the Company’s Chief Executive Officer (currently Brian L. Roberts), in Philadelphia, Pennsylvania. The duties of Employee from time to time hereunder will be those assigned by the Company commensurate with Employee’s education, skills and experience.</w:t>
      </w:r>
    </w:p>
    <w:p>
      <w:pPr>
        <w:spacing w:after="0" w:line="231" w:lineRule="exact"/>
        <w:rPr>
          <w:rFonts w:ascii="Arial" w:cs="Arial" w:eastAsia="Arial" w:hAnsi="Arial"/>
          <w:sz w:val="22"/>
          <w:szCs w:val="22"/>
          <w:color w:val="auto"/>
        </w:rPr>
      </w:pPr>
    </w:p>
    <w:p>
      <w:pPr>
        <w:ind w:left="1060" w:right="180" w:hanging="323"/>
        <w:spacing w:after="0" w:line="274" w:lineRule="auto"/>
        <w:tabs>
          <w:tab w:leader="none" w:pos="1060" w:val="left"/>
        </w:tabs>
        <w:numPr>
          <w:ilvl w:val="1"/>
          <w:numId w:val="20"/>
        </w:numPr>
        <w:rPr>
          <w:rFonts w:ascii="Arial" w:cs="Arial" w:eastAsia="Arial" w:hAnsi="Arial"/>
          <w:sz w:val="21"/>
          <w:szCs w:val="21"/>
          <w:color w:val="auto"/>
        </w:rPr>
      </w:pPr>
      <w:r>
        <w:rPr>
          <w:rFonts w:ascii="Arial" w:cs="Arial" w:eastAsia="Arial" w:hAnsi="Arial"/>
          <w:sz w:val="21"/>
          <w:szCs w:val="21"/>
          <w:color w:val="auto"/>
        </w:rPr>
        <w:t>Employee shall work part-time and during working hours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262" w:lineRule="exact"/>
        <w:rPr>
          <w:rFonts w:ascii="Arial" w:cs="Arial" w:eastAsia="Arial" w:hAnsi="Arial"/>
          <w:sz w:val="21"/>
          <w:szCs w:val="21"/>
          <w:color w:val="auto"/>
        </w:rPr>
      </w:pPr>
    </w:p>
    <w:p>
      <w:pPr>
        <w:ind w:left="740" w:hanging="327"/>
        <w:spacing w:after="0"/>
        <w:tabs>
          <w:tab w:leader="none" w:pos="7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Paragraph 2 of the Agreement shall be amended and restated to read in its entirety as follows:</w:t>
      </w:r>
    </w:p>
    <w:p>
      <w:pPr>
        <w:spacing w:after="0" w:line="368" w:lineRule="exact"/>
        <w:rPr>
          <w:rFonts w:ascii="Arial" w:cs="Arial" w:eastAsia="Arial" w:hAnsi="Arial"/>
          <w:sz w:val="22"/>
          <w:szCs w:val="22"/>
          <w:color w:val="auto"/>
        </w:rPr>
      </w:pPr>
    </w:p>
    <w:p>
      <w:pPr>
        <w:ind w:left="1060" w:right="120" w:hanging="324"/>
        <w:spacing w:after="0" w:line="301" w:lineRule="auto"/>
        <w:rPr>
          <w:rFonts w:ascii="Arial" w:cs="Arial" w:eastAsia="Arial" w:hAnsi="Arial"/>
          <w:sz w:val="22"/>
          <w:szCs w:val="22"/>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(the “Term”) shall be from January 1, 2021 (the “Commencement Date”) through the first to occur of: (a) the date Employee’s employment is terminated in accordance with Paragraph 6; or (b) December 31, 2025 (the date specified in subparagraph (b) above is referred to as the “Regular End Date”). Notwithstanding the</w:t>
      </w:r>
    </w:p>
    <w:p>
      <w:pPr>
        <w:sectPr>
          <w:pgSz w:w="11900" w:h="16838" w:orient="portrait"/>
          <w:cols w:equalWidth="0" w:num="1">
            <w:col w:w="11240"/>
          </w:cols>
          <w:pgMar w:left="320" w:top="337" w:right="339" w:bottom="1440" w:gutter="0" w:footer="0" w:header="0"/>
        </w:sectPr>
      </w:pPr>
    </w:p>
    <w:bookmarkStart w:id="47" w:name="page48"/>
    <w:bookmarkEnd w:id="47"/>
    <w:p>
      <w:pPr>
        <w:ind w:left="1060"/>
        <w:spacing w:after="0" w:line="253" w:lineRule="auto"/>
        <w:rPr>
          <w:sz w:val="20"/>
          <w:szCs w:val="20"/>
          <w:color w:val="auto"/>
        </w:rPr>
      </w:pPr>
      <w:r>
        <w:rPr>
          <w:rFonts w:ascii="Arial" w:cs="Arial" w:eastAsia="Arial" w:hAnsi="Arial"/>
          <w:sz w:val="22"/>
          <w:szCs w:val="22"/>
          <w:color w:val="auto"/>
        </w:rPr>
        <w:t>end of the Term, the Company’s obligations to make any payments expressly set forth herein to be made after the Term, and the parties’ rights and obligations contained in Paragraphs 8, 9 and 10, shall be enforceable after the end of the Term.</w:t>
      </w:r>
    </w:p>
    <w:p>
      <w:pPr>
        <w:spacing w:after="0" w:line="307" w:lineRule="exact"/>
        <w:rPr>
          <w:sz w:val="20"/>
          <w:szCs w:val="20"/>
          <w:color w:val="auto"/>
        </w:rPr>
      </w:pPr>
    </w:p>
    <w:p>
      <w:pPr>
        <w:ind w:left="740" w:hanging="327"/>
        <w:spacing w:after="0"/>
        <w:tabs>
          <w:tab w:leader="none" w:pos="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Paragraph 3 of the Agreement shall be amended and restated to read in its entirety as follows:</w:t>
      </w:r>
    </w:p>
    <w:p>
      <w:pPr>
        <w:spacing w:after="0" w:line="327" w:lineRule="exact"/>
        <w:rPr>
          <w:rFonts w:ascii="Arial" w:cs="Arial" w:eastAsia="Arial" w:hAnsi="Arial"/>
          <w:sz w:val="22"/>
          <w:szCs w:val="22"/>
          <w:color w:val="auto"/>
        </w:rPr>
      </w:pPr>
    </w:p>
    <w:p>
      <w:pPr>
        <w:ind w:left="1060" w:right="80" w:hanging="323"/>
        <w:spacing w:after="0" w:line="351" w:lineRule="auto"/>
        <w:tabs>
          <w:tab w:leader="none" w:pos="1060"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Employee’s cash compensation for each year during the Term shall be a Base Salary of $350,000. Base Salary, less normal deductions, shall be paid to Employee in accordance with the Company’s payroll practices in effect from time to time. During the Term, Employee shall be permitted, in accordance with the terms and conditions of the Company’s deferred compensation plans in effect on the date hereof, to redefer existing balances into any investment alternative other than the Income Fund, as defined therein, but shall not be entitled to participate in the Company’s annual Cash Bonus Plan or any grant programs under the Company’s Restricted Stock Plan or Stock Option Plan (or any successor equity-based compensation plans) beyond the first quarter of 2021.</w:t>
      </w:r>
    </w:p>
    <w:p>
      <w:pPr>
        <w:spacing w:after="0" w:line="206" w:lineRule="exact"/>
        <w:rPr>
          <w:rFonts w:ascii="Arial" w:cs="Arial" w:eastAsia="Arial" w:hAnsi="Arial"/>
          <w:sz w:val="19"/>
          <w:szCs w:val="19"/>
          <w:color w:val="auto"/>
        </w:rPr>
      </w:pPr>
    </w:p>
    <w:p>
      <w:pPr>
        <w:ind w:left="740" w:hanging="327"/>
        <w:spacing w:after="0"/>
        <w:tabs>
          <w:tab w:leader="none" w:pos="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Other than as amended hereby, the Agreement remains in full force and effect.</w:t>
      </w:r>
    </w:p>
    <w:p>
      <w:pPr>
        <w:spacing w:after="0" w:line="368" w:lineRule="exact"/>
        <w:rPr>
          <w:sz w:val="20"/>
          <w:szCs w:val="20"/>
          <w:color w:val="auto"/>
        </w:rPr>
      </w:pPr>
    </w:p>
    <w:p>
      <w:pPr>
        <w:ind w:right="460" w:firstLine="648"/>
        <w:spacing w:after="0" w:line="314" w:lineRule="auto"/>
        <w:rPr>
          <w:sz w:val="20"/>
          <w:szCs w:val="20"/>
          <w:color w:val="auto"/>
        </w:rPr>
      </w:pPr>
      <w:r>
        <w:rPr>
          <w:rFonts w:ascii="Arial" w:cs="Arial" w:eastAsia="Arial" w:hAnsi="Arial"/>
          <w:sz w:val="22"/>
          <w:szCs w:val="22"/>
          <w:color w:val="auto"/>
        </w:rPr>
        <w:t>IN WITNESS WHEREOF, the parties hereto have executed and delivered this Amendment No. 5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COMCAST CORPORATION</w:t>
      </w:r>
    </w:p>
    <w:p>
      <w:pPr>
        <w:spacing w:after="0" w:line="1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-17780</wp:posOffset>
            </wp:positionV>
            <wp:extent cx="1295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1546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Stephen B. Burke</w:t>
      </w:r>
    </w:p>
    <w:p>
      <w:pPr>
        <w:sectPr>
          <w:pgSz w:w="11900" w:h="16838" w:orient="portrait"/>
          <w:cols w:equalWidth="0" w:num="1">
            <w:col w:w="11220"/>
          </w:cols>
          <w:pgMar w:left="320" w:top="348"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EMPLOYMENT AGREEMENT</w:t>
      </w:r>
    </w:p>
    <w:p>
      <w:pPr>
        <w:spacing w:after="0" w:line="252" w:lineRule="exact"/>
        <w:rPr>
          <w:sz w:val="20"/>
          <w:szCs w:val="20"/>
          <w:color w:val="auto"/>
        </w:rPr>
      </w:pPr>
    </w:p>
    <w:p>
      <w:pPr>
        <w:ind w:right="20" w:firstLine="648"/>
        <w:spacing w:after="0" w:line="304" w:lineRule="auto"/>
        <w:rPr>
          <w:sz w:val="20"/>
          <w:szCs w:val="20"/>
          <w:color w:val="auto"/>
        </w:rPr>
      </w:pPr>
      <w:r>
        <w:rPr>
          <w:rFonts w:ascii="Arial" w:cs="Arial" w:eastAsia="Arial" w:hAnsi="Arial"/>
          <w:sz w:val="22"/>
          <w:szCs w:val="22"/>
          <w:color w:val="auto"/>
        </w:rPr>
        <w:t>This AMENDMENT NO. 2 TO EMPLOYMENT AGREEMENT (“Amendment No. 2”) is entered into as of the 27th day of July, 2020, between COMCAST CORPORATION, a Pennsylvania corporation (together with its subsidiaries, the “Company”), and DAVID L. COHEN (“Employee”).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66" w:lineRule="exact"/>
        <w:rPr>
          <w:sz w:val="20"/>
          <w:szCs w:val="20"/>
          <w:color w:val="auto"/>
        </w:rPr>
      </w:pPr>
    </w:p>
    <w:p>
      <w:pPr>
        <w:ind w:right="40" w:firstLine="648"/>
        <w:spacing w:after="0" w:line="304" w:lineRule="auto"/>
        <w:rPr>
          <w:sz w:val="20"/>
          <w:szCs w:val="20"/>
          <w:color w:val="auto"/>
        </w:rPr>
      </w:pPr>
      <w:r>
        <w:rPr>
          <w:rFonts w:ascii="Arial" w:cs="Arial" w:eastAsia="Arial" w:hAnsi="Arial"/>
          <w:sz w:val="22"/>
          <w:szCs w:val="22"/>
          <w:color w:val="auto"/>
        </w:rPr>
        <w:t>The Company and Employee entered into an Employment Agreement (the “Original Agreement”) dated as of October 23, 2015, as amended by Amendment No. 1 dated as of December 16, 2019 (together with the Original Agreement, the “Agreement”), and desire to further amend the Agreement as provided herein.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right="820" w:firstLine="648"/>
        <w:spacing w:after="0" w:line="301" w:lineRule="auto"/>
        <w:rPr>
          <w:sz w:val="20"/>
          <w:szCs w:val="20"/>
          <w:color w:val="auto"/>
        </w:rPr>
      </w:pPr>
      <w:r>
        <w:rPr>
          <w:rFonts w:ascii="Arial" w:cs="Arial" w:eastAsia="Arial" w:hAnsi="Arial"/>
          <w:sz w:val="21"/>
          <w:szCs w:val="21"/>
          <w:color w:val="auto"/>
        </w:rPr>
        <w:t>Intending to be legally bound hereby, the Company and Employee agree that, effective as of January 1, 2021, the following provisions of the Agreement shall be amended and restated in their entirety as follows:</w:t>
      </w:r>
    </w:p>
    <w:p>
      <w:pPr>
        <w:spacing w:after="0" w:line="150"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Clauses (a) and (b) of paragraph 1 of the Agreement shall be amended and restated to read in their entirety as follows:</w:t>
      </w:r>
    </w:p>
    <w:p>
      <w:pPr>
        <w:spacing w:after="0" w:line="267" w:lineRule="exact"/>
        <w:rPr>
          <w:rFonts w:ascii="Arial" w:cs="Arial" w:eastAsia="Arial" w:hAnsi="Arial"/>
          <w:sz w:val="19"/>
          <w:szCs w:val="19"/>
          <w:color w:val="auto"/>
        </w:rPr>
      </w:pPr>
    </w:p>
    <w:p>
      <w:pPr>
        <w:ind w:left="1060" w:right="620" w:hanging="323"/>
        <w:spacing w:after="0" w:line="279" w:lineRule="auto"/>
        <w:tabs>
          <w:tab w:leader="none" w:pos="1060" w:val="left"/>
        </w:tabs>
        <w:numPr>
          <w:ilvl w:val="1"/>
          <w:numId w:val="22"/>
        </w:numPr>
        <w:rPr>
          <w:rFonts w:ascii="Arial" w:cs="Arial" w:eastAsia="Arial" w:hAnsi="Arial"/>
          <w:sz w:val="21"/>
          <w:szCs w:val="21"/>
          <w:color w:val="auto"/>
        </w:rPr>
      </w:pPr>
      <w:r>
        <w:rPr>
          <w:rFonts w:ascii="Arial" w:cs="Arial" w:eastAsia="Arial" w:hAnsi="Arial"/>
          <w:sz w:val="21"/>
          <w:szCs w:val="21"/>
          <w:color w:val="auto"/>
        </w:rPr>
        <w:t>Employee shall serve and the Company shall employ Employee in the position of Senior Advisor to the CEO. Employee shall report directly to the Company’s Chief Executive Officer (currently Brian L. Roberts), in Philadelphia, Pennsylvania. The duties of Employee from time to time hereunder will be those assigned by the Company commensurate with Employee’s education, skills and experience.</w:t>
      </w:r>
    </w:p>
    <w:p>
      <w:pPr>
        <w:spacing w:after="0" w:line="213" w:lineRule="exact"/>
        <w:rPr>
          <w:rFonts w:ascii="Arial" w:cs="Arial" w:eastAsia="Arial" w:hAnsi="Arial"/>
          <w:sz w:val="21"/>
          <w:szCs w:val="21"/>
          <w:color w:val="auto"/>
        </w:rPr>
      </w:pPr>
    </w:p>
    <w:p>
      <w:pPr>
        <w:ind w:left="1060" w:right="180" w:hanging="323"/>
        <w:spacing w:after="0" w:line="274" w:lineRule="auto"/>
        <w:tabs>
          <w:tab w:leader="none" w:pos="1060" w:val="left"/>
        </w:tabs>
        <w:numPr>
          <w:ilvl w:val="1"/>
          <w:numId w:val="22"/>
        </w:numPr>
        <w:rPr>
          <w:rFonts w:ascii="Arial" w:cs="Arial" w:eastAsia="Arial" w:hAnsi="Arial"/>
          <w:sz w:val="21"/>
          <w:szCs w:val="21"/>
          <w:color w:val="auto"/>
        </w:rPr>
      </w:pPr>
      <w:r>
        <w:rPr>
          <w:rFonts w:ascii="Arial" w:cs="Arial" w:eastAsia="Arial" w:hAnsi="Arial"/>
          <w:sz w:val="21"/>
          <w:szCs w:val="21"/>
          <w:color w:val="auto"/>
        </w:rPr>
        <w:t>Employee shall work part-time and during working hours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262" w:lineRule="exact"/>
        <w:rPr>
          <w:rFonts w:ascii="Arial" w:cs="Arial" w:eastAsia="Arial" w:hAnsi="Arial"/>
          <w:sz w:val="21"/>
          <w:szCs w:val="21"/>
          <w:color w:val="auto"/>
        </w:rPr>
      </w:pPr>
    </w:p>
    <w:p>
      <w:pPr>
        <w:ind w:left="740" w:hanging="327"/>
        <w:spacing w:after="0"/>
        <w:tabs>
          <w:tab w:leader="none" w:pos="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Paragraph 2 of the Agreement shall be amended and restated to read in its entirety as follows:</w:t>
      </w:r>
    </w:p>
    <w:p>
      <w:pPr>
        <w:spacing w:after="0" w:line="368" w:lineRule="exact"/>
        <w:rPr>
          <w:rFonts w:ascii="Arial" w:cs="Arial" w:eastAsia="Arial" w:hAnsi="Arial"/>
          <w:sz w:val="22"/>
          <w:szCs w:val="22"/>
          <w:color w:val="auto"/>
        </w:rPr>
      </w:pPr>
    </w:p>
    <w:p>
      <w:pPr>
        <w:ind w:left="1060" w:right="120" w:hanging="324"/>
        <w:spacing w:after="0" w:line="361" w:lineRule="auto"/>
        <w:rPr>
          <w:rFonts w:ascii="Arial" w:cs="Arial" w:eastAsia="Arial" w:hAnsi="Arial"/>
          <w:sz w:val="22"/>
          <w:szCs w:val="22"/>
          <w:color w:val="auto"/>
        </w:rPr>
      </w:pPr>
      <w:r>
        <w:rPr>
          <w:rFonts w:ascii="Arial" w:cs="Arial" w:eastAsia="Arial" w:hAnsi="Arial"/>
          <w:sz w:val="19"/>
          <w:szCs w:val="19"/>
          <w:color w:val="auto"/>
        </w:rPr>
        <w:t xml:space="preserve">2. </w:t>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be from January 1, 2021 (the “Commencement Date”) through the first to occur of: (a) the date Employee’s employment is terminated in accordance with Paragraph 6; or (b) December 31, 2025 (the date specified in subparagraph (b) above is referred to as the “Regular End Date”). Notwithstanding the end of the Term, the Company’s obligations to make any payments expressly set forth</w:t>
      </w:r>
    </w:p>
    <w:p>
      <w:pPr>
        <w:sectPr>
          <w:pgSz w:w="11900" w:h="16838" w:orient="portrait"/>
          <w:cols w:equalWidth="0" w:num="1">
            <w:col w:w="11240"/>
          </w:cols>
          <w:pgMar w:left="320" w:top="337" w:right="339" w:bottom="1440" w:gutter="0" w:footer="0" w:header="0"/>
        </w:sectPr>
      </w:pPr>
    </w:p>
    <w:bookmarkStart w:id="49" w:name="page50"/>
    <w:bookmarkEnd w:id="49"/>
    <w:p>
      <w:pPr>
        <w:ind w:left="1060"/>
        <w:spacing w:after="0" w:line="263" w:lineRule="auto"/>
        <w:rPr>
          <w:sz w:val="20"/>
          <w:szCs w:val="20"/>
          <w:color w:val="auto"/>
        </w:rPr>
      </w:pPr>
      <w:r>
        <w:rPr>
          <w:rFonts w:ascii="Arial" w:cs="Arial" w:eastAsia="Arial" w:hAnsi="Arial"/>
          <w:sz w:val="22"/>
          <w:szCs w:val="22"/>
          <w:color w:val="auto"/>
        </w:rPr>
        <w:t>herein to be made after the Term, and the parties’ rights and obligations contained in Paragraphs 8, 9 and 10, shall be enforceable after the end of the Term.</w:t>
      </w:r>
    </w:p>
    <w:p>
      <w:pPr>
        <w:spacing w:after="0" w:line="296" w:lineRule="exact"/>
        <w:rPr>
          <w:sz w:val="20"/>
          <w:szCs w:val="20"/>
          <w:color w:val="auto"/>
        </w:rPr>
      </w:pPr>
    </w:p>
    <w:p>
      <w:pPr>
        <w:ind w:left="740" w:hanging="327"/>
        <w:spacing w:after="0"/>
        <w:tabs>
          <w:tab w:leader="none" w:pos="7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Paragraph 3 of the Agreement shall be amended and restated to read in its entirety as follows:</w:t>
      </w:r>
    </w:p>
    <w:p>
      <w:pPr>
        <w:spacing w:after="0" w:line="327" w:lineRule="exact"/>
        <w:rPr>
          <w:rFonts w:ascii="Arial" w:cs="Arial" w:eastAsia="Arial" w:hAnsi="Arial"/>
          <w:sz w:val="22"/>
          <w:szCs w:val="22"/>
          <w:color w:val="auto"/>
        </w:rPr>
      </w:pPr>
    </w:p>
    <w:p>
      <w:pPr>
        <w:ind w:left="1060" w:right="20" w:hanging="323"/>
        <w:spacing w:after="0" w:line="351" w:lineRule="auto"/>
        <w:tabs>
          <w:tab w:leader="none" w:pos="106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Employee’s cash compensation for each year during the Term shall be a Base Salary of $350,000. Base Salary, less normal deductions, shall be paid to Employee in accordance with the Company’s payroll practices in effect from time to time. During the Term, Employee shall be permitted, in accordance with the terms and conditions of the Company’s deferred compensation plans in effect on the date hereof, to redefer existing balances into any investment alternative other than the Income Fund, as defined therein, but shall not be entitled to participate in the Company’s annual Cash Bonus Plan or any grant programs under the Company’s Restricted Stock Plan or Stock Option Plan (or any successor equity-based compensation plans) beyond the first quarter of 2021.</w:t>
      </w:r>
    </w:p>
    <w:p>
      <w:pPr>
        <w:spacing w:after="0" w:line="206" w:lineRule="exact"/>
        <w:rPr>
          <w:rFonts w:ascii="Arial" w:cs="Arial" w:eastAsia="Arial" w:hAnsi="Arial"/>
          <w:sz w:val="19"/>
          <w:szCs w:val="19"/>
          <w:color w:val="auto"/>
        </w:rPr>
      </w:pPr>
    </w:p>
    <w:p>
      <w:pPr>
        <w:ind w:left="740" w:hanging="327"/>
        <w:spacing w:after="0"/>
        <w:tabs>
          <w:tab w:leader="none" w:pos="7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Paragraph 6 of the Agreement shall be amended and restated to delete clauses (b) and (d)(i) in their entirety.</w:t>
      </w:r>
    </w:p>
    <w:p>
      <w:pPr>
        <w:spacing w:after="0" w:line="339" w:lineRule="exact"/>
        <w:rPr>
          <w:rFonts w:ascii="Arial" w:cs="Arial" w:eastAsia="Arial" w:hAnsi="Arial"/>
          <w:sz w:val="21"/>
          <w:szCs w:val="21"/>
          <w:color w:val="auto"/>
        </w:rPr>
      </w:pPr>
    </w:p>
    <w:p>
      <w:pPr>
        <w:ind w:left="740" w:hanging="327"/>
        <w:spacing w:after="0"/>
        <w:tabs>
          <w:tab w:leader="none" w:pos="7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Other than as amended hereby, the Agreement remains in full force and effect.</w:t>
      </w:r>
    </w:p>
    <w:p>
      <w:pPr>
        <w:spacing w:after="0" w:line="368" w:lineRule="exact"/>
        <w:rPr>
          <w:sz w:val="20"/>
          <w:szCs w:val="20"/>
          <w:color w:val="auto"/>
        </w:rPr>
      </w:pPr>
    </w:p>
    <w:p>
      <w:pPr>
        <w:ind w:right="400" w:firstLine="648"/>
        <w:spacing w:after="0" w:line="314" w:lineRule="auto"/>
        <w:rPr>
          <w:sz w:val="20"/>
          <w:szCs w:val="20"/>
          <w:color w:val="auto"/>
        </w:rPr>
      </w:pPr>
      <w:r>
        <w:rPr>
          <w:rFonts w:ascii="Arial" w:cs="Arial" w:eastAsia="Arial" w:hAnsi="Arial"/>
          <w:sz w:val="22"/>
          <w:szCs w:val="22"/>
          <w:color w:val="auto"/>
        </w:rPr>
        <w:t>IN WITNESS WHEREOF, the parties hereto have executed and delivered this Amendment No. 2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COMCAST CORPORATION</w:t>
      </w:r>
    </w:p>
    <w:p>
      <w:pPr>
        <w:spacing w:after="0" w:line="1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-17780</wp:posOffset>
            </wp:positionV>
            <wp:extent cx="1295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1455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David L. Cohen</w:t>
      </w:r>
    </w:p>
    <w:p>
      <w:pPr>
        <w:sectPr>
          <w:pgSz w:w="11900" w:h="16838" w:orient="portrait"/>
          <w:cols w:equalWidth="0" w:num="1">
            <w:col w:w="11160"/>
          </w:cols>
          <w:pgMar w:left="320" w:top="348" w:right="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4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17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480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73"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40" w:hanging="644"/>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33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480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7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53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8"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31750</wp:posOffset>
            </wp:positionV>
            <wp:extent cx="3480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7"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31750</wp:posOffset>
            </wp:positionV>
            <wp:extent cx="3480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7"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lvl w:ilvl="1">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decimal"/>
      <w:start w:val="19"/>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22"/>
    </w:lvl>
  </w:abstractNum>
  <w:abstractNum w:abstractNumId="16">
    <w:nsid w:val="333AB105"/>
    <w:multiLevelType w:val="hybridMultilevel"/>
    <w:lvl w:ilvl="0">
      <w:lvlJc w:val="left"/>
      <w:lvlText w:val="%1"/>
      <w:numFmt w:val="decimal"/>
      <w:start w:val="3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abstractNum>
  <w:abstractNum w:abstractNumId="20">
    <w:nsid w:val="6763845E"/>
    <w:multiLevelType w:val="hybridMultilevel"/>
    <w:lvl w:ilvl="0">
      <w:lvlJc w:val="left"/>
      <w:lvlText w:val="%1."/>
      <w:numFmt w:val="decimal"/>
      <w:start w:val="3"/>
    </w:lvl>
    <w:lvl w:ilvl="1">
      <w:lvlJc w:val="left"/>
      <w:lvlText w:val="%2."/>
      <w:numFmt w:val="decimal"/>
      <w:start w:val="3"/>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3"/>
    </w:lvl>
    <w:lvl w:ilvl="1">
      <w:lvlJc w:val="left"/>
      <w:lvlText w:val="%2."/>
      <w:numFmt w:val="decimal"/>
      <w:start w:val="3"/>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2020-07-30T18:13:38Z</dcterms:created>
  <dcterms:modified xsi:type="dcterms:W3CDTF">2020-07-30T18:13:38Z</dcterms:modified>
</cp:coreProperties>
</file>