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1320" w:right="4279" w:hanging="885"/>
        <w:spacing w:after="0" w:line="238" w:lineRule="auto"/>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345" w:lineRule="exact"/>
        <w:rPr>
          <w:sz w:val="24"/>
          <w:szCs w:val="24"/>
          <w:color w:val="auto"/>
        </w:rPr>
      </w:pPr>
    </w:p>
    <w:p>
      <w:pPr>
        <w:ind w:left="1320" w:right="3919" w:hanging="885"/>
        <w:spacing w:after="0" w:line="238" w:lineRule="auto"/>
        <w:tabs>
          <w:tab w:leader="none" w:pos="6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7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Commission file number 0-6983</w:t>
      </w:r>
    </w:p>
    <w:p>
      <w:pPr>
        <w:spacing w:after="0" w:line="17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[GRAPHIC OMITTED - LOGO]</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2" w:right="1440" w:bottom="0" w:gutter="0" w:footer="0" w:header="0"/>
        </w:sectPr>
      </w:pP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PENNSYLVANIA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23-1709202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50" w:lineRule="exact"/>
        <w:rPr>
          <w:sz w:val="24"/>
          <w:szCs w:val="24"/>
          <w:color w:val="auto"/>
        </w:rPr>
      </w:pPr>
    </w:p>
    <w:p>
      <w:pPr>
        <w:sectPr>
          <w:pgSz w:w="11900" w:h="16838" w:orient="portrait"/>
          <w:cols w:equalWidth="0" w:num="2">
            <w:col w:w="3180" w:space="720"/>
            <w:col w:w="6319"/>
          </w:cols>
          <w:pgMar w:left="240" w:top="232" w:right="1440" w:bottom="0" w:gutter="0" w:footer="0" w:header="0"/>
          <w:type w:val="continuous"/>
        </w:sectPr>
      </w:pPr>
    </w:p>
    <w:p>
      <w:pPr>
        <w:jc w:val="center"/>
        <w:ind w:right="62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3" w:lineRule="exact"/>
        <w:rPr>
          <w:sz w:val="24"/>
          <w:szCs w:val="24"/>
          <w:color w:val="auto"/>
        </w:rPr>
      </w:pPr>
    </w:p>
    <w:p>
      <w:pPr>
        <w:jc w:val="center"/>
        <w:ind w:right="6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160" w:space="720"/>
            <w:col w:w="5339"/>
          </w:cols>
          <w:pgMar w:left="240" w:top="232" w:right="1440" w:bottom="0" w:gutter="0" w:footer="0" w:header="0"/>
          <w:type w:val="continuous"/>
        </w:sectPr>
      </w:pPr>
    </w:p>
    <w:p>
      <w:pPr>
        <w:jc w:val="center"/>
        <w:ind w:right="311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Class A Common Stock, $1.00 par value</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Class A Special Common Stock, $1.00 par value</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both"/>
        <w:ind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spacing w:after="0"/>
        <w:tabs>
          <w:tab w:leader="none" w:pos="4580" w:val="left"/>
          <w:tab w:leader="none" w:pos="5300" w:val="left"/>
        </w:tabs>
        <w:rPr>
          <w:sz w:val="20"/>
          <w:szCs w:val="20"/>
          <w:color w:val="auto"/>
        </w:rPr>
      </w:pPr>
      <w:r>
        <w:rPr>
          <w:rFonts w:ascii="Courier New" w:cs="Courier New" w:eastAsia="Courier New" w:hAnsi="Courier New"/>
          <w:sz w:val="15"/>
          <w:szCs w:val="15"/>
          <w:color w:val="auto"/>
        </w:rPr>
        <w:t>Indicate by check mark if disclosure of delinquent</w:t>
        <w:tab/>
        <w:t>filers</w:t>
      </w:r>
      <w:r>
        <w:rPr>
          <w:sz w:val="20"/>
          <w:szCs w:val="20"/>
          <w:color w:val="auto"/>
        </w:rPr>
        <w:tab/>
      </w:r>
      <w:r>
        <w:rPr>
          <w:rFonts w:ascii="Courier New" w:cs="Courier New" w:eastAsia="Courier New" w:hAnsi="Courier New"/>
          <w:sz w:val="14"/>
          <w:szCs w:val="14"/>
          <w:color w:val="auto"/>
        </w:rPr>
        <w:t>pursuant to Item 405</w:t>
      </w:r>
    </w:p>
    <w:p>
      <w:pPr>
        <w:spacing w:after="0" w:line="3" w:lineRule="exact"/>
        <w:rPr>
          <w:sz w:val="24"/>
          <w:szCs w:val="24"/>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of Regulation S-K is not contained herein, and will not be contained, to the best of Registrant's knowledge, in definitive proxy or information statements incorporated by reference in Part III of this Form 10-K or any amendments to this Form 10-K. [ ]</w:t>
      </w:r>
    </w:p>
    <w:p>
      <w:pPr>
        <w:spacing w:after="0" w:line="3"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As of December 31, 1998, the aggregate market value of the Class A Common Stock and Class A Special Common Stock held by non-affiliates of the Registrant was $1.755 billion and $19.234 billion, respectively.</w:t>
      </w:r>
    </w:p>
    <w:p>
      <w:pPr>
        <w:spacing w:after="0" w:line="17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As of December 31, 1998, there were 328,630,366 shares of Class A Special Common Stock, 31,690,063 shares of Class A Common Stock and 9,444,375 shares of Class B Common Stock outstanding.</w:t>
      </w:r>
    </w:p>
    <w:p>
      <w:pPr>
        <w:spacing w:after="0" w:line="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3"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Part III - The Registrant's definitive Proxy Statement for its Annual Meeting of Shareholders presently scheduled to be held in June 1999. ================================================================================</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12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COMCAST CORPORATION</w:t>
            </w:r>
          </w:p>
        </w:tc>
        <w:tc>
          <w:tcPr>
            <w:tcW w:w="18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1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1998 FORM 10-K ANNUAL REPORT</w:t>
            </w:r>
          </w:p>
        </w:tc>
        <w:tc>
          <w:tcPr>
            <w:tcW w:w="180" w:type="dxa"/>
            <w:vAlign w:val="bottom"/>
          </w:tcPr>
          <w:p>
            <w:pPr>
              <w:spacing w:after="0"/>
              <w:rPr>
                <w:sz w:val="14"/>
                <w:szCs w:val="14"/>
                <w:color w:val="auto"/>
              </w:rPr>
            </w:pPr>
          </w:p>
        </w:tc>
      </w:tr>
      <w:tr>
        <w:trPr>
          <w:trHeight w:val="341"/>
        </w:trPr>
        <w:tc>
          <w:tcPr>
            <w:tcW w:w="700" w:type="dxa"/>
            <w:vAlign w:val="bottom"/>
          </w:tcPr>
          <w:p>
            <w:pPr>
              <w:spacing w:after="0"/>
              <w:rPr>
                <w:sz w:val="24"/>
                <w:szCs w:val="24"/>
                <w:color w:val="auto"/>
              </w:rPr>
            </w:pPr>
          </w:p>
        </w:tc>
        <w:tc>
          <w:tcPr>
            <w:tcW w:w="612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TABLE OF CONTENTS</w:t>
            </w:r>
          </w:p>
        </w:tc>
        <w:tc>
          <w:tcPr>
            <w:tcW w:w="180" w:type="dxa"/>
            <w:vAlign w:val="bottom"/>
          </w:tcPr>
          <w:p>
            <w:pPr>
              <w:spacing w:after="0"/>
              <w:rPr>
                <w:sz w:val="24"/>
                <w:szCs w:val="24"/>
                <w:color w:val="auto"/>
              </w:rPr>
            </w:pPr>
          </w:p>
        </w:tc>
      </w:tr>
      <w:tr>
        <w:trPr>
          <w:trHeight w:val="341"/>
        </w:trPr>
        <w:tc>
          <w:tcPr>
            <w:tcW w:w="700" w:type="dxa"/>
            <w:vAlign w:val="bottom"/>
          </w:tcPr>
          <w:p>
            <w:pPr>
              <w:spacing w:after="0"/>
              <w:rPr>
                <w:sz w:val="24"/>
                <w:szCs w:val="24"/>
                <w:color w:val="auto"/>
              </w:rPr>
            </w:pPr>
          </w:p>
        </w:tc>
        <w:tc>
          <w:tcPr>
            <w:tcW w:w="61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PART I</w:t>
            </w:r>
          </w:p>
        </w:tc>
        <w:tc>
          <w:tcPr>
            <w:tcW w:w="18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6"/>
              </w:rPr>
              <w:t>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4A</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41"/>
        </w:trPr>
        <w:tc>
          <w:tcPr>
            <w:tcW w:w="700" w:type="dxa"/>
            <w:vAlign w:val="bottom"/>
          </w:tcPr>
          <w:p>
            <w:pPr>
              <w:spacing w:after="0"/>
              <w:rPr>
                <w:sz w:val="24"/>
                <w:szCs w:val="24"/>
                <w:color w:val="auto"/>
              </w:rPr>
            </w:pPr>
          </w:p>
        </w:tc>
        <w:tc>
          <w:tcPr>
            <w:tcW w:w="612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PART II</w:t>
            </w:r>
          </w:p>
        </w:tc>
        <w:tc>
          <w:tcPr>
            <w:tcW w:w="18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Market for the Registrant's Common Equity and</w:t>
            </w:r>
          </w:p>
        </w:tc>
        <w:tc>
          <w:tcPr>
            <w:tcW w:w="18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18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18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Accounting and Financial 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341"/>
        </w:trPr>
        <w:tc>
          <w:tcPr>
            <w:tcW w:w="700" w:type="dxa"/>
            <w:vAlign w:val="bottom"/>
          </w:tcPr>
          <w:p>
            <w:pPr>
              <w:spacing w:after="0"/>
              <w:rPr>
                <w:sz w:val="24"/>
                <w:szCs w:val="24"/>
                <w:color w:val="auto"/>
              </w:rPr>
            </w:pPr>
          </w:p>
        </w:tc>
        <w:tc>
          <w:tcPr>
            <w:tcW w:w="61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PART III</w:t>
            </w:r>
          </w:p>
        </w:tc>
        <w:tc>
          <w:tcPr>
            <w:tcW w:w="18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Security Ownership of Certain Beneficial Owners and Management......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8"/>
              </w:rPr>
              <w:t>Certain Relationships and Related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bl>
    <w:p>
      <w:pPr>
        <w:spacing w:after="0" w:line="171"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PART IV</w:t>
      </w:r>
    </w:p>
    <w:p>
      <w:pPr>
        <w:sectPr>
          <w:pgSz w:w="11900" w:h="16838" w:orient="portrait"/>
          <w:cols w:equalWidth="0" w:num="1">
            <w:col w:w="10219"/>
          </w:cols>
          <w:pgMar w:left="240" w:top="232" w:right="1440" w:bottom="0" w:gutter="0" w:footer="0" w:header="0"/>
          <w:type w:val="continuous"/>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w:t>
      </w:r>
    </w:p>
    <w:p>
      <w:pPr>
        <w:spacing w:after="0" w:line="1" w:lineRule="exact"/>
        <w:rPr>
          <w:sz w:val="20"/>
          <w:szCs w:val="20"/>
          <w:color w:val="auto"/>
        </w:rPr>
      </w:pPr>
    </w:p>
    <w:p>
      <w:pPr>
        <w:ind w:left="780"/>
        <w:spacing w:after="0"/>
        <w:tabs>
          <w:tab w:leader="dot" w:pos="6800" w:val="left"/>
        </w:tabs>
        <w:rPr>
          <w:sz w:val="20"/>
          <w:szCs w:val="20"/>
          <w:color w:val="auto"/>
        </w:rPr>
      </w:pPr>
      <w:r>
        <w:rPr>
          <w:rFonts w:ascii="Courier New" w:cs="Courier New" w:eastAsia="Courier New" w:hAnsi="Courier New"/>
          <w:sz w:val="15"/>
          <w:szCs w:val="15"/>
          <w:color w:val="auto"/>
        </w:rPr>
        <w:t>Reports on Form 8-K</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67</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This Annual Report on Form 10-K is for the year ending December 31, 1998. This Annual Report modifies and supersedes documents filed prior to this Annual 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we file with the SEC in the future will automatically update and supersede information contained in this Annual Report. In this Annual Report, "Comcast," "we," "us" and "our" refer to Comcast Corporation and its subsidiaries.</w:t>
      </w:r>
    </w:p>
    <w:p>
      <w:pPr>
        <w:spacing w:after="0" w:line="16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You should carefully review the information contained in this Annual Report, but should particularly consider any risk factors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2" w:lineRule="exact"/>
        <w:rPr>
          <w:sz w:val="20"/>
          <w:szCs w:val="20"/>
          <w:color w:val="auto"/>
        </w:rPr>
      </w:pPr>
    </w:p>
    <w:p>
      <w:pPr>
        <w:ind w:left="880" w:hanging="445"/>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880" w:hanging="445"/>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880" w:hanging="445"/>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880" w:hanging="445"/>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3"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w:t>
      </w:r>
    </w:p>
    <w:p>
      <w:pPr>
        <w:spacing w:after="0" w:line="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19"/>
          </w:cols>
          <w:pgMar w:left="240" w:top="309"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principally engaged both in developing, managing and operating hybrid fiber-coaxial broadband cable communications networks and in providing programming content, primarily through QVC, our electronic retailing subsidiary. We are currently the fourth-largest cable communications system operator in the United States and are in the process of implementing high-speed Internet access service and digital video applications to enhance the products available on our cable networks.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consolidated cable operations served approximately 4.5 million subscribers and passed approximately 7.4 million homes in the United States as of December 31, 1998. We own interests in other cable communications companies serving more than 237,000 subscribers. We expect to complete transactions in 1999 that will give us an ownership and management interest in cable systems which, upon closing of certain pending transactions, will serve approximately 1.1 million subscribers.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QVC is available, on a full and part-time basis, to over 70 million homes in the United States, over 7.3 million homes in the United Kingdom and Ireland and over 14 million homes in Germany.</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 incorporated into this Annual Report.</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You should see Note 10 to our consolidated financial statements in Item 8 of this report for information about our operations by industry segment.</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entered into a number of significant transactions in 1998 and subsequent to December 31, 1998. We have summarized these transactions below and have more fully described them in Notes 1 and 3 to our consolidated financial statements in Item 8 of this Annual Report.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Greater Philadelphia Cablevision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February 1999, we agreed to acquire Greater Philadelphia Cablevision, Inc., a subsidiary of Greater Media, Inc. that operates a cable communications system serving approximately 79,000 subscribers in Philadelphia, Pennsylvania. We will issue approximately 4.2 million shares of our Class A Special Common Stock to complete the acquisition. The acquisition is expected to close in the fourth quarter of 1999 if we receive all the necessary regulatory and other approvals.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Comcast Cellular</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January 1999, we agreed to sell our wholly owned subsidiary, Comcast Cellular Corporation, to SBC Communications, Inc. for approximately $400 million in cash and the assumption of approximately $1.3 billion of Comcast Cellular debt. Comcast Cellular provides telephone communications services pursuant to licenses granted by the Federal Communications Commission to more than 829,000 subscribers in and around the City of Philadelphia, the State of Delaware and in a significant portion of the State of New Jersey. We expect to recognize a pre-tax gain on the sale of approximately $600 million. We expect to complete this sale in the third quarter of 1999 if we receive all the necessary regulatory and other approvals.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Primestar</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1998, we own a 9.5% interest in Primestar, Inc. Primestar acquires, originates and provides television programming services delivered by satellite to subscribers through a network of distributors. In January 1999, Primestar announced the sale of its direct broadcast satellite service to Hughes Electronics Corporation (a division of General Motors Corporation and the parent company of DirecTV, a direct broadcast satellite service competing with our cable communications systems) for $1.8 billion in cash and stock. The sale of Primestar to Hughes Electronics is subject to the consent of certain Primestar lenders and the receipt of necessary regulatory and other approvals.</w:t>
      </w:r>
    </w:p>
    <w:p>
      <w:pPr>
        <w:sectPr>
          <w:pgSz w:w="11900" w:h="16838" w:orient="portrait"/>
          <w:cols w:equalWidth="0" w:num="1">
            <w:col w:w="10219"/>
          </w:cols>
          <w:pgMar w:left="240" w:top="457" w:right="1440" w:bottom="1440" w:gutter="0" w:footer="0" w:header="0"/>
        </w:sectPr>
      </w:pPr>
    </w:p>
    <w:bookmarkStart w:id="3" w:name="page4"/>
    <w:bookmarkEnd w:id="3"/>
    <w:p>
      <w:pPr>
        <w:ind w:left="440"/>
        <w:spacing w:after="0"/>
        <w:rPr>
          <w:sz w:val="20"/>
          <w:szCs w:val="20"/>
          <w:color w:val="auto"/>
        </w:rPr>
      </w:pPr>
      <w:r>
        <w:rPr>
          <w:rFonts w:ascii="Courier New" w:cs="Courier New" w:eastAsia="Courier New" w:hAnsi="Courier New"/>
          <w:sz w:val="15"/>
          <w:szCs w:val="15"/>
          <w:color w:val="auto"/>
        </w:rPr>
        <w:t>Investment in Prime Communications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December 1998, we agreed to invest in Prime Communications LLC, a cable television operator with cable communications systems serving approximately 430,000 subscribers. During the fourth quarter of 1998, we acquired a $50 million 12.75% subordinated note due 2008 from Prime. In addition, under the terms of the agreement, we will lend Prime approximately $735 million in the form of a 6% ten year note, which transaction we expect to occur in the third quarter of 1999. In return we will receive a convertible note giving us the right to acquire 90% of Prime. The note cannot be converted until the build out of certain of Prime's cable systems is complete and regulatory and other approvals are obtained, which is expected to occur in the third quarter of 2002. Upon conversion of the note, we expect to assume approximately $550 million of Prime debt. We will have the option to acquire the remaining 10% interest in Prime for approximately $82 million, plus accrued interest at 7% per annum.</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Sprint PCS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November 1998, Sprint Corporation assumed total ownership and management control of Sprint PCS, a personal communications services company serving the United States. In exchange for our 15% partnership interest in Sprint PCS, we received approximately 47.2 million shares of unregistered Series 2 Sprint PCS common stock, 61,726 shares of Sprint PCS convertible preferred stock, which converts into approximately 2.0 million shares of unregistered Series 2 Sprint PCS common stock, and a warrant to purchase approximately 3.0 million shares of unregistered Series 2 Sprint PCS common stock at $24.02 per share. As a result of this exchange, we recognized a pre-tax gain of approximately $758 million during the fourth quarter of 1998. We have registration rights, subject to customary restrictions, which will allow us to sell the Sprint PCS stock that we received.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 of Subsidiary Debt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November 1998, Comcast Cable Communications, Inc., one of our wholly owned subsidiaries, sold $800 million aggregate principal amount of 6.20% senior notes due 2008 in a public offering. Interest on the notes is payable semi-annually on May 15 and November 15 of each year, commencing May 15, 1999. The notes are not redeemable prior to maturity. Comcast Cable used substantially all of the net proceeds from the offering to repay existing intercompany borrowings and for general corporate purposes.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Comcast UK Cable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October 1998, we exchanged all of our shares of Comcast UK Cable Partners Limited, one of our consolidated subsidiaries, with NTL Incorporated for approximately 4.8 million shares of unregistered NTL common stock. As a result of this exchange, we recognized a pre-tax gain of approximately $148 million during the fourth quarter of 1998. We have registration rights, subject to customary restrictions, which will allow us to sell the NTL shares that we received.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Acquisition of Teleport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July 1998, we exchanged all of our shares of Teleport Communications Group Inc., a competitive local exchange carrier, with AT&amp;T Corp. for approximately 24.2 million shares of unregistered AT&amp;T common stock. As a result of this exchange, we recognized a pre-tax gain of approximately $1.1 billion during the third quarter of 1998. We have registration rights, subject to customary restrictions, which will allow us to sell the AT&amp;T shares that we received.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Jones Intercable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May and August 1998, we announced agreements to purchase certain interests in Jones Intercable, Inc., for $700 million. We expect to close this acquisition in the first half of 1999 if we receive all the necessary regulatory and other approvals. Upon completion of this acquisition, we will own approximately 12.8 million shares of Jones Intercable's Class A common stock and 2.9 million shares of its common stock. Those shares will represent approximately 37% of the economic and 47% of the voting interest in Jones Intercable. In addition, the 2.9 million shares of common stock that we will own will represent approximately 57% of the outstanding common stock and will enable us to elect 75% of the Board of Directors of Jones Intercable. We expect to consolidate Jones Intercable in our financial statements upon closing of the acquisition.</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457" w:right="1440" w:bottom="1440" w:gutter="0" w:footer="0" w:header="0"/>
        </w:sectPr>
      </w:pPr>
    </w:p>
    <w:bookmarkStart w:id="4" w:name="page5"/>
    <w:bookmarkEnd w:id="4"/>
    <w:p>
      <w:pPr>
        <w:spacing w:after="0" w:line="3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OUR BUSINESSES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Technology and Capital Improvements</w:t>
      </w:r>
    </w:p>
    <w:p>
      <w:pPr>
        <w:spacing w:after="0" w:line="171" w:lineRule="exact"/>
        <w:rPr>
          <w:sz w:val="20"/>
          <w:szCs w:val="20"/>
          <w:color w:val="auto"/>
        </w:rPr>
      </w:pPr>
    </w:p>
    <w:p>
      <w:pPr>
        <w:ind w:left="440"/>
        <w:spacing w:after="0"/>
        <w:tabs>
          <w:tab w:leader="none" w:pos="860" w:val="left"/>
          <w:tab w:leader="none" w:pos="1840" w:val="left"/>
          <w:tab w:leader="none" w:pos="2460" w:val="left"/>
          <w:tab w:leader="none" w:pos="3340" w:val="left"/>
          <w:tab w:leader="none" w:pos="4140" w:val="left"/>
          <w:tab w:leader="none" w:pos="4940" w:val="left"/>
          <w:tab w:leader="none" w:pos="5820" w:val="left"/>
        </w:tabs>
        <w:rPr>
          <w:sz w:val="20"/>
          <w:szCs w:val="20"/>
          <w:color w:val="auto"/>
        </w:rPr>
      </w:pPr>
      <w:r>
        <w:rPr>
          <w:rFonts w:ascii="Courier New" w:cs="Courier New" w:eastAsia="Courier New" w:hAnsi="Courier New"/>
          <w:sz w:val="15"/>
          <w:szCs w:val="15"/>
          <w:color w:val="auto"/>
        </w:rPr>
        <w:t>Our</w:t>
        <w:tab/>
        <w:t>broadband</w:t>
        <w:tab/>
        <w:t>cable</w:t>
        <w:tab/>
        <w:t>networks</w:t>
        <w:tab/>
        <w:t>receive</w:t>
        <w:tab/>
        <w:t>signals</w:t>
        <w:tab/>
        <w:t>by means</w:t>
        <w:tab/>
        <w:t>of:</w:t>
      </w:r>
    </w:p>
    <w:p>
      <w:pPr>
        <w:spacing w:after="0" w:line="171" w:lineRule="exact"/>
        <w:rPr>
          <w:sz w:val="20"/>
          <w:szCs w:val="20"/>
          <w:color w:val="auto"/>
        </w:rPr>
      </w:pPr>
    </w:p>
    <w:p>
      <w:pPr>
        <w:ind w:left="880" w:hanging="445"/>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antennae,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microwave relay systems,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earth stations.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These networks distribute a variety of video, telecommunications and data services to residential and commercial subscribers.</w:t>
      </w:r>
    </w:p>
    <w:p>
      <w:pPr>
        <w:spacing w:after="0" w:line="175"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In accordance with the October 1997 "social contract" we entered into with the FCC, 80% of our cable subscribers will be served by a system with a capacity of at least 550-MHz and at least 60% of our cable subscribers will be served by a system with a capacity of at least 750-MHz by March 31, 1999. In addition, we will provide free cable service connections, cable modems and modem service to schools and to 250 public libraries in communities when we commercially deploy cable modem service to residential customers in those communities.</w:t>
      </w:r>
    </w:p>
    <w:p>
      <w:pPr>
        <w:spacing w:after="0" w:line="16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addition to meeting our "social contract" commitments, we are deploying fiber optic cable and upgrading the technical quality of our broadband networks. As a result, the reliability and capacity of our systems has increased, aiding in the delivery of additional video programming and other services such as enhanced digital video, high-speed Internet access service and, potentially, telephony. During 1998, we introduced our digital converter cable service in 10 markets. As of December 31, 1998, approximately 78,000 subscribers were receiving our digital service. Digital converter cable service allows us to use digital compression to increase the channel capacity of our cable communications systems to more than 100 channels, as well as to improve picture quality.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Cable communications systems are constructed and operated under non-exclusive franchises granted by state or local governmental authorities and are subject to federal, state and local legislation and regulation. Franchises typically contain many conditions which may include:</w:t>
      </w:r>
    </w:p>
    <w:p>
      <w:pPr>
        <w:spacing w:after="0" w:line="174" w:lineRule="exact"/>
        <w:rPr>
          <w:sz w:val="20"/>
          <w:szCs w:val="20"/>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rate and service conditions,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schedules,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programming and provision of services to schools and other public institutions,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indemnity bond requirements.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franchises typically provide for periodic payment of fees to franchising authorities of up to 5% of "revenues" (as defined by each franchise agreement). We normally pass those fees on to subscribers. In most cases, we need the consent of the franchising authority to transfer our franchises. The franchises are granted for varying lengths of time.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Although franchises historically have been renewed, renewals may include less favorable terms and conditions. Under existing law, franchises should continue to be renewed for companies that have provided adequate service and have complied generally with franchise terms. The franchising authority may choose to award additional franchises to competing companies at any time. We have approximately 825 franchises in the United States.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on a monthly basis and generally may discontinue services at any time. Monthly subscription rates and related charges vary according to the type of service selected and the type of equipment used by subscribers. Packages of channels offered to subscribers may consist of television signals of:</w:t>
      </w:r>
    </w:p>
    <w:p>
      <w:pPr>
        <w:spacing w:after="0" w:line="172" w:lineRule="exact"/>
        <w:rPr>
          <w:sz w:val="20"/>
          <w:szCs w:val="20"/>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television networks,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and distant independent, specialty and educational television stations,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satellite-delivered programming,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locally originated programs,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retailing programs.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also offer, for an additional monthly fee, one or more premium services, such as:</w:t>
      </w:r>
    </w:p>
    <w:p>
      <w:pPr>
        <w:spacing w:after="0" w:line="172" w:lineRule="exact"/>
        <w:rPr>
          <w:sz w:val="20"/>
          <w:szCs w:val="20"/>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Box Office(R),</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Cinemax(R),</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Showtime(R),</w:t>
      </w:r>
    </w:p>
    <w:p>
      <w:pPr>
        <w:sectPr>
          <w:pgSz w:w="11900" w:h="16870" w:orient="portrait"/>
          <w:cols w:equalWidth="0" w:num="1">
            <w:col w:w="10219"/>
          </w:cols>
          <w:pgMar w:left="240" w:top="457" w:right="1440" w:bottom="0" w:gutter="0" w:footer="0" w:header="0"/>
        </w:sectPr>
      </w:pPr>
    </w:p>
    <w:bookmarkStart w:id="5" w:name="page6"/>
    <w:bookmarkEnd w:id="5"/>
    <w:p>
      <w:pPr>
        <w:ind w:left="445" w:hanging="445"/>
        <w:spacing w:after="0"/>
        <w:tabs>
          <w:tab w:leader="none" w:pos="4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Movie Channel(TM),</w:t>
      </w:r>
    </w:p>
    <w:p>
      <w:pPr>
        <w:spacing w:after="0" w:line="171" w:lineRule="exact"/>
        <w:rPr>
          <w:rFonts w:ascii="Courier New" w:cs="Courier New" w:eastAsia="Courier New" w:hAnsi="Courier New"/>
          <w:sz w:val="15"/>
          <w:szCs w:val="15"/>
          <w:color w:val="auto"/>
        </w:rPr>
      </w:pPr>
    </w:p>
    <w:p>
      <w:pPr>
        <w:ind w:left="445" w:hanging="445"/>
        <w:spacing w:after="0"/>
        <w:tabs>
          <w:tab w:leader="none" w:pos="4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Encore(R).</w:t>
      </w:r>
    </w:p>
    <w:p>
      <w:pPr>
        <w:spacing w:after="0" w:line="171"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9784"/>
          </w:cols>
          <w:pgMar w:left="675" w:top="309" w:right="1440" w:bottom="1440" w:gutter="0" w:footer="0" w:header="0"/>
        </w:sectPr>
      </w:pPr>
    </w:p>
    <w:bookmarkStart w:id="6" w:name="page7"/>
    <w:bookmarkEnd w:id="6"/>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These premium services generally offer, without commercial interruption, feature motion pictures, live and taped sporting events, concerts and other special features. The charge for premium services depends upon the type and level of service selected by the subscriber.</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also generate revenues from advertising sales, pay-per-view services, installation services, commissions from electronic retailing and other services. Pay-per-view services permit a subscriber to order, for a separate fee, individual feature motion pictures and special event programs, such as professional boxing, professional wrestling and concerts. We also generate revenues from the sale of advertising time to local, regional and national advertisers on non-broadcast channels.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December 1996, we began marketing @Home Corporation's high-speed cable modem services in areas served by certain of our cable communications systems. Residential subscribers can connect their personal computers via cable modems to a high-speed national network developed and managed by @Home. Subscribers can then access online information, including the Internet, at faster speeds than that of conventional or Integrated Service Digital Network modems. Through @Home, we provide businesses with Internet connectivity solutions and networked business applications. @Home and Comcast aggregate content, sell advertising to businesses and provide services to residential subscribers. As of December 31, 1998, the Comcast @Home service was available to over 1.8 million homes in nine markets and served more than 51,000 customers.</w:t>
      </w:r>
    </w:p>
    <w:p>
      <w:pPr>
        <w:spacing w:after="0" w:line="179"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sales efforts are primarily directed toward increasing penetration and generating incremental revenues in our franchise areas. We sell our cable communications services through:</w:t>
      </w:r>
    </w:p>
    <w:p>
      <w:pPr>
        <w:spacing w:after="0" w:line="172" w:lineRule="exact"/>
        <w:rPr>
          <w:sz w:val="20"/>
          <w:szCs w:val="20"/>
          <w:color w:val="auto"/>
        </w:rPr>
      </w:pPr>
    </w:p>
    <w:p>
      <w:pPr>
        <w:ind w:left="880" w:hanging="445"/>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spacing w:after="0" w:line="174" w:lineRule="exact"/>
        <w:rPr>
          <w:rFonts w:ascii="Courier New" w:cs="Courier New" w:eastAsia="Courier New" w:hAnsi="Courier New"/>
          <w:sz w:val="15"/>
          <w:szCs w:val="15"/>
          <w:color w:val="auto"/>
        </w:rPr>
      </w:pPr>
    </w:p>
    <w:p>
      <w:pPr>
        <w:ind w:left="440" w:right="7219" w:hanging="5"/>
        <w:spacing w:after="0" w:line="478" w:lineRule="auto"/>
        <w:tabs>
          <w:tab w:leader="none" w:pos="8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Programming</w:t>
      </w:r>
    </w:p>
    <w:p>
      <w:pPr>
        <w:spacing w:after="0" w:line="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w:t>
      </w:r>
    </w:p>
    <w:p>
      <w:pPr>
        <w:spacing w:after="0" w:line="172" w:lineRule="exact"/>
        <w:rPr>
          <w:sz w:val="20"/>
          <w:szCs w:val="20"/>
          <w:color w:val="auto"/>
        </w:rPr>
      </w:pPr>
    </w:p>
    <w:p>
      <w:pPr>
        <w:ind w:left="880"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number of subscribers,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customers,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attempt to secure long-term programming contracts with volume discounts and/or marketing support and incentives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Service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currently consolidating our local customer service operations into large regional call centers. These regional call centers have technologically advanced telephone systems that provide 24-hour per day, 7-day per week call answering capability, telemarketing and other services. Because of these technological advances, we can better serve our subscriber base and cross-market new products and services. We have 10 call centers in operation as of December 31, 1998 which serve approximately 2.4 million subscribers. Subscribers in our remaining cable systems receive customer service primarily through our local, system-based representatives.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460" w:right="1440" w:bottom="1440" w:gutter="0" w:footer="0" w:header="0"/>
        </w:sectPr>
      </w:pPr>
    </w:p>
    <w:bookmarkStart w:id="7" w:name="page8"/>
    <w:bookmarkEnd w:id="7"/>
    <w:p>
      <w:pPr>
        <w:ind w:left="449"/>
        <w:spacing w:after="0"/>
        <w:rPr>
          <w:sz w:val="20"/>
          <w:szCs w:val="20"/>
          <w:color w:val="auto"/>
        </w:rPr>
      </w:pPr>
      <w:r>
        <w:rPr>
          <w:rFonts w:ascii="Courier New" w:cs="Courier New" w:eastAsia="Courier New" w:hAnsi="Courier New"/>
          <w:sz w:val="15"/>
          <w:szCs w:val="15"/>
          <w:color w:val="auto"/>
        </w:rPr>
        <w:t>Comcast's Cable Systems</w:t>
      </w:r>
    </w:p>
    <w:p>
      <w:pPr>
        <w:spacing w:after="0" w:line="174" w:lineRule="exact"/>
        <w:rPr>
          <w:sz w:val="20"/>
          <w:szCs w:val="20"/>
          <w:color w:val="auto"/>
        </w:rPr>
      </w:pPr>
    </w:p>
    <w:p>
      <w:pPr>
        <w:jc w:val="both"/>
        <w:ind w:left="9" w:right="3620" w:firstLine="444"/>
        <w:spacing w:after="0" w:line="239" w:lineRule="auto"/>
        <w:rPr>
          <w:sz w:val="20"/>
          <w:szCs w:val="20"/>
          <w:color w:val="auto"/>
        </w:rPr>
      </w:pPr>
      <w:r>
        <w:rPr>
          <w:rFonts w:ascii="Courier New" w:cs="Courier New" w:eastAsia="Courier New" w:hAnsi="Courier New"/>
          <w:sz w:val="15"/>
          <w:szCs w:val="15"/>
          <w:color w:val="auto"/>
        </w:rPr>
        <w:t>The table below summarizes Homes Passed, Cable Subscribers and Cable Penetration information for our cable communications systems as of December 31 (homes and subscribers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1996(5)</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Homes Passed (1)(4)..................................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7,382</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7,138</w:t>
            </w: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6,975</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5,570</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5,491</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Cable Subscribers (2)(4).............................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4,511</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4,366</w:t>
            </w: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4,280</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3,407</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3,307</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Cable Penetration (3)(4).............................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61.1%</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61.2%</w:t>
            </w: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61.4%</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61.2%</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60.2%</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620"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w:t>
      </w:r>
    </w:p>
    <w:p>
      <w:pPr>
        <w:spacing w:after="0" w:line="174" w:lineRule="exact"/>
        <w:rPr>
          <w:rFonts w:ascii="Courier New" w:cs="Courier New" w:eastAsia="Courier New" w:hAnsi="Courier New"/>
          <w:sz w:val="15"/>
          <w:szCs w:val="15"/>
          <w:color w:val="auto"/>
        </w:rPr>
      </w:pPr>
    </w:p>
    <w:p>
      <w:pPr>
        <w:ind w:left="449" w:right="3620"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counts as one Cable Subscriber.</w:t>
      </w:r>
    </w:p>
    <w:p>
      <w:pPr>
        <w:spacing w:after="0" w:line="174" w:lineRule="exact"/>
        <w:rPr>
          <w:rFonts w:ascii="Courier New" w:cs="Courier New" w:eastAsia="Courier New" w:hAnsi="Courier New"/>
          <w:sz w:val="15"/>
          <w:szCs w:val="15"/>
          <w:color w:val="auto"/>
        </w:rPr>
      </w:pPr>
    </w:p>
    <w:p>
      <w:pPr>
        <w:ind w:left="449" w:right="3620"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Penetration means the number of Cable Subscribers as a percentage of Homes Passed.</w:t>
      </w:r>
    </w:p>
    <w:p>
      <w:pPr>
        <w:spacing w:after="0" w:line="174" w:lineRule="exact"/>
        <w:rPr>
          <w:rFonts w:ascii="Courier New" w:cs="Courier New" w:eastAsia="Courier New" w:hAnsi="Courier New"/>
          <w:sz w:val="15"/>
          <w:szCs w:val="15"/>
          <w:color w:val="auto"/>
        </w:rPr>
      </w:pPr>
    </w:p>
    <w:p>
      <w:pPr>
        <w:jc w:val="both"/>
        <w:ind w:left="449" w:right="3620" w:hanging="449"/>
        <w:spacing w:after="0"/>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consists of cable systems whose financial results we consolidate. The information does not include 341,000 Homes Passed and 237,000 Cable Subscribers in non-consolidated cable communications systems in which we have ownership and management interests. The information also does not include pending acquisitions (see "General Developments of Our Business").</w:t>
      </w:r>
    </w:p>
    <w:p>
      <w:pPr>
        <w:spacing w:after="0" w:line="175" w:lineRule="exact"/>
        <w:rPr>
          <w:rFonts w:ascii="Courier New" w:cs="Courier New" w:eastAsia="Courier New" w:hAnsi="Courier New"/>
          <w:sz w:val="15"/>
          <w:szCs w:val="15"/>
          <w:color w:val="auto"/>
        </w:rPr>
      </w:pPr>
    </w:p>
    <w:p>
      <w:pPr>
        <w:ind w:left="449" w:right="3620" w:hanging="449"/>
        <w:spacing w:after="0" w:line="238" w:lineRule="auto"/>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1996, we acquired the cable operations of The E.W. Scripps Company.</w:t>
      </w:r>
    </w:p>
    <w:p>
      <w:pPr>
        <w:spacing w:after="0" w:line="200" w:lineRule="exact"/>
        <w:rPr>
          <w:sz w:val="20"/>
          <w:szCs w:val="20"/>
          <w:color w:val="auto"/>
        </w:rPr>
      </w:pPr>
    </w:p>
    <w:p>
      <w:pPr>
        <w:spacing w:after="0" w:line="31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System Clusters</w:t>
      </w:r>
    </w:p>
    <w:p>
      <w:pPr>
        <w:spacing w:after="0" w:line="174" w:lineRule="exact"/>
        <w:rPr>
          <w:sz w:val="20"/>
          <w:szCs w:val="20"/>
          <w:color w:val="auto"/>
        </w:rPr>
      </w:pPr>
    </w:p>
    <w:p>
      <w:pPr>
        <w:jc w:val="both"/>
        <w:ind w:left="9" w:right="3620" w:firstLine="444"/>
        <w:spacing w:after="0"/>
        <w:rPr>
          <w:sz w:val="20"/>
          <w:szCs w:val="20"/>
          <w:color w:val="auto"/>
        </w:rPr>
      </w:pPr>
      <w:r>
        <w:rPr>
          <w:rFonts w:ascii="Courier New" w:cs="Courier New" w:eastAsia="Courier New" w:hAnsi="Courier New"/>
          <w:sz w:val="15"/>
          <w:szCs w:val="15"/>
          <w:color w:val="auto"/>
        </w:rPr>
        <w:t>We manage most of our cable systems in geographic clusters. Clustering permits us to deliver customer service and support in a more uniform, efficient and cost effective manner. The following table summarizes Homes Passed, Cable Subscribers and Cable Penetration for our eight largest regional cable clusters as of December 31, 1998 (homes and subscribers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Homes</w:t>
            </w:r>
          </w:p>
        </w:tc>
        <w:tc>
          <w:tcPr>
            <w:tcW w:w="16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Cable</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Cable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Geographic Cluster</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Passed</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Subscribers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Penetration</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Mid-Atlantic.........................................</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2,147.9</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1,409.4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65.6%</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Michigan.............................................</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978.5</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480.7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Tennessee............................................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499.2</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326.3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Southern California..................................</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517.2</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271.4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West Florida.........................................</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413.4</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Sacramento...........................................</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464.1</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247.9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Southeast Florida....................................</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452.1</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236.4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Indianapolis.........................................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243.5</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147.4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r>
      <w:tr>
        <w:trPr>
          <w:trHeight w:val="171"/>
        </w:trPr>
        <w:tc>
          <w:tcPr>
            <w:tcW w:w="470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5,715.9</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3,389.4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Other Systems........................................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1,666.0</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r>
      <w:tr>
        <w:trPr>
          <w:trHeight w:val="171"/>
        </w:trPr>
        <w:tc>
          <w:tcPr>
            <w:tcW w:w="470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Total................................................</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7,381.9</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4,510.7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171"/>
        </w:trPr>
        <w:tc>
          <w:tcPr>
            <w:tcW w:w="470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729"/>
          </w:cols>
          <w:pgMar w:left="231" w:top="457" w:right="939" w:bottom="1440" w:gutter="0" w:footer="0" w:header="0"/>
        </w:sectPr>
      </w:pPr>
    </w:p>
    <w:bookmarkStart w:id="8" w:name="page9"/>
    <w:bookmarkEnd w:id="8"/>
    <w:p>
      <w:pPr>
        <w:spacing w:after="0" w:line="3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including:</w:t>
      </w:r>
    </w:p>
    <w:p>
      <w:pPr>
        <w:spacing w:after="0" w:line="175" w:lineRule="exact"/>
        <w:rPr>
          <w:sz w:val="20"/>
          <w:szCs w:val="20"/>
          <w:color w:val="auto"/>
        </w:rPr>
      </w:pPr>
    </w:p>
    <w:p>
      <w:pPr>
        <w:ind w:left="880" w:right="3119" w:hanging="445"/>
        <w:spacing w:after="0" w:line="238"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 roof-top antenna and television set,</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transmit satellite signals containing video programming, data and other information to receiving dishes of varying sizes located on the subscriber's premises,</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 which generally serve condominiums, apartment and office complexes and residential developments,</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multichannel, multipoint distribution service operators, commonly known as MMDS or wireless cable operators, which use low-power microwave frequencies to transmit video programming and other information over-the-air to subscribers,</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operators who build and operate cable systems in the same communities that we serve, commonly known as overbuilders,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video products, including videotape cassette recorders.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cable communications systems will be competitive if we provide, at a reasonable price to subscribers, superior technical performance, superior customer service and a greater variety of video programming and other communications services than are available from our competitors.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Modifications to federal law in 1996 changed the regulatory environment in which our cable communications systems operate. Federal law now allows local telephone companies to provide directly to subscribers a wide variety of services that are competitive with our cable communications services. Some local telephone companies:</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video services within and outside their telephone service areas through a variety of methods, including broadband cable networks, satellite program distribution and wireless transmission facilities,</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announced plans to construct and operate cable communications systems in various states.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local telephone company, Ameritech, has obtained approximately 14 cable franchises in communities in Michigan that we also serve. It competes directly with us in these areas by providing video and other broadband communications services to subscribers. New facilities-based competitors such as RCN Corporation and Knology Holdings, Inc. are now offering cable and related communications services in several areas where we hold franchises.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Local telephone companies and other businesses construct and operate communications facilities that provide access to the Internet and distribute interactive computer-based services, data and other non-video services to homes and businesses. These competitors are not required, in certain circumstances, to comply with some of the material obligations imposed upon our cable systems under our franchises. We cannot predict the likelihood of success of competing video or broadband service ventures by local telephone companies or other businesses. Nor can we predict the impact of these competitive ventures on our cable communications systems and other businesses.</w:t>
      </w:r>
    </w:p>
    <w:p>
      <w:pPr>
        <w:spacing w:after="0" w:line="177"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operate each of our cable communications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w:t>
      </w:r>
    </w:p>
    <w:p>
      <w:pPr>
        <w:spacing w:after="0" w:line="16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past few years, Congress has enacted legislation and the FCC has adopted regulatory policies intended to provide a more favorable operating environment for existing and new technologies that provide, or have the potential to provide, substantial competition to cable communications systems. These technologies include direct broadcast satellite service, commonly known as DBS, among others. According to recent government and industry reports, conventional, medium and high-power satellites currently provide video programming to over 10.6 million individual households, condominiums, apartment and office complexes in the United States. DBS providers with medium and high-power satellites typically offer to their subscribers more than 150 channels of programming, including program services similar to those provided by cable systems.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- 6 -</w:t>
      </w:r>
    </w:p>
    <w:p>
      <w:pPr>
        <w:sectPr>
          <w:pgSz w:w="11900" w:h="16870" w:orient="portrait"/>
          <w:cols w:equalWidth="0" w:num="1">
            <w:col w:w="10219"/>
          </w:cols>
          <w:pgMar w:left="240" w:top="457" w:right="1440" w:bottom="0" w:gutter="0" w:footer="0" w:header="0"/>
        </w:sectPr>
      </w:pPr>
    </w:p>
    <w:bookmarkStart w:id="9" w:name="page10"/>
    <w:bookmarkEnd w:id="9"/>
    <w:p>
      <w:pPr>
        <w:jc w:val="both"/>
        <w:ind w:right="3119" w:firstLine="444"/>
        <w:spacing w:after="0"/>
        <w:rPr>
          <w:sz w:val="20"/>
          <w:szCs w:val="20"/>
          <w:color w:val="auto"/>
        </w:rPr>
      </w:pPr>
      <w:r>
        <w:rPr>
          <w:rFonts w:ascii="Courier New" w:cs="Courier New" w:eastAsia="Courier New" w:hAnsi="Courier New"/>
          <w:sz w:val="15"/>
          <w:szCs w:val="15"/>
          <w:color w:val="auto"/>
        </w:rPr>
        <w:t>DBS systems use video compression technology to increase channel capacity and digital technology to improve the quality of the signals transmitted to their subscribers. DBS service currently has certain competitive advantages and disadvantages compared to cable service. Advantages of DBS service include more programming, greater channel capacity and the digital quality of signals delivered to subscribers. The disadvantages of DBS service include high up-front customer equipment and installation costs and a lack of local programming and local service.</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Two major companies are currently offering nationwide high-power DBS services. Both companies have recently announced separate transactions that, if completed, may significantly enhance the number of channels on which they can provide programming to subscribers and may improve significantly their competitive positions against cable operators. We are unable to predict the effect these transactions may have on our business and operations.</w:t>
      </w:r>
    </w:p>
    <w:p>
      <w:pPr>
        <w:spacing w:after="0" w:line="17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Our cable systems also compete for subscribers with SMATV systems. SMATV systems typically are not subject to regulation like local franchised cable operators. SMATV systems offer subscribers both improved reception of local television stations and many of the same satellite-delivered programming services offered by franchised cable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franchised cable systems access to these complexes. Courts have reviewed challenges to these laws and have reached varying results. Our ability to compete for subscribers in residential and commercial developments served by SMATV system operators is uncertain. However, we are developing competitive packages of services (video, data and telephony) to offer to these residential and commercial developments.</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Cable systems also compete with MMDS or wireless cable systems, which are authorized to operate in areas served by our cable systems. Federal law significantly limits certain local restrictions on the use of roof-top, satellite and microwave antennae to receive satellite programming and over-the-air broadcasting services.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Many of our cable systems are currently offering, or plan to offer, interactive online computer services to subscribers. These cable systems will compete with a number of other companies, many of whom have substantial resources, such as:</w:t>
      </w:r>
    </w:p>
    <w:p>
      <w:pPr>
        <w:spacing w:after="0" w:line="174" w:lineRule="exact"/>
        <w:rPr>
          <w:sz w:val="20"/>
          <w:szCs w:val="20"/>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Internet service providers, commonly known as ISPs,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Recently, a number of companies, including telephone companies and ISP's, have requested local authorities and the FCC to require cable operators to provide access to cable's broadband infrastructure so that these companies may deliver Internet services directly to customers over cable facilities. In a recent report to Congress, the FCC declined to institute an administrative proceeding to examine this issue at this time. At the present time, several local jurisdictions are attempting to impose access obligations on a cable operator as a condition for obtaining municipal consent for franchise transfers; however, such conditions are currently being challenged in court. It is expected that the FCC, Congress, and state and local regulatory authorities will continue to consider actions in this area.</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deployment of Asymmetric Digital Subscriber Line technology, known as ADSL, will allow Internet access to subscribers at data transmission speeds equal to or greater than that of modems over conventional telephone lines. Several telephone companies are introducing ADSL service and have requested the FCC to allow them to provide high-speed broadband services, including interactive online services, without regard to present service boundaries and other regulatory restrictions. We are unable to predict the likelihood of success of the online services offered by our competitors or the impact on our business and operations of these competitive ventures.</w:t>
      </w:r>
    </w:p>
    <w:p>
      <w:pPr>
        <w:spacing w:after="0" w:line="177"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We expect advances in communications technology, as well as changes in the marketplace and the regulatory and legislative environment to occur in the future. We refer you to page 10 of this Annual Report for a detailed discussion of legislative and regulatory factors.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QVC is a domestic and international electronic media general merchandise retailer which produces and distributes merchandise-focused television programs, via satellite, to affiliated video program providers for retransmission to subscribers. At QVC, program hosts describe and demonstrate the products and viewers place orders directly with QVC. We own 57% of QVC.</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460" w:right="1440" w:bottom="969" w:gutter="0" w:footer="0" w:header="0"/>
        </w:sectPr>
      </w:pPr>
    </w:p>
    <w:bookmarkStart w:id="10" w:name="page11"/>
    <w:bookmarkEnd w:id="10"/>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QVC sells a variety of consumer products and accessories including jewelry, housewares, electronics, apparel and accessories, collectibles, toys and cosmetics. It purchases, or obtains on consignment, products from domestic and foreign manufacturers and wholesalers, often on favorable terms based on the volume of the transactions. QVC intends to continue introducing new products and product lines. QVC does not depend upon any one particular supplier for any significant portion of its inventory.</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Viewers place orders to purchase QVC merchandise by calling a toll-free telephone number.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promptly from its distribution centers, typically within 24 hours after receipt of an order. QVC's return policy permits customers to return, within 30 days, any merchandise purchased for a full refund of the purchase price and original shipping charges.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United States, QVC is transmitted live 24 hours a day, 7 days a week, to approximately 58 million cable television homes. Approximately 1.5 million additional cable television homes receive QVC on a less than full time basis. Approximately 9.8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77"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QVC sells products over electronic media in Germany, the United Kingdom and Ireland. In the UK and Ireland, this service currently reaches over 7.3 million cable television and home satellite dish-served homes. In Germany, this service currently is available to over 14 million cable television and home satellite dish-served homes. However, we estimate that only 4.6 million homes in Germany have programmed their television sets to receive this service.</w:t>
      </w:r>
    </w:p>
    <w:p>
      <w:pPr>
        <w:spacing w:after="0" w:line="16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QVC also offers an interactive shopping service, iQVC, on the Internet. The iQVC service offers a diverse array of merchandise, on-line, 24 hours a day, 7 days a week. iQVC also maintains a mailing list which e-mails product news to subscribers.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Transmission</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An exclusive, protected, non-preemptible transponder on a communications satellite transmits the QVC domestic signal. QVC subleases transponders for the transmission of its signals to the UK and Germany. Each communications satellite has a number of separate transponders. If our transponder fails, QVC's signal will be transferred to a spare transponder. If no transponder is available, the signal will be transferred to a preemptible transponder located on the same satellite or, if available, to a transponder on another satellite owned by the same lessor. The transponder cannot be preempted in favor of a user of a "protected" transponder that has failed. QVC has never had an interruption in programming due to transponder failure. Because it has the exclusive use of a protected, non-preemptible transponder, interruption is unlikely to occur. However, we cannot offer assurances that there will not be an interruption or termination of satellite transmission due to transponder failure. Interruption or termination could have a material adverse effect on QVC.</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Providers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entered into affiliation agreements with video program providers in the US to carry QVC programming. Generally, there are no additional charges to subscribers for the distribution of QVC. In return for carrying QVC, each programming provider receives an allocated portion, based upon market share, of up to five percent of the net sales of merchandise sold to customers located in the programming provider's service area. The terms of most affiliation agreements are automatically renewable for one-year terms unless terminated by either party on at least 90 days notice prior to the end of the term. Affiliation agreements covering most of QVC's cable television homes can be terminated in the sixth year of their respective terms by the programming provider unless the programming provider earns a specified minimum level of sales commissions. QVC's sales are currently at levels that meet minimum requirements. The affiliation agreements provide for the programming provider to broadcast commercials regarding QVC on other channels and to distribute QVC's advertising material to subscribers. As of December 31, 1998, approximately 27% of the total homes reached by QVC were attributable to QVC's affiliation agreements with us and TeleCommunications, Inc., the indirect owner of a 43% interest in QVC, and their respective subsidiaries.</w:t>
      </w:r>
    </w:p>
    <w:p>
      <w:pPr>
        <w:spacing w:after="0" w:line="18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If QVC can successfully negotiate with programming providers, then renewal of these affiliation agreements will be on favorable terms. QVC competes for cable channels against similar electronic retailing programming, as well as against alternative programming supplied by other sources, including news, public affairs,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457" w:right="1440" w:bottom="628" w:gutter="0" w:footer="0" w:header="0"/>
        </w:sectPr>
      </w:pPr>
    </w:p>
    <w:bookmarkStart w:id="11" w:name="page12"/>
    <w:bookmarkEnd w:id="11"/>
    <w:p>
      <w:pPr>
        <w:jc w:val="both"/>
        <w:ind w:right="3119"/>
        <w:spacing w:after="0"/>
        <w:rPr>
          <w:sz w:val="20"/>
          <w:szCs w:val="20"/>
          <w:color w:val="auto"/>
        </w:rPr>
      </w:pPr>
      <w:r>
        <w:rPr>
          <w:rFonts w:ascii="Courier New" w:cs="Courier New" w:eastAsia="Courier New" w:hAnsi="Courier New"/>
          <w:sz w:val="15"/>
          <w:szCs w:val="15"/>
          <w:color w:val="auto"/>
        </w:rPr>
        <w:t>entertainment and sports programmers. QVC's business depends on its affiliation with programming providers for the transmission of QVC programming. If a significant number of homes are no longer served because of termination or non-renewal of affiliation agreements, our financial results could be adversely affected. QVC has incentive programs to induce programming providers to enter into or extend affiliation agreements or to increase the number of homes under existing affiliation agreements. These incentives include various forms of marketing, launch and equipment purchase support. QVC will continue to recruit additional programming providers and seek to enlarge its audience. Despite these efforts, it is difficult to both renew or reach affiliation agreements with programming providers.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and other direct sellers, shopping center and mall tenants and conventional retail stores. Many of QVC's competitors are connected in chain or franchise systems. On television, QVC competes with other satellite-transmitted programs for channel space and viewer loyalty. We believe that, until digital compression is utilized on a large-scale basis, most programming providers will not devote more than two channels to televised shopping and may allocate only one. Large-scale use of digital compression is several years in the future. Many systems have limited channel capacity and may be precluded from adding any new programs at the present time. The development and use of digital compression is expected to provide programming providers with greater channel capacity. Greater channel capacity would increase the opportunity for QVC, in addition to other home shopping programs, to be distributed on additional channels.</w:t>
      </w:r>
    </w:p>
    <w:p>
      <w:pPr>
        <w:spacing w:after="0" w:line="16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Programming Investments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We have made investments in cable television networks and other programming related enterprises as a means of generating additional revenues and subscriber interest. Our programming investments as of December 31, 1998 include: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Ownership</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Investment</w:t>
            </w:r>
          </w:p>
        </w:tc>
        <w:tc>
          <w:tcPr>
            <w:tcW w:w="6140" w:type="dxa"/>
            <w:vAlign w:val="bottom"/>
          </w:tcPr>
          <w:p>
            <w:pPr>
              <w:ind w:left="2760"/>
              <w:spacing w:after="0"/>
              <w:rPr>
                <w:sz w:val="20"/>
                <w:szCs w:val="20"/>
                <w:color w:val="auto"/>
              </w:rPr>
            </w:pPr>
            <w:r>
              <w:rPr>
                <w:rFonts w:ascii="Courier New" w:cs="Courier New" w:eastAsia="Courier New" w:hAnsi="Courier New"/>
                <w:sz w:val="15"/>
                <w:szCs w:val="15"/>
                <w:color w:val="auto"/>
              </w:rPr>
              <w:t>Description</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84"/>
              </w:rPr>
              <w:t>- -----------------------------</w:t>
            </w:r>
          </w:p>
        </w:tc>
        <w:tc>
          <w:tcPr>
            <w:tcW w:w="6140" w:type="dxa"/>
            <w:vAlign w:val="bottom"/>
          </w:tcPr>
          <w:p>
            <w:pPr>
              <w:ind w:left="90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CN8-The Comcast Network</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Regional and local programming</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Comcast SportsNet</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Regional sports programming and events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46.4%</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E! Entertainment</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Entertainment-related news and original programming</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The Golf Channel</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Golf-related programming</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Outdoor Life</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Outdoor activities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Speedvision</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Automotive, marine and aviation</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Sunshine Network</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Regional sports, public affairs and general entertainment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Viewer's Choice</w:t>
            </w:r>
          </w:p>
        </w:tc>
        <w:tc>
          <w:tcPr>
            <w:tcW w:w="6140" w:type="dxa"/>
            <w:vAlign w:val="bottom"/>
          </w:tcPr>
          <w:p>
            <w:pPr>
              <w:ind w:left="720"/>
              <w:spacing w:after="0"/>
              <w:rPr>
                <w:sz w:val="20"/>
                <w:szCs w:val="20"/>
                <w:color w:val="auto"/>
              </w:rPr>
            </w:pPr>
            <w:r>
              <w:rPr>
                <w:rFonts w:ascii="Courier New" w:cs="Courier New" w:eastAsia="Courier New" w:hAnsi="Courier New"/>
                <w:sz w:val="15"/>
                <w:szCs w:val="15"/>
                <w:color w:val="auto"/>
              </w:rPr>
              <w:t>Pay-per-view programming</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w:t>
            </w:r>
          </w:p>
        </w:tc>
      </w:tr>
      <w:tr>
        <w:trPr>
          <w:trHeight w:val="512"/>
        </w:trPr>
        <w:tc>
          <w:tcPr>
            <w:tcW w:w="2380" w:type="dxa"/>
            <w:vAlign w:val="bottom"/>
          </w:tcPr>
          <w:p>
            <w:pPr>
              <w:spacing w:after="0"/>
              <w:rPr>
                <w:sz w:val="24"/>
                <w:szCs w:val="24"/>
                <w:color w:val="auto"/>
              </w:rPr>
            </w:pP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4"/>
                <w:szCs w:val="24"/>
                <w:color w:val="auto"/>
              </w:rPr>
            </w:pP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CN8-The Comcast Network</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created CN8-The Comcast Network, our regional programming service, in late 1996. We deliver CN8 to more than 2.0 million cable subscribers in Pennsylvania, New Jersey and Maryland. CN8 provides original programming, including local and regional news and public affairs, regional sports, health and cooking and family-oriented programming.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SportsNet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July 1996, we acquired a 66% interest in Comcast Spectacor, L.P., a partnership that owns the Philadelphia Flyers NHL hockey team, the Philadelphia 76ers NBA basketball team, and their arenas. In October 1997, Comcast- Spectacor and the owner of the Philadelphia Phillies major league baseball team launched Comcast SportsNet, a 24-hour regional sports programming network which provides sports related programming, including Flyers, 76ers and Phillies games to approximately 2.6 million viewers in the Philadelphia region. Comcast SportsNet has entered into affiliation agreements with many of the video program providers in the Philadelphia television market. Comcast SportsNet is delivered to affiliates terrestrially.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Entertainment</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E! Entertainment is our entertainment-related news and information service with distribution to approximately 53 million customers as of December 31, 1998. E! Entertainment seeks to attract viewers based on international interest in Hollywood and entertainment industry news, information and features. We obtained a controlling interest in E! Entertainment in March 1997.</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460" w:right="1440" w:bottom="1140" w:gutter="0" w:footer="0" w:header="0"/>
        </w:sectPr>
      </w:pPr>
    </w:p>
    <w:bookmarkStart w:id="12" w:name="page13"/>
    <w:bookmarkEnd w:id="12"/>
    <w:p>
      <w:pPr>
        <w:ind w:left="440"/>
        <w:spacing w:after="0"/>
        <w:rPr>
          <w:sz w:val="20"/>
          <w:szCs w:val="20"/>
          <w:color w:val="auto"/>
        </w:rPr>
      </w:pPr>
      <w:r>
        <w:rPr>
          <w:rFonts w:ascii="Courier New" w:cs="Courier New" w:eastAsia="Courier New" w:hAnsi="Courier New"/>
          <w:sz w:val="15"/>
          <w:szCs w:val="15"/>
          <w:color w:val="auto"/>
        </w:rPr>
        <w:t>The Golf Channel</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Golf Channel is a 24-hour network devoted exclusively to golf programming. The programming schedule includes live golf coverage, golf instruction programs and golf news.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Outdoor Life and Speedvision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Outdoor Life presents programming consisting primarily of outdoor life themes. Speedvision presents a variety of programming of interest to automobile, boat and airplane enthusiasts including news, historical and other information and event coverage.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Sunshine Network</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Sunshine Network is a regional sports and public affairs network, providing programming emphasizing Florida's local sports teams and events in Florida. Programming rights on the network include eight professional teams, including the Orlando Magic and Miami Heat NBA basketball teams and the Tampa Bay Lightning NHL hockey team.</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Viewer's Choice</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Viewer's Choice is the brand-name of a cable operator-controlled buying cooperative for pay-per-view programming.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Internet Related Investments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have made investments in various Internet-based programming-related enterprises to participate in the growing interest among consumers in this new media distribution system.</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of 1934 establishes a national policy to regulate the development and operation of cable communications systems. The Communications Act allocates responsibility for enforcing federal policies among the FCC, and state and local governmental authorities. The courts, especially the federal courts, play an important oversight role as these statutory and regulatory provisions are interpreted and enforced by the various federal, state and local governmental units.</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We expect that court actions and regulatory proceedings will refine the rights and obligations of various parties, including the government, under the Communications Act. The results of these judicial and administrative proceedings may materially affect our business operations. In the following paragraphs, we summarize the principal federal laws and regulations materially affecting the growth and operation of the cable communications industry. We also provide a brief description of certain state and local laws applicable to our businesses.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FCC Regulations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Communications Act and the regulations and policies of the FCC affect significant aspects of our cable system operations, including:</w:t>
      </w:r>
    </w:p>
    <w:p>
      <w:pPr>
        <w:spacing w:after="0" w:line="172" w:lineRule="exact"/>
        <w:rPr>
          <w:sz w:val="20"/>
          <w:szCs w:val="20"/>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rates,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of programming we offer our subscribers, as well as the way we sell our program packages to subscribers and other video program providers,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our cable systems by local franchising authorities, the public and other unrelated third parties,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franchise agreements with governmental authorities,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system ownership limitations and prohibitions,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utility poles and conduit.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Subscriber Rates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and the FCC's regulations and policies limit the ability of cable systems to raise rates for basic services and equipment, as well as for certain non-basic cable programming services, in communities that are not subject to effective competition, as defined by federal law. Where there is no effective competition, federal law gives franchising authorities the power to regulate the monthly rates charged by the operator for:</w:t>
      </w:r>
    </w:p>
    <w:p>
      <w:pPr>
        <w:spacing w:after="0" w:line="175" w:lineRule="exact"/>
        <w:rPr>
          <w:sz w:val="20"/>
          <w:szCs w:val="20"/>
          <w:color w:val="auto"/>
        </w:rPr>
      </w:pPr>
    </w:p>
    <w:p>
      <w:pPr>
        <w:jc w:val="both"/>
        <w:ind w:left="880" w:right="3119" w:hanging="445"/>
        <w:spacing w:after="0" w:line="239"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lowest level of programming service, typically called basic service, which generally includes local broadcast channels and public access or governmental channels required by the operator's franchise,</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installation, sale and lease of equipment used by subscribers to receive basic service, such as converter boxes and remote control units.</w:t>
      </w:r>
    </w:p>
    <w:p>
      <w:pPr>
        <w:spacing w:after="0" w:line="1"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19"/>
          </w:cols>
          <w:pgMar w:left="240" w:top="457" w:right="1440" w:bottom="457" w:gutter="0" w:footer="0" w:header="0"/>
        </w:sectPr>
      </w:pPr>
    </w:p>
    <w:bookmarkStart w:id="13" w:name="page14"/>
    <w:bookmarkEnd w:id="13"/>
    <w:p>
      <w:pPr>
        <w:jc w:val="both"/>
        <w:ind w:right="3119" w:firstLine="444"/>
        <w:spacing w:after="0"/>
        <w:rPr>
          <w:sz w:val="20"/>
          <w:szCs w:val="20"/>
          <w:color w:val="auto"/>
        </w:rPr>
      </w:pPr>
      <w:r>
        <w:rPr>
          <w:rFonts w:ascii="Courier New" w:cs="Courier New" w:eastAsia="Courier New" w:hAnsi="Courier New"/>
          <w:sz w:val="15"/>
          <w:szCs w:val="15"/>
          <w:color w:val="auto"/>
        </w:rPr>
        <w:t>Several years ago the FCC adopted detailed rate regulations, guidelines and rate forms that we and the franchising authority must use in connection with the regulation of our basic service and equipment rates. If the franchising authority concludes that our rates are not in accordance with the FCC's rate regulations, it may require us to reduce our rates and to refund overcharges to subscribers, with interest. We may appeal adverse rate decisions to the FCC. The Communications Act and FCC regulations also permit franchising authorities to file complaints with the FCC concerning rates we charge for certain non-basic cable programming service tiers.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the FCC's regulations also:</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rates charged by cable operators for programming offered on a per channel or per program basis, and for certain multi-channel groups of new non-basic programming,</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rate regulation of non-basic cable programming service tiers after March 31, 1999, although Congress may consider legislation to extend the period during which non-basic rates remain subject to regulation,</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operators to charge uniform rates throughout each franchise area that is not subject to effective competition,</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non-predatory bulk discount rates offered by operators to subscribers in commercial and residential developments,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regulated equipment rates to be computed by aggregating costs of broad categories of equipment at the franchise, system, regional or company level.</w:t>
      </w:r>
    </w:p>
    <w:p>
      <w:pPr>
        <w:spacing w:after="0" w:line="175"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Over the past few years, we have reached agreements with various regulatory bodies to resolve outstanding rate disputes. In addition to the "social contract" we reached with the FCC, we settled pending local rate proceedings in 1998 involving our basic service rates in certain of our systems. We believe that the resolution of these proceedings did not have a material adverse impact on our financial position, results of operations or liquidity.</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 Requirements</w:t>
      </w:r>
    </w:p>
    <w:p>
      <w:pPr>
        <w:spacing w:after="0" w:line="174"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The Communications Act and the FCC's regulations contain broadcast signal carriage requirements that allow local commercial television broadcast stations:</w:t>
      </w:r>
    </w:p>
    <w:p>
      <w:pPr>
        <w:spacing w:after="0" w:line="154" w:lineRule="exact"/>
        <w:rPr>
          <w:sz w:val="20"/>
          <w:szCs w:val="20"/>
          <w:color w:val="auto"/>
        </w:rPr>
      </w:pPr>
    </w:p>
    <w:p>
      <w:pPr>
        <w:ind w:left="880" w:right="3119" w:hanging="445"/>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once every three years to require a cable communications system to carry the station, subject to certain exceptions, or</w:t>
      </w:r>
    </w:p>
    <w:p>
      <w:pPr>
        <w:spacing w:after="0" w:line="174" w:lineRule="exact"/>
        <w:rPr>
          <w:rFonts w:ascii="Courier New" w:cs="Courier New" w:eastAsia="Courier New" w:hAnsi="Courier New"/>
          <w:sz w:val="15"/>
          <w:szCs w:val="15"/>
          <w:color w:val="auto"/>
        </w:rPr>
      </w:pPr>
    </w:p>
    <w:p>
      <w:pPr>
        <w:ind w:left="880" w:right="3119" w:hanging="445"/>
        <w:spacing w:after="0" w:line="271"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with us on the terms by which we carry the station on our cable communications system, commonly called retransmission consent.</w:t>
      </w:r>
    </w:p>
    <w:p>
      <w:pPr>
        <w:spacing w:after="0" w:line="15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requires a cable operator to devote up to one-third of its activated channel capacity for the mandatory carriage of local commercial television stations. The Communications Act also gives local non-commercial television stations mandatory carriage rights; however, such stations are not given the option to negotiate retransmission consent for the carriage of their signals by cable systems. Additionally, cable systems must obtain retransmission consent for:</w:t>
      </w:r>
    </w:p>
    <w:p>
      <w:pPr>
        <w:spacing w:after="0" w:line="176" w:lineRule="exact"/>
        <w:rPr>
          <w:sz w:val="20"/>
          <w:szCs w:val="20"/>
          <w:color w:val="auto"/>
        </w:rPr>
      </w:pPr>
    </w:p>
    <w:p>
      <w:pPr>
        <w:ind w:left="880" w:right="3119" w:hanging="445"/>
        <w:spacing w:after="0" w:line="238"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"distant" commercial television stations (except for commercial satellite-delivered independent "superstations" such as WGN),</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radio stations,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low-power television stations.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FCC has also initiated an administrative proceeding to consider the requirements, if any, for the mandatory carriage of digital television signals offered by local broadcasters. We are unable to predict the outcome of this proceeding or the impact of any new carriage requirements on the operation of our cable systems.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requires our cable systems to permit subscribers to purchase video programming on a per channel or a per program basis without the necessity of subscribing to any tier of service, other than the basic cable service tier. However, we are not required to comply with this requirement until 2002 for any of our cable systems that do not have addressable converter boxes or have other substantial technological limitations. A limited number of our systems do not have the technological capability to offer programming in the manner required by the statute and thus currently are exempt from complying with this requirement.</w:t>
      </w:r>
    </w:p>
    <w:p>
      <w:pPr>
        <w:spacing w:after="0" w:line="177"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To increase competition between cable operators and other video program distributors, the Communications Act:</w:t>
      </w:r>
    </w:p>
    <w:p>
      <w:pPr>
        <w:spacing w:after="0" w:line="175" w:lineRule="exact"/>
        <w:rPr>
          <w:sz w:val="20"/>
          <w:szCs w:val="20"/>
          <w:color w:val="auto"/>
        </w:rPr>
      </w:pPr>
    </w:p>
    <w:p>
      <w:pPr>
        <w:jc w:val="both"/>
        <w:ind w:left="880" w:right="3119" w:hanging="445"/>
        <w:spacing w:after="0" w:line="239"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precludes any satellite video programmer affiliated with a cable company, or with a common carrier providing video programming directly to its subscribers, from favoring an affiliated company over competitors,</w:t>
      </w:r>
    </w:p>
    <w:p>
      <w:pPr>
        <w:spacing w:after="0" w:line="173"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19"/>
          </w:cols>
          <w:pgMar w:left="240" w:top="460" w:right="1440" w:bottom="628" w:gutter="0" w:footer="0" w:header="0"/>
        </w:sectPr>
      </w:pPr>
    </w:p>
    <w:bookmarkStart w:id="14" w:name="page15"/>
    <w:bookmarkEnd w:id="14"/>
    <w:p>
      <w:pPr>
        <w:spacing w:after="0" w:line="31" w:lineRule="exact"/>
        <w:rPr>
          <w:sz w:val="20"/>
          <w:szCs w:val="20"/>
          <w:color w:val="auto"/>
        </w:rPr>
      </w:pPr>
    </w:p>
    <w:p>
      <w:pPr>
        <w:ind w:left="880" w:right="3119" w:hanging="445"/>
        <w:spacing w:after="0" w:line="238"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such programmers to sell their satellite-delivered programming to other video program distributors,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the ability of such programmers to offer exclusive programming arrangements to their affiliates.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two recent administrative determinations, the FCC's Cable Services Bureau concluded that the program access rules did not apply to terrestrially-delivered programming, such as Comcast SportsNet. These matters are expected to be reviewed by the FCC.</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FCC and Congress are presently considering proposals that may enhance the ability of DBS providers and other video program distributors to gain access to additional programming and to transmit local broadcast signals to local markets. These proposals, if adopted, will likely increase competition to our cable systems.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contains restrictions on the transmission by cable operators of obscene or indecent programming. It requires cable operators to block fully both the video and audio portion of sexually explicit or indecent programming on channels that are primarily dedicated to sexually oriented programming or alternatively to carry such programming only at "safe harbor" time periods. A three-judge federal district recently determined that this provision was unconstitutional; however, the federal government announced that it will appeal the lower court's ruling.</w:t>
      </w:r>
    </w:p>
    <w:p>
      <w:pPr>
        <w:spacing w:after="0" w:line="177"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FCC actively regulates other aspects of our programming, involving such areas as:</w:t>
      </w:r>
    </w:p>
    <w:p>
      <w:pPr>
        <w:spacing w:after="0" w:line="175" w:lineRule="exact"/>
        <w:rPr>
          <w:sz w:val="20"/>
          <w:szCs w:val="20"/>
          <w:color w:val="auto"/>
        </w:rPr>
      </w:pPr>
    </w:p>
    <w:p>
      <w:pPr>
        <w:ind w:left="880" w:right="3119" w:hanging="445"/>
        <w:spacing w:after="0" w:line="238"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syndicated and network programs and local sports broadcast programming,</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children's programming,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advertising,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origination cablecasting,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identification,</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captioning of video programming.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Our Cable Systems by The Government and Unrelated Third Parties</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Communications Act allows franchising authorities and unrelated third parties to have access to our cable systems' channel capacity. For example, it:</w:t>
      </w:r>
    </w:p>
    <w:p>
      <w:pPr>
        <w:spacing w:after="0" w:line="154" w:lineRule="exact"/>
        <w:rPr>
          <w:sz w:val="20"/>
          <w:szCs w:val="20"/>
          <w:color w:val="auto"/>
        </w:rPr>
      </w:pPr>
    </w:p>
    <w:p>
      <w:pPr>
        <w:jc w:val="both"/>
        <w:ind w:left="880" w:right="3119" w:hanging="445"/>
        <w:spacing w:after="0" w:line="239"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franchising authorities to require cable operators to set aside channels for public, educational and governmental access programming;</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a cable system with 36 or more activated channels to designate a significant portion of its channel capacity for commercial leased access by third parties to provide programming that may compete with services offered by the cable operator.</w:t>
      </w:r>
    </w:p>
    <w:p>
      <w:pPr>
        <w:spacing w:after="0" w:line="176"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The FCC regulates various aspects of third party commercial use of channel capacity on our cable systems, including the rates and certain terms and conditions of the commercial use. The FCC is also considering proposals by various Internet service providers to gain access to our cable systems on a common carrier basis. We cannot predict if such proposals will be adopted or whether, if adopted, they will have a material impact upon our business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 Matters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Although franchising matters are normally regulated at the local level through a franchise agreement and/or a local ordinance, the Communications Act provides oversight and guidelines to govern our relationship with local franchising authorities. For example, the Communications Act:</w:t>
      </w:r>
    </w:p>
    <w:p>
      <w:pPr>
        <w:spacing w:after="0" w:line="176" w:lineRule="exact"/>
        <w:rPr>
          <w:sz w:val="20"/>
          <w:szCs w:val="20"/>
          <w:color w:val="auto"/>
        </w:rPr>
      </w:pPr>
    </w:p>
    <w:p>
      <w:pPr>
        <w:jc w:val="both"/>
        <w:ind w:left="880" w:right="3119" w:hanging="445"/>
        <w:spacing w:after="0" w:line="239"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affirms the right of franchising authorities (state or local, depending on the practice in individual states) to award one or more franchises within their jurisdictions,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us from operating in communities without a franchise,</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encourages competition with our existing cable systems by:</w:t>
      </w:r>
    </w:p>
    <w:p>
      <w:pPr>
        <w:spacing w:after="0" w:line="174" w:lineRule="exact"/>
        <w:rPr>
          <w:rFonts w:ascii="Courier New" w:cs="Courier New" w:eastAsia="Courier New" w:hAnsi="Courier New"/>
          <w:sz w:val="15"/>
          <w:szCs w:val="15"/>
          <w:color w:val="auto"/>
        </w:rPr>
      </w:pPr>
    </w:p>
    <w:p>
      <w:pPr>
        <w:ind w:left="1320" w:right="311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oallowing municipalities to operate cable systems without franchises,</w:t>
      </w:r>
    </w:p>
    <w:p>
      <w:pPr>
        <w:spacing w:after="0" w:line="175" w:lineRule="exact"/>
        <w:rPr>
          <w:sz w:val="20"/>
          <w:szCs w:val="20"/>
          <w:color w:val="auto"/>
        </w:rPr>
      </w:pPr>
    </w:p>
    <w:p>
      <w:pPr>
        <w:jc w:val="both"/>
        <w:ind w:left="1320" w:right="3119" w:hanging="442"/>
        <w:spacing w:after="0" w:line="239" w:lineRule="auto"/>
        <w:tabs>
          <w:tab w:leader="none" w:pos="13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preventing franchising authorities from granting exclusive franchises or from unreasonably refusing to award additional franchises covering an existing cable system's service area.</w:t>
      </w:r>
    </w:p>
    <w:p>
      <w:pPr>
        <w:spacing w:after="0" w:line="175" w:lineRule="exact"/>
        <w:rPr>
          <w:sz w:val="20"/>
          <w:szCs w:val="20"/>
          <w:color w:val="auto"/>
        </w:rPr>
      </w:pPr>
    </w:p>
    <w:p>
      <w:pPr>
        <w:jc w:val="both"/>
        <w:ind w:left="880" w:right="3119" w:hanging="445"/>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local authorities, when granting or renewing our franchises, to establish requirements for cable-related facilities and equipment, but prohibits franchising authorities from establishing requirements for specific video programming or information services other than in broad categories,</w:t>
      </w:r>
    </w:p>
    <w:p>
      <w:pPr>
        <w:spacing w:after="0" w:line="174" w:lineRule="exact"/>
        <w:rPr>
          <w:rFonts w:ascii="Courier New" w:cs="Courier New" w:eastAsia="Courier New" w:hAnsi="Courier New"/>
          <w:sz w:val="15"/>
          <w:szCs w:val="15"/>
          <w:color w:val="auto"/>
        </w:rPr>
      </w:pPr>
    </w:p>
    <w:p>
      <w:pPr>
        <w:jc w:val="both"/>
        <w:ind w:left="880" w:right="3119" w:hanging="445"/>
        <w:spacing w:after="0" w:line="238"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us to obtain modification of our franchise requirements from the franchise authority or by judicial action if warranted by changed</w:t>
      </w:r>
    </w:p>
    <w:p>
      <w:pPr>
        <w:sectPr>
          <w:pgSz w:w="11900" w:h="16869" w:orient="portrait"/>
          <w:cols w:equalWidth="0" w:num="1">
            <w:col w:w="10219"/>
          </w:cols>
          <w:pgMar w:left="240" w:top="46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circumstances,</w:t>
      </w:r>
    </w:p>
    <w:p>
      <w:pPr>
        <w:spacing w:after="0" w:line="171"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9339"/>
          </w:cols>
          <w:pgMar w:left="1120" w:top="139" w:right="1440" w:bottom="1440" w:gutter="0" w:footer="0" w:header="0"/>
        </w:sectPr>
      </w:pPr>
    </w:p>
    <w:bookmarkStart w:id="16" w:name="page17"/>
    <w:bookmarkEnd w:id="16"/>
    <w:p>
      <w:pPr>
        <w:ind w:left="880" w:hanging="445"/>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franchising authorities from:</w:t>
      </w:r>
    </w:p>
    <w:p>
      <w:pPr>
        <w:spacing w:after="0" w:line="174" w:lineRule="exact"/>
        <w:rPr>
          <w:rFonts w:ascii="Courier New" w:cs="Courier New" w:eastAsia="Courier New" w:hAnsi="Courier New"/>
          <w:sz w:val="15"/>
          <w:szCs w:val="15"/>
          <w:color w:val="auto"/>
        </w:rPr>
      </w:pPr>
    </w:p>
    <w:p>
      <w:pPr>
        <w:ind w:left="1320" w:right="3119" w:hanging="444"/>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oimposing requirements during the initial cable franchising process or during franchise renewal that require, prohibit or restrict us from providing telecommunications services,</w:t>
      </w:r>
    </w:p>
    <w:p>
      <w:pPr>
        <w:spacing w:after="0" w:line="175" w:lineRule="exact"/>
        <w:rPr>
          <w:rFonts w:ascii="Courier New" w:cs="Courier New" w:eastAsia="Courier New" w:hAnsi="Courier New"/>
          <w:sz w:val="15"/>
          <w:szCs w:val="15"/>
          <w:color w:val="auto"/>
        </w:rPr>
      </w:pPr>
    </w:p>
    <w:p>
      <w:pPr>
        <w:ind w:left="1320" w:right="311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oimposing franchise fees on revenues we derive from providing telecommunications services over our cable systems, or</w:t>
      </w:r>
    </w:p>
    <w:p>
      <w:pPr>
        <w:spacing w:after="0" w:line="174" w:lineRule="exact"/>
        <w:rPr>
          <w:rFonts w:ascii="Courier New" w:cs="Courier New" w:eastAsia="Courier New" w:hAnsi="Courier New"/>
          <w:sz w:val="15"/>
          <w:szCs w:val="15"/>
          <w:color w:val="auto"/>
        </w:rPr>
      </w:pPr>
    </w:p>
    <w:p>
      <w:pPr>
        <w:ind w:left="1320" w:right="3119" w:hanging="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orestricting our use of any type of subscriber equipment or transmission technology.</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our payment of franchise fees to the local franchising authority to 5% of our gross revenues derived from providing cable services over our cable system.</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contains procedures designed to protect us against arbitrary denials of the renewal of our franchises, although a franchising authority under various conditions could deny us a franchise renewal. Moreover, even if our franchise is renewed, the franchising authority may seek to impose upon us new and more onerous requirements such as significant upgrades in facilities and services or increased franchise fees as a condition of renewal. Similarly, if a franchising authority's consent is required for the purchase or sale of our cable system or franchise, the franchising authority may attempt to impose more burdensome or onerous franchise requirements on us in connection with a request for such consent. Historically, cable operators providing satisfactory services to their subscribers and complying with the terms of their franchises have typically obtained franchise renewals. We believe that we have generally met the terms of our franchises and have provided quality levels of service. We anticipate that our future franchise renewal prospects generally will be favorable.</w:t>
      </w:r>
    </w:p>
    <w:p>
      <w:pPr>
        <w:spacing w:after="0" w:line="18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the number of franchises awarded within a community and to impose certain substantive franchise requirements (e.g. access channels, universal service and other technical requirements). These decisions have been inconsistent and, until the United States Supreme Court rules definitively on the scope of cable operators' First Amendment protections, the legality of the franchising process generally and of various specific franchise requirements is likely to be in a state of flux.</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Ownership Limitations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generally prohibits us from owning or operating a SMATV or wireless cable system in any area where we provide franchised cable service. We may, however, acquire and operate SMATV systems in our franchised service areas if the programming and other services provided to SMATV subscribers are offered according to the terms and conditions of our franchise agreement.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also authorizes the FCC to impose nationwide limits on the number of subscribers under the control of a cable operator. While a federal district court has declared this limitation to be unconstitutional and delayed its enforcement, the FCC recently reconsidered its cable ownership regulations and:</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reaffirmed its 30% nationwide subscriber ownership limit, but maintained its voluntary stay on enforcement of that regulation pending further action,</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reaffirmed its subscriber ownership information reporting requirements,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opened an administrative proceeding to reevaluate its cable television attribution rules.</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Also pending on appeal is a challenge to the statutory and FCC regulatory limitations on the number of channels that can be occupied on a cable system by a video programmer in which a cable operator has an attributable ownership interest. We are unable to predict the outcome of these judicial and regulatory proceedings or the impact of any ownership restrictions on our business and operations.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eliminated the statutory prohibition on the common ownership, operation or control of a cable system and a television broadcast station in the same market. While the FCC has eliminated its regulations which precluded the cross-ownership of a national broadcasting network and a cable system, it has not yet completed its review of other regulations which prohibit the common ownership of other broadcasting interests and cable systems in the same geographical areas.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Amendments to the Communications Act made far-reaching changes in the relationship between local telephone companies and cable service providers. These amendments:</w:t>
      </w:r>
    </w:p>
    <w:p>
      <w:pPr>
        <w:spacing w:after="0" w:line="175" w:lineRule="exact"/>
        <w:rPr>
          <w:sz w:val="20"/>
          <w:szCs w:val="20"/>
          <w:color w:val="auto"/>
        </w:rPr>
      </w:pPr>
    </w:p>
    <w:p>
      <w:pPr>
        <w:jc w:val="both"/>
        <w:ind w:left="880" w:right="3119" w:hanging="445"/>
        <w:spacing w:after="0" w:line="239"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 federal legal barriers to competition in the local telephone and cable communications businesses, including allowing local telephone companies to offer video services in their local telephone service areas;</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preempted legal barriers to telecommunications competition that previously existed in state and local laws and regulations;</w:t>
      </w:r>
    </w:p>
    <w:p>
      <w:pPr>
        <w:spacing w:after="0" w:line="172"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19"/>
          </w:cols>
          <w:pgMar w:left="240" w:top="457" w:right="1440" w:bottom="0" w:gutter="0" w:footer="0" w:header="0"/>
        </w:sectPr>
      </w:pPr>
    </w:p>
    <w:bookmarkStart w:id="17" w:name="page18"/>
    <w:bookmarkEnd w:id="17"/>
    <w:p>
      <w:pPr>
        <w:ind w:left="880" w:right="3119" w:hanging="445"/>
        <w:spacing w:after="0" w:line="238"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basic standards for relationships between telecommunications providers; and</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limited acquisitions and prohibited certain joint ventures between local telephone companies and cable operators in the same market.</w:t>
      </w:r>
    </w:p>
    <w:p>
      <w:pPr>
        <w:spacing w:after="0" w:line="17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Local telephone companies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 A federal appellate court recently overturned various parts of the FCC's open video rules, including the FCC's preemption of local franchising requirements for open video operators. We expect the FCC to modify its open video rules to comply with the federal court's decision, but we are unable to predict the impact any rule modifications may have on our business and operations.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Pole Attachment Regulation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Communications Act requires the FCC to regulate the rates, terms and conditions imposed by public utilities for cable systems' use of utility pole and conduit space unless state authorities demonstrate to the FCC that they adequately regulate pole attachment rates, as is the case in certain states in which we operate. In the absence of state regulation, the FCC administers pole attachment rates on a formula basis. The FCC's current rate formula, which is being reevaluated by the FCC, governs the maximum rate certain utilities may charge for attachments to their poles and conduit by cable operators providing only cable services and, until 2001, by certain companies providing telecommunications services. The FCC also adopted a second rate formula that will be effective in 2001 and will govern the maximum rate certain utilities may charge for attachments to their poles and conduit by companies providing telecommunications services, including cable operators.</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Any resulting increase in attachment rates due to the FCC's new rate formula will be phased in over a five-year period in equal annual increments, beginning in February 2001. Several parties have requested the FCC to reconsider its new regulations and several parties have challenged the new rules in court. A federal district court recently upheld the constitutionality of the new statutory provision which requires that utilities provide cable systems and telecommunications carriers with nondiscriminatory access to any pole, conduit or right-of-way controlled by the utility; the utilities involved in that litigation have appealed the lower court's decision. We are unable to predict the outcome of this litigation or the ultimate impact of any revised FCC rate formula or of any new pole attachment rate regulations on our business and operations.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Regulatory Requirements of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Communications Act and the FCC</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Communications Act also includes provisions, among others, regulating:</w:t>
      </w:r>
    </w:p>
    <w:p>
      <w:pPr>
        <w:spacing w:after="0" w:line="180" w:lineRule="exact"/>
        <w:rPr>
          <w:sz w:val="20"/>
          <w:szCs w:val="20"/>
          <w:color w:val="auto"/>
        </w:rPr>
      </w:pPr>
    </w:p>
    <w:p>
      <w:pPr>
        <w:ind w:left="880" w:hanging="445"/>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privacy,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practices,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employment opportunity,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standards and equipment compatibility.</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FCC actively regulates other parts of our cable operations, involving such areas as:</w:t>
      </w:r>
    </w:p>
    <w:p>
      <w:pPr>
        <w:spacing w:after="0" w:line="172" w:lineRule="exact"/>
        <w:rPr>
          <w:sz w:val="20"/>
          <w:szCs w:val="20"/>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hiring and promotion of employees and use of outside vendors,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protection and customer service,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standards and testing of cable facilities,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electronics equipment compatibility,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cable systems,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various records and public inspection files,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microwave frequency usage,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antenna structure notification, marking and lighting.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FCC may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 The FCC has ongoing rulemaking proceedings that may change its existing rules or lead to new regulations. We are unable to predict the impact that any further FCC rule changes may have on our business and operations.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Other bills and administrative proposals pertaining to cable communications have previously been introduced in Congress or have been considered by other governmental bodies over the past several years. It is probable that further attempts will be made by Congress and other governmental bodies relating to the regulation of cable communications services.</w:t>
      </w:r>
    </w:p>
    <w:p>
      <w:pPr>
        <w:sectPr>
          <w:pgSz w:w="11900" w:h="16838" w:orient="portrait"/>
          <w:cols w:equalWidth="0" w:num="1">
            <w:col w:w="10219"/>
          </w:cols>
          <w:pgMar w:left="240" w:top="460" w:right="1440" w:bottom="0" w:gutter="0" w:footer="0" w:header="0"/>
        </w:sectPr>
      </w:pPr>
    </w:p>
    <w:bookmarkStart w:id="18" w:name="page19"/>
    <w:bookmarkEnd w:id="18"/>
    <w:p>
      <w:pPr>
        <w:ind w:left="208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9019"/>
          </w:cols>
          <w:pgMar w:left="1440" w:top="312" w:right="1440" w:bottom="1440" w:gutter="0" w:footer="0" w:header="0"/>
        </w:sectPr>
      </w:pPr>
    </w:p>
    <w:bookmarkStart w:id="19" w:name="page20"/>
    <w:bookmarkEnd w:id="19"/>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cable communications systems provide our subscribers with local and distant television and radio broadcast signals which are protected by the copyright laws. We generally do not obtain a license to use this programming directly from the owners of the programming, but comply with an alternative federal copyright licensing process. In exchange for filing certain reports and contributing a percentage of our revenues to a federal copyright royalty pool, we obtain blanket permission to retransmit copyrighted material.</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a report to Congress, the U.S. Copyright Office recommended that Congress make major revisions to both the cable television and satellite compulsory licenses. The possible simplification, modification or elimination of the compulsory copyright license is the subject of continuing legislative review. The elimination or substantial modification of the cable compulsory license could adversely affect our ability to obtain suitable programming and could substantially increase the cost of programming that remains available for distribution to our subscribers. We cannot predict the outcome of this legislative activity.</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cable communications systems often utilize music in the programs we provide to subscribers including local advertising, local origination programming and pay-per-view events. The rights to use this music are controlled by music performance rights societies who negotiate on behalf of their copyright owners for license fees covering each performance. The cable industry and one of these societies have agreed upon a standard licensing agreement covering the performance of music contained in programs originated by cable operators and in pay-per-view events. Negotiations on a similar licensing agreement are in process with another music performance rights organization. Rate courts established by a federal court exist to determine appropriate copyright coverage and payments in the event the parties fail to reach a negotiated settlement. We cannot predict the outcome of these proceedings or the amount of any license fees we may be required to pay for the use of music. We do not believe that the amount of such fees will be significant to our financial position, results of operations or liquidity.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cable systems use local streets and rights-of-way. Consequently, we must comply with state and local regulation which is typically imposed through the franchising process. The terms and conditions of our franchises vary materially from jurisdiction to jurisdiction. Each franchise generally contains provisions governing:</w:t>
      </w:r>
    </w:p>
    <w:p>
      <w:pPr>
        <w:spacing w:after="0" w:line="172" w:lineRule="exact"/>
        <w:rPr>
          <w:sz w:val="20"/>
          <w:szCs w:val="20"/>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service rates,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fees,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term,</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construction and maintenance obligations,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channel capacity,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technical performance,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standards,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renewal,</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or transfer of the franchise,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territory of the franchisee,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the franchising authority,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and occupancy of public streets,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cable services provided.</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number of states subject cable systems to the jurisdiction of state governmental agencies. Those states in which we operate that have enacted such state level regulation are Connecticut, New Jersey and Delaware. State and local franchising jurisdiction is not unlimited, however; it must be exercised consistently with federal law. The Communications Act immunizes franchising authorities from monetary damage awards arising from the regulation of cable systems or decisions made on franchise grants, renewals, transfers and amendments.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summary of certain federal and state regulatory requirements in the preceding pages does not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systems operate. Neither the outcome of these proceedings nor their impact upon our cable operations can be predicted at this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The FCC does not directly regulate the content or transmission of programming services like those offered by QVC and E! Entertainment. The FCC does, however, exercise regulatory authority over the satellites and uplink facilities which transmit programming services such as those provided by QVC and</w:t>
      </w:r>
    </w:p>
    <w:p>
      <w:pPr>
        <w:sectPr>
          <w:pgSz w:w="11900" w:h="16884" w:orient="portrait"/>
          <w:cols w:equalWidth="0" w:num="1">
            <w:col w:w="10219"/>
          </w:cols>
          <w:pgMar w:left="240" w:top="457" w:right="1440" w:bottom="0" w:gutter="0" w:footer="0" w:header="0"/>
        </w:sectPr>
      </w:pPr>
    </w:p>
    <w:bookmarkStart w:id="20" w:name="page21"/>
    <w:bookmarkEnd w:id="20"/>
    <w:p>
      <w:pPr>
        <w:jc w:val="both"/>
        <w:ind w:right="3119"/>
        <w:spacing w:after="0" w:line="239" w:lineRule="auto"/>
        <w:rPr>
          <w:sz w:val="20"/>
          <w:szCs w:val="20"/>
          <w:color w:val="auto"/>
        </w:rPr>
      </w:pPr>
      <w:r>
        <w:rPr>
          <w:rFonts w:ascii="Courier New" w:cs="Courier New" w:eastAsia="Courier New" w:hAnsi="Courier New"/>
          <w:sz w:val="15"/>
          <w:szCs w:val="15"/>
          <w:color w:val="auto"/>
        </w:rPr>
        <w:t>E! Entertainment. The FCC has granted, subject to periodic reviews, permanent licenses to QVC for its uplink facilities (and for backup equipment of certain of these facilities) at sufficient power levels for transmission of the QVC service. The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141" w:right="1440" w:bottom="1440" w:gutter="0" w:footer="0" w:header="0"/>
        </w:sectPr>
      </w:pPr>
    </w:p>
    <w:bookmarkStart w:id="21" w:name="page22"/>
    <w:bookmarkEnd w:id="21"/>
    <w:p>
      <w:pPr>
        <w:jc w:val="both"/>
        <w:ind w:right="3119"/>
        <w:spacing w:after="0"/>
        <w:rPr>
          <w:sz w:val="20"/>
          <w:szCs w:val="20"/>
          <w:color w:val="auto"/>
        </w:rPr>
      </w:pPr>
      <w:r>
        <w:rPr>
          <w:rFonts w:ascii="Courier New" w:cs="Courier New" w:eastAsia="Courier New" w:hAnsi="Courier New"/>
          <w:sz w:val="15"/>
          <w:szCs w:val="15"/>
          <w:color w:val="auto"/>
        </w:rPr>
        <w:t>FCC has licensing authority over satellites from which QVC and E! Entertainment obtain transponder capacity, but does not regulate their rates, terms or conditions of service. The FCC could, however, alter the regulatory obligations applicable to satellite service providers. The QVC programming services offered in the UK, Ireland and Germany are regulated by the media authorities in those countries.</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1998, we had approximately 17,000 employees. Of these employees, approximately 8,800 were associated with cable communications, approximately 5,700 were associated with electronic retailing and approximately 2,500 were associated with other divisions. We believe that our relationships with our employees are good.</w:t>
      </w:r>
    </w:p>
    <w:p>
      <w:pPr>
        <w:spacing w:after="0" w:line="17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Communications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central receiving apparatus, distribution cables, converters, customer service call centers and local business offices are the principal physical assets of a cable communications system. We own or lease the receiving and distribution equipment of each system and own or lease parcels of real property for the receiving sites, customer service call centers and local business offices. In order to keep pace with technological advances, we are maintaining, periodically upgrading and rebuilding the physical components of our cable communications systems.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Electronic Retailing</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Television studios, customer service call centers, business offices, product warehouses and distribution centers are the principal physical assets of our electronic retailing operations. These assets include QVC's studios and offices, Studio Park, located in West Chester, Pennsylvania. QVC owns the majority of these assets. In order to keep pace with technological advances, QVC is maintaining, periodically upgrading and rebuilding the physical components of our electronic retailing operations. QVC's warehousing and distribution facilities will continue to be upgraded over the next several years.</w:t>
      </w:r>
    </w:p>
    <w:p>
      <w:pPr>
        <w:spacing w:after="0" w:line="161"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7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7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460" w:right="1440" w:bottom="1440" w:gutter="0" w:footer="0" w:header="0"/>
        </w:sectPr>
      </w:pPr>
    </w:p>
    <w:bookmarkStart w:id="22" w:name="page23"/>
    <w:bookmarkEnd w:id="22"/>
    <w:p>
      <w:pPr>
        <w:spacing w:after="0"/>
        <w:tabs>
          <w:tab w:leader="none" w:pos="112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4"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The current term of office of each of our officers expires at the first meeting of our Board of Directors following the next Annual Meeting of Shareholders, presently scheduled to be held in June 1999, or as soon thereafter as each of their successors is elected and qualified. The following table sets forth certain information concerning our principal executive officers, including their ages, positions and tenure as of December 31, 1998:</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Officer</w:t>
            </w:r>
          </w:p>
        </w:tc>
        <w:tc>
          <w:tcPr>
            <w:tcW w:w="528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Age</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Since</w:t>
            </w:r>
          </w:p>
        </w:tc>
        <w:tc>
          <w:tcPr>
            <w:tcW w:w="5280" w:type="dxa"/>
            <w:vAlign w:val="bottom"/>
          </w:tcPr>
          <w:p>
            <w:pPr>
              <w:ind w:left="1660"/>
              <w:spacing w:after="0"/>
              <w:rPr>
                <w:sz w:val="20"/>
                <w:szCs w:val="20"/>
                <w:color w:val="auto"/>
              </w:rPr>
            </w:pPr>
            <w:r>
              <w:rPr>
                <w:rFonts w:ascii="Courier New" w:cs="Courier New" w:eastAsia="Courier New" w:hAnsi="Courier New"/>
                <w:sz w:val="15"/>
                <w:szCs w:val="15"/>
                <w:color w:val="auto"/>
              </w:rPr>
              <w:t>Position with Comcast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528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78</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1969</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Directors;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65</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1969</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Vice Chairman of the Board of Directors;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39</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1986</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President;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1988</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1990</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Treasurer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1981</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General Counsel; Secretary</w:t>
            </w:r>
          </w:p>
        </w:tc>
      </w:tr>
    </w:tbl>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Ralph J. Roberts has served as a Director and as our Chairman of the Board of Directors for more than five years. Mr. Roberts devotes a major portion of his time to our business and affairs. Mr. Roberts has been the President and a Director of Sural Corporation, a privately-held investment company, our controlling shareholder, for more than five years. Mr. Roberts is the father of Brian L. Roberts.</w:t>
      </w:r>
    </w:p>
    <w:p>
      <w:pPr>
        <w:spacing w:after="0" w:line="175"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Julian A. Brodsky has served as a Director and as our Vice Chairman of the Board of Directors for more than five years. Mr. Brodsky devotes a major portion of his time to our business and affairs. Mr. Brodsky presently serves as the Treasurer and as a Director of Sural. Mr. Brodsky is also a Director of RBB Fund, Inc.</w:t>
      </w:r>
    </w:p>
    <w:p>
      <w:pPr>
        <w:spacing w:after="0" w:line="174"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Brian L. Roberts has served as our President and as a Director for more than five years. Mr. Roberts devotes a major portion of his time to our business and affairs. Mr. Roberts presently serves as Vice President and as a Director of Sural. As of December 31, 1998, our shares owned by Sural constituted approximately 76% of the voting power of the two classes of our voting common stock combined. Mr. Roberts has sole voting power over stock representing a majority of voting power of all Sural stock and, therefore, has voting control over Comcast. Mr. Roberts is also a Director of @Home Corporation. Mr. Roberts is a son of Ralph J. Roberts.</w:t>
      </w:r>
    </w:p>
    <w:p>
      <w:pPr>
        <w:spacing w:after="0" w:line="177" w:lineRule="exact"/>
        <w:rPr>
          <w:sz w:val="20"/>
          <w:szCs w:val="20"/>
          <w:color w:val="auto"/>
        </w:rPr>
      </w:pPr>
    </w:p>
    <w:p>
      <w:pPr>
        <w:jc w:val="both"/>
        <w:ind w:right="3620" w:firstLine="444"/>
        <w:spacing w:after="0" w:line="239" w:lineRule="auto"/>
        <w:rPr>
          <w:sz w:val="20"/>
          <w:szCs w:val="20"/>
          <w:color w:val="auto"/>
        </w:rPr>
      </w:pPr>
      <w:r>
        <w:rPr>
          <w:rFonts w:ascii="Courier New" w:cs="Courier New" w:eastAsia="Courier New" w:hAnsi="Courier New"/>
          <w:sz w:val="15"/>
          <w:szCs w:val="15"/>
          <w:color w:val="auto"/>
        </w:rPr>
        <w:t>Lawrence S. Smith was named our Executive Vice President in December 1995. Prior to that time, Mr. Smith served as our Senior Vice President for more than five years. Mr. Smith is our Principal Accounting Officer.</w:t>
      </w:r>
    </w:p>
    <w:p>
      <w:pPr>
        <w:spacing w:after="0" w:line="175" w:lineRule="exact"/>
        <w:rPr>
          <w:sz w:val="20"/>
          <w:szCs w:val="20"/>
          <w:color w:val="auto"/>
        </w:rPr>
      </w:pPr>
    </w:p>
    <w:p>
      <w:pPr>
        <w:jc w:val="both"/>
        <w:ind w:right="3620" w:firstLine="444"/>
        <w:spacing w:after="0" w:line="238" w:lineRule="auto"/>
        <w:rPr>
          <w:sz w:val="20"/>
          <w:szCs w:val="20"/>
          <w:color w:val="auto"/>
        </w:rPr>
      </w:pPr>
      <w:r>
        <w:rPr>
          <w:rFonts w:ascii="Courier New" w:cs="Courier New" w:eastAsia="Courier New" w:hAnsi="Courier New"/>
          <w:sz w:val="15"/>
          <w:szCs w:val="15"/>
          <w:color w:val="auto"/>
        </w:rPr>
        <w:t>John R. Alchin has served as our Treasurer and as Senior Vice President for more than five years. Mr. Alchin is our Principal Financial Officer.</w:t>
      </w:r>
    </w:p>
    <w:p>
      <w:pPr>
        <w:spacing w:after="0" w:line="175" w:lineRule="exact"/>
        <w:rPr>
          <w:sz w:val="20"/>
          <w:szCs w:val="20"/>
          <w:color w:val="auto"/>
        </w:rPr>
      </w:pPr>
    </w:p>
    <w:p>
      <w:pPr>
        <w:ind w:right="3620" w:firstLine="444"/>
        <w:spacing w:after="0" w:line="238" w:lineRule="auto"/>
        <w:rPr>
          <w:sz w:val="20"/>
          <w:szCs w:val="20"/>
          <w:color w:val="auto"/>
        </w:rPr>
      </w:pPr>
      <w:r>
        <w:rPr>
          <w:rFonts w:ascii="Courier New" w:cs="Courier New" w:eastAsia="Courier New" w:hAnsi="Courier New"/>
          <w:sz w:val="15"/>
          <w:szCs w:val="15"/>
          <w:color w:val="auto"/>
        </w:rPr>
        <w:t>Stanley L. Wang has served as our Senior Vice President, Secretary and General Counsel for more than five years.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720"/>
          </w:cols>
          <w:pgMar w:left="240" w:top="457" w:right="939" w:bottom="1440" w:gutter="0" w:footer="0" w:header="0"/>
        </w:sectPr>
      </w:pPr>
    </w:p>
    <w:bookmarkStart w:id="23" w:name="page24"/>
    <w:bookmarkEnd w:id="23"/>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MATTERS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Class A Special Common Stock is included on Nasdaq under the symbol CMCSK and our Class A Common Stock is included on Nasdaq under the symbol CMCSA. There is no established public trading market for our Class B Common Stock. Our Class B Common Stock can be converted, on a share for share basis, into Class A Special or Class A Common Stock. The following table sets forth, for the indicated periods, the closing price range of the Class A Special and Class A Common Stock as furnished by Nasdaq.</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Special</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 A</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54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High</w:t>
            </w:r>
          </w:p>
        </w:tc>
        <w:tc>
          <w:tcPr>
            <w:tcW w:w="300" w:type="dxa"/>
            <w:vAlign w:val="bottom"/>
          </w:tcPr>
          <w:p>
            <w:pPr>
              <w:spacing w:after="0"/>
              <w:rPr>
                <w:sz w:val="14"/>
                <w:szCs w:val="14"/>
                <w:color w:val="auto"/>
              </w:rPr>
            </w:pPr>
          </w:p>
        </w:tc>
        <w:tc>
          <w:tcPr>
            <w:tcW w:w="98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6"/>
              </w:rPr>
              <w:t>Low</w:t>
            </w: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High</w:t>
            </w:r>
          </w:p>
        </w:tc>
        <w:tc>
          <w:tcPr>
            <w:tcW w:w="8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Low</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0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w:t>
            </w:r>
          </w:p>
        </w:tc>
        <w:tc>
          <w:tcPr>
            <w:tcW w:w="17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$18 15/16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13/16</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11/16</w:t>
            </w:r>
          </w:p>
        </w:tc>
      </w:tr>
    </w:tbl>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firstLine="266"/>
        <w:spacing w:after="0"/>
        <w:rPr>
          <w:sz w:val="20"/>
          <w:szCs w:val="20"/>
          <w:color w:val="auto"/>
        </w:rPr>
      </w:pPr>
      <w:r>
        <w:rPr>
          <w:rFonts w:ascii="Courier New" w:cs="Courier New" w:eastAsia="Courier New" w:hAnsi="Courier New"/>
          <w:sz w:val="15"/>
          <w:szCs w:val="15"/>
          <w:color w:val="auto"/>
        </w:rPr>
        <w:t>We began paying quarterly cash dividends on our Class A Common Stock in 1977. Since 1978, we have paid equal dividends on shares of both our Class A Common Stock and our Class B Common Stock. Since December 1986, when the Class A Special Common Stock was issued, we have paid equal dividends on shares of our Class A Special, Class A and Class B Common Stock. We declared dividends of $.0933 for each of the years ended December 31, 1998 and 1997 on shares of our Class A Special, Class A and Class B Common Stock. The declaration and payment of future dividends and their amount depend upon our results of operations, our financial condition and capital needs, and upon contractual restrictions on us and our subsidiaries and other factors.</w:t>
      </w:r>
    </w:p>
    <w:p>
      <w:pPr>
        <w:spacing w:after="0" w:line="178" w:lineRule="exact"/>
        <w:rPr>
          <w:sz w:val="20"/>
          <w:szCs w:val="20"/>
          <w:color w:val="auto"/>
        </w:rPr>
      </w:pPr>
    </w:p>
    <w:p>
      <w:pPr>
        <w:jc w:val="both"/>
        <w:ind w:right="3119" w:firstLine="266"/>
        <w:spacing w:after="0"/>
        <w:rPr>
          <w:sz w:val="20"/>
          <w:szCs w:val="20"/>
          <w:color w:val="auto"/>
        </w:rPr>
      </w:pPr>
      <w:r>
        <w:rPr>
          <w:rFonts w:ascii="Courier New" w:cs="Courier New" w:eastAsia="Courier New" w:hAnsi="Courier New"/>
          <w:sz w:val="15"/>
          <w:szCs w:val="15"/>
          <w:color w:val="auto"/>
        </w:rPr>
        <w:t>If you hold shares of our Class A Special Common Stock, you cannot vote in the election of directors or otherwise, except where class voting is required by law. In that case, if you hold Class A Special Common Stock, you have one vote per share. Generally, if you hold Class A Common Stock, you have one vote per share. If you hold Class B Common Stock, you have 15 votes per share. Generally, including the election of directors, holders of Class A Common Stock and the Class B Common Stock vote as one class except where class voting is required by law. If you hold Class A Common Stock or Class B Common Stock, you have cumulative voting rights.</w:t>
      </w:r>
    </w:p>
    <w:p>
      <w:pPr>
        <w:spacing w:after="0" w:line="177" w:lineRule="exact"/>
        <w:rPr>
          <w:sz w:val="20"/>
          <w:szCs w:val="20"/>
          <w:color w:val="auto"/>
        </w:rPr>
      </w:pPr>
    </w:p>
    <w:p>
      <w:pPr>
        <w:jc w:val="both"/>
        <w:ind w:right="3119" w:firstLine="266"/>
        <w:spacing w:after="0" w:line="239" w:lineRule="auto"/>
        <w:rPr>
          <w:sz w:val="20"/>
          <w:szCs w:val="20"/>
          <w:color w:val="auto"/>
        </w:rPr>
      </w:pPr>
      <w:r>
        <w:rPr>
          <w:rFonts w:ascii="Courier New" w:cs="Courier New" w:eastAsia="Courier New" w:hAnsi="Courier New"/>
          <w:sz w:val="15"/>
          <w:szCs w:val="15"/>
          <w:color w:val="auto"/>
        </w:rPr>
        <w:t>As of December 31, 1998, there were 2,381 record holders of our Class A Special Common Stock, 1,760 record holders of our Class A Common Stock and three record holders of our Class B Common Stock.</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457" w:right="1440" w:bottom="1440" w:gutter="0" w:footer="0" w:header="0"/>
        </w:sectPr>
      </w:pPr>
    </w:p>
    <w:bookmarkStart w:id="24" w:name="page25"/>
    <w:bookmarkEnd w:id="24"/>
    <w:tbl>
      <w:tblPr>
        <w:tblLayout w:type="fixed"/>
        <w:tblInd w:w="9"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38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SELECTED FINANCIAL DATA</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2"/>
        </w:trPr>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Year Ended December 31,</w:t>
            </w:r>
          </w:p>
        </w:tc>
        <w:tc>
          <w:tcPr>
            <w:tcW w:w="90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1996(1)</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4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(Dollars in millions, except per share data)</w:t>
            </w:r>
          </w:p>
        </w:tc>
        <w:tc>
          <w:tcPr>
            <w:tcW w:w="9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4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Revenues</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$5,145.3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$4,467.7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$3,612.3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$2,988.1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$1,089.2</w:t>
            </w: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Operating income...................................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557.1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466.6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465.9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213.4</w:t>
            </w: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1,007.7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Loss from discontinued operations (2)..............</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Net income (loss)..................................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972.1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(87.0)</w:t>
            </w:r>
          </w:p>
        </w:tc>
      </w:tr>
      <w:tr>
        <w:trPr>
          <w:trHeight w:val="3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 stockholders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 common share (3)</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Income (loss) from continuing operations</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8"/>
              </w:rPr>
              <w:t>before extraordinary items.................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Loss from discontinued operations (2).........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(0.12)</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16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(0.05)</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2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($0.19)   ($0.37)</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w:t>
            </w:r>
          </w:p>
        </w:tc>
      </w:tr>
      <w:tr>
        <w:trPr>
          <w:trHeight w:val="3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Income (loss) from continuing operations</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8"/>
              </w:rPr>
              <w:t>before extraordinary items.................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Loss from discontinued operations (2).........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(0.12)</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16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(0.05)</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2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($0.19)   ($0.37)</w:t>
            </w: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Cash dividends declared per common share (3).......</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$0.0933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$0.0933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$0.0933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$0.0933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$0.0933</w:t>
            </w:r>
          </w:p>
        </w:tc>
      </w:tr>
      <w:tr>
        <w:trPr>
          <w:trHeight w:val="3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Total assets.......................................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$14,817.4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$11,326.8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$10,660.4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$8,159.9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$5,480.0</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Working capital....................................</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2,531.7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5,464.2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5,334.1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5,998.3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6,014.8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4,066.0</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Stockholders' equity (deficiency)..................</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3,815.3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1,646.5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551.6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(827.7)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(726.8)</w:t>
            </w:r>
          </w:p>
        </w:tc>
      </w:tr>
      <w:tr>
        <w:trPr>
          <w:trHeight w:val="3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amortization (4)..............................</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$1,496.7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$1,293.1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$1,047.0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$459.9</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Net cash provided by (used in) (5).................</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1,079.7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855.3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644.5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339.7</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809.2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283.9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1,785.7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1,089.2</w:t>
            </w:r>
          </w:p>
        </w:tc>
      </w:tr>
      <w:tr>
        <w:trPr>
          <w:trHeight w:val="171"/>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(1,427.3)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(1,056.5)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(749.5)</w:t>
            </w:r>
          </w:p>
        </w:tc>
        <w:tc>
          <w:tcPr>
            <w:tcW w:w="2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(2,060.3) (1,254.4)</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119" w:hanging="449"/>
        <w:spacing w:after="0" w:line="258" w:lineRule="auto"/>
        <w:tabs>
          <w:tab w:leader="none" w:pos="4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should see "Management's Discussion and Analysis of Financial Condition and Results of Operations" for a discussion of events which affect the comparability of the information reflected in this financial data.</w:t>
      </w:r>
    </w:p>
    <w:p>
      <w:pPr>
        <w:jc w:val="both"/>
        <w:ind w:left="449" w:right="3119" w:hanging="449"/>
        <w:spacing w:after="0" w:line="239"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we agreed to sell Comcast Cellular Corporation to SBC Communications, Inc. This represents the results of Comcast Cellular which is presented as a discontinued operation for all periods presented.</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for our three-for-two stock split effective February 2, 1994.</w:t>
      </w:r>
    </w:p>
    <w:p>
      <w:pPr>
        <w:spacing w:after="0" w:line="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the our industries, although our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10"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the our consolidated statement of cash flows.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28"/>
          </w:cols>
          <w:pgMar w:left="231" w:top="457" w:right="1440" w:bottom="1440" w:gutter="0" w:footer="0" w:header="0"/>
        </w:sectPr>
      </w:pPr>
    </w:p>
    <w:bookmarkStart w:id="25" w:name="page26"/>
    <w:bookmarkEnd w:id="25"/>
    <w:p>
      <w:pPr>
        <w:ind w:left="1140" w:right="3479" w:hanging="1153"/>
        <w:spacing w:after="0" w:line="238" w:lineRule="auto"/>
        <w:tabs>
          <w:tab w:leader="none" w:pos="11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experienced significant growth in recent years through both strategic acquisitions and growth in our existing businesses. We have historically met our cash needs for operations through our cash flows from operating activities. Cash requirements for acquisitions and capital expenditures have been provided through our financing activities and sales of long-term investments, as well as our existing cash, cash equivalents and short-term investments.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January 1999, we agreed to sell our wholly owned subsidiary, Comcast Cellular Corporation ("Comcast Cellular"), to SBC Communications, Inc. for approximately $400 million in cash and the assumption of approximately $1.3 billion of Comcast Cellular debt. We expect to recognize a pre-tax gain on the sale of approximately $600 million. We expect to complete this sale in the third quarter of 1999 if we receive all the necessary regulatory and other approvals. The results of Comcast Cellular have been presented as a discontinued operation in our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See "General Developments of Business" in Part I and Note 3 to our consolidated financial statements in Item 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through our cash flows from operating activities, existing cash, cash equivalents, short-term investments, lines of credit and other external financing.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December 31, 1998 and 1997 were $4.524 billion and $573.0 million, respectively. As of December 31, 1998, our cash, cash equivalents and short-term investments include $3.635 billion of our investments in AT&amp;T Corp. ("AT&amp;T"), Sprint PCS, NTL Incorporated ("NTL"), Tele-Communications, Inc. ("TCI"), Liberty Media Corporation ("Liberty") and TCI Ventures Group, Inc. ("TCI Ventures") (see Notes 3 and 4 to our consolidated financial statements included in Item 8). As of December 31, 1998, $258.5 million of our cash, cash equivalents and short-term investments is restricted to use by subsidiaries under contractual or other arrangements.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3 and 4 to our consolidated financial statements included in Item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do not have any additional significant contractual funding commitments with respect to any of our investments. However, to the extent we do not fund our investees' capital calls, we expose ourselves to dilution of our ownership interests. We continually evaluate our existing investments as well as new investment opportunities.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Rights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July 1996, we acquired a 66% interest in Comcast Spectacor, L.P. ("Comcast-Spectacor"), the owner of two professional sports teams and two arenas in Philadelphia, Pennsylvania. We have the right to purchase the remaining 34% interest in Comcast-Spectacor from our partner for its pro rata portion of the fair market value (on a going concern basis as determined by an appraisal process) of Comcast-Spectacor. Our partner also has the right to require us to purchase its interests under the same terms. We may pay our partner for such interests in shares of our Class A Special Common Stock, subject to certain restrictions. If our partner exercises its exit rights and we elect not to purchase its interest, we and our partner will use our best efforts to sell Comcast-Spectacor.</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Walt Disney Company ("Disney"), in certain circumstances, is entitled to cause Comcast Entertainment Holdings LLC (the "LLC"), which is owned 50.1% by us and 49.9% by Disney, to purchase Disney's entire interest in the LLC at its then fair market value (as determined by an appraisal process). If the LLC elects not to purchase Disney's interests, Disney has the right, at its option, to purchase either our entire interest in the LLC or all of the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19"/>
          </w:cols>
          <w:pgMar w:left="240" w:top="460" w:right="1440" w:bottom="457" w:gutter="0" w:footer="0" w:header="0"/>
        </w:sectPr>
      </w:pPr>
    </w:p>
    <w:bookmarkStart w:id="26" w:name="page27"/>
    <w:bookmarkEnd w:id="26"/>
    <w:p>
      <w:pPr>
        <w:jc w:val="both"/>
        <w:ind w:right="3119"/>
        <w:spacing w:after="0"/>
        <w:rPr>
          <w:sz w:val="20"/>
          <w:szCs w:val="20"/>
          <w:color w:val="auto"/>
        </w:rPr>
      </w:pPr>
      <w:r>
        <w:rPr>
          <w:rFonts w:ascii="Courier New" w:cs="Courier New" w:eastAsia="Courier New" w:hAnsi="Courier New"/>
          <w:sz w:val="15"/>
          <w:szCs w:val="15"/>
          <w:color w:val="auto"/>
        </w:rPr>
        <w:t>shares of stock of E! Entertainment Television, Inc. ("E! Entertainment") held by the LLC, in each case at fair market value. If Disney exercises its rights, as described above, a portion or all of our $132.8 million aggregate principal amount ten-year, 7% notes payable to Disney (the "Disney Notes") may be replaced with a three year note due to Disney.</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and Liberty, a majority owned subsidiary of TCI, own approximately 57% and 43%, respectively, of QVC, Inc. ("QVC"), an electronic retailer. We, through a management agreement, are responsible for the day to day operations of QVC. Liberty may, at certain times following February 9, 2000, trigger the exercise of certain exit rights with respect to its investment in QVC. If the exit rights are triggered, we have first right to purchase Liberty's stock in QVC at Liberty's pro rata portion of the fair market value (on a going concern or liquidation basis, whichever is higher, as determined by an appraisal process) of QVC. We may pay Liberty for such stock, subject to certain rights of Liberty to consummate the purchase in the most tax-efficient method available, in cash, our promissory note maturing not more than three years after issuance, our equity securities or any combination thereof. If we elect not to purchase the stock of QVC held by Liberty, then Liberty will have a similar right to purchase the stock of QVC held by us. If Liberty elects not to purchase the stock of QVC held by us, then we and Liberty will use our best efforts to sell QVC.</w:t>
      </w:r>
    </w:p>
    <w:p>
      <w:pPr>
        <w:spacing w:after="0" w:line="16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own 55% of MHCP Holdings, L.L.C. ("MHCP Holdings"), an indirect subsidiary of ours which holds cable communications systems serving approximately 644,000 subscribers as of December 31, 1998. The California Public Employees Retirement System ("CalPERS") owns the remaining 45% of MHCP Holdings. At any time after December 18, 2001, CalPERS may elect to liquidate its interest in MHCP Holdings at a price based upon the fair value of CalPERS' interest in MHCP Holdings, adjusted, under certain circumstances, for certain performance criteria relating to the fair value of MHCP Holdings or to our common stock. Except in certain limited circumstances, we have the option to satisfy this liquidity arrangement by purchasing CalPERS' interest for cash, through the issuance of our common stock (subject to certain limitations) or by selling MHCP Holdings.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Year 2000 Issue is the result of computer programs being written using two digits rather than four to define the applicable year. Certain of our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in the process of evaluating and addressing the impact of the Year 2000 Issue on our operations to ensure that our information technology and business systems recognize calendar Year 2000. We are utilizing both internal and external resources in implementing our Year 2000 program, which consists of the following phases:</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Assessment Phase. Structured evaluation, including a detailed inventory outlining the impact that the Year 2000 Issue may have on current operations.</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Detailed Planning Phase. Establishment of priorities, development of specific action steps and allocation of resources to address the issues identified in the Assessment Phase.</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Phase. Implementation of the necessary system modifications as outlined in the Detailed Planning Phase.</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Phase. Verification that the modifications implemented in the Conversion Phase will be successful in resolving the Year 2000 Issue so that all inventory items will function properly, both individually and on an integrated basis.</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Phase. Final roll-out of fully tested components into an operational unit.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Based on an inventory conducted in 1997, we have identified computer systems that will require modification or replacement so that they will properly utilize dates beyond December 31, 1999. Many of our critical systems are new and are already Year 2000 compliant as a result of the recent rebuild of many of our cable communications systems. In addition, we have initiated communications with all of our significant software suppliers and service bureaus to determine their plans for remediating the Year 2000 Issue in their software which we use or rely upon.</w:t>
      </w:r>
    </w:p>
    <w:p>
      <w:pPr>
        <w:spacing w:after="0" w:line="177"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As of December 31, 1998, we are in the Conversion Phase of our Year 2000 remediation program and have entered the Testing Phase with respect to certain of our key systems. Through December 31, 1998, we have incurred approximately $4.7 million in connection with our Year 2000 remediation program. We estimate that we will incur between approximately $8 million to $17 million of additional expense through December 1999 in connection with our Year 2000 remediation program. Our estimate to complete the remediation plan includes the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19"/>
          </w:cols>
          <w:pgMar w:left="240" w:top="460" w:right="1440" w:bottom="798" w:gutter="0" w:footer="0" w:header="0"/>
        </w:sectPr>
      </w:pPr>
    </w:p>
    <w:bookmarkStart w:id="27" w:name="page28"/>
    <w:bookmarkEnd w:id="27"/>
    <w:p>
      <w:pPr>
        <w:jc w:val="both"/>
        <w:ind w:right="3119"/>
        <w:spacing w:after="0" w:line="239" w:lineRule="auto"/>
        <w:rPr>
          <w:sz w:val="20"/>
          <w:szCs w:val="20"/>
          <w:color w:val="auto"/>
        </w:rPr>
      </w:pPr>
      <w:r>
        <w:rPr>
          <w:rFonts w:ascii="Courier New" w:cs="Courier New" w:eastAsia="Courier New" w:hAnsi="Courier New"/>
          <w:sz w:val="15"/>
          <w:szCs w:val="15"/>
          <w:color w:val="auto"/>
        </w:rPr>
        <w:t>estimated time associated with mitigating the Year 2000 Issue for third party software. However, we cannot guarantee that the systems of other companies on which we rely will be converted on a timely basis, or that a failure to convert by another company would not have a material adverse effect on us.</w:t>
      </w:r>
    </w:p>
    <w:p>
      <w:pPr>
        <w:spacing w:after="0" w:line="176"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Our management will continue to periodically report the progress of our Year 2000 remediation program to the Audit Committee of our Board of Directors. We plan to complete the Year 2000 mitigation by the third quarter of 1999. Our management has investigated and may consider potential contingency plans in the event that our Year 2000 remediation program is not completed by that date.</w:t>
      </w:r>
    </w:p>
    <w:p>
      <w:pPr>
        <w:spacing w:after="0" w:line="162"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costs of the project and the date on which we plan to complete the Year 2000 modifications and replacements are based on our best estimates, which were derived using assumptions of future events including the continued availability of resources and the reliability of third party modification plans. However, we cannot guarantee that these estimates will be achieved and actual results could differ materially from those plans. Specific factors that may cause such material differences include, but are not limited to, the availability and cost of personnel with appropriate necessary skills and the ability to locate and correct all relevant computer code and similar uncertainties.</w:t>
      </w:r>
    </w:p>
    <w:p>
      <w:pPr>
        <w:spacing w:after="0" w:line="16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believe that with modifications to existing software and conversions to new software, the Year 2000 Issue can be mitigated. However, if such modifications and conversions are not made, or are not completed within an adequate time frame, the Year 2000 Issue could have a material adverse impact on our operations.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1999, we expect to incur approximately $750 million of capital expenditures, including $550 million primarily for the upgrading and rebuilding of certain of our cable communications systems and the deployment of digital converters and cable modems (excluding pending acquisitions), $85 million primarily for the upgrading of QVC's warehousing and distribution facilities and $40 million primarily for the upgrading of our cellular communications systems (assuming the sale of Comcast Cellular closes during the third quarter of 1999). The amount of such capital expenditures for years subsequent to 1999 will depend on numerous factors, many of which are beyond our control. These factors include:</w:t>
      </w:r>
    </w:p>
    <w:p>
      <w:pPr>
        <w:spacing w:after="0" w:line="7" w:lineRule="exact"/>
        <w:rPr>
          <w:sz w:val="20"/>
          <w:szCs w:val="20"/>
          <w:color w:val="auto"/>
        </w:rPr>
      </w:pPr>
    </w:p>
    <w:p>
      <w:pPr>
        <w:ind w:left="880" w:right="3119" w:hanging="445"/>
        <w:spacing w:after="0" w:line="238"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competition in a particular market necessitates a cable system upgrade,</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 particular cable system has sufficient capacity to handle new product offerings including the offering of cable modem, cable telephony and telecommunications services,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to what extent we will be able to recover our investment under FCC rate guidelines and other factors, and</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acquire additional cable systems in need of upgrading or rebuilding.</w:t>
      </w:r>
    </w:p>
    <w:p>
      <w:pPr>
        <w:spacing w:after="0" w:line="17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National manufacturers are the primary sources of supplies, equipment and materials utilized in the construction, rebuild and upgrade of our cable communications systems. Costs have increased during recent years and are expected to continue to increase as a result of the need to construct increasingly complex systems, overall demand for labor and other factors. Future increases in such costs may be significant to our financial position, results of operations and liquidity. We anticipate capital expenditures for years subsequent to 1999 will continue to be significant. As of December 31, 1998, we do not have any significant contractual obligations for capital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5 and 6 to our consolidated financial statements included in Item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historically utilized a strategy of financing our acquisitions through the issuance of our common stock or through the issuance of senior debt at the acquired operating subsidiary level, through the issuance of senior debt at the intermediate holding company and parent company levels and through public offerings of subsidiary stock and debt instruments. As of December 31, 1998 and 1997, our long-term debt, including current portion, was $5.578 billion and $5.466 billion, respectively, of which 18.0% and 17.7%, respectively, was at variable rates.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exposed to market risk including changes in interest rates. To manage the volatility relating to these exposures, we enter into various derivative transactions pursuant to our policies in areas such as counterparty exposure and hedging practices. Positions are monitored using techniques including market value and sensitivity analyses. We do not hold or issue any derivative financial instruments for trading purposes and are not a party to leveraged instruments. The credit risks associated with our derivative financial instruments are controlled through the evaluation and monitoring of the creditworthiness of the counterparties. Although we may be exposed to losses in the event of nonperformance by the counterparties, we do not expect such losses, if any,</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460" w:right="1440" w:bottom="457" w:gutter="0" w:footer="0" w:header="0"/>
        </w:sectPr>
      </w:pPr>
    </w:p>
    <w:bookmarkStart w:id="28" w:name="page29"/>
    <w:bookmarkEnd w:id="28"/>
    <w:p>
      <w:pPr>
        <w:ind w:left="9"/>
        <w:spacing w:after="0"/>
        <w:rPr>
          <w:sz w:val="20"/>
          <w:szCs w:val="20"/>
          <w:color w:val="auto"/>
        </w:rPr>
      </w:pPr>
      <w:r>
        <w:rPr>
          <w:rFonts w:ascii="Courier New" w:cs="Courier New" w:eastAsia="Courier New" w:hAnsi="Courier New"/>
          <w:sz w:val="15"/>
          <w:szCs w:val="15"/>
          <w:color w:val="auto"/>
        </w:rPr>
        <w:t>to be significant.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jc w:val="both"/>
        <w:ind w:left="9" w:right="3460" w:firstLine="444"/>
        <w:spacing w:after="0"/>
        <w:rPr>
          <w:sz w:val="20"/>
          <w:szCs w:val="20"/>
          <w:color w:val="auto"/>
        </w:rPr>
      </w:pPr>
      <w:r>
        <w:rPr>
          <w:rFonts w:ascii="Courier New" w:cs="Courier New" w:eastAsia="Courier New" w:hAnsi="Courier New"/>
          <w:sz w:val="15"/>
          <w:szCs w:val="15"/>
          <w:color w:val="auto"/>
        </w:rPr>
        <w:t>The use of interest rate risk management instruments, such as interest rate exchange agreements ("Swaps"), interest rate cap agreements ("Caps") and interest rate collar agreements ("Collars"), is required under the terms of certain of our outstanding debt agreements. Our policy is to manage interest costs using a mix of fixed and variable rate debt. Using Swaps, we agree to exchange, at specified intervals, the difference between fixed and variable interest amounts calculated by reference to an agreed-upon notional principal amount. Caps are used to lock in a maximum interest rate should variable rates rise, but enable us to otherwise pay lower market rates. Collars limit our exposure to and benefits from interest rate fluctuations on variable rate debt to within a certain range of rates.</w:t>
      </w:r>
    </w:p>
    <w:p>
      <w:pPr>
        <w:spacing w:after="0" w:line="179" w:lineRule="exact"/>
        <w:rPr>
          <w:sz w:val="20"/>
          <w:szCs w:val="20"/>
          <w:color w:val="auto"/>
        </w:rPr>
      </w:pPr>
    </w:p>
    <w:p>
      <w:pPr>
        <w:jc w:val="both"/>
        <w:ind w:left="9" w:right="3460" w:firstLine="444"/>
        <w:spacing w:after="0" w:line="239"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us as of December 31, 1998 (dollars in millions):</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Expected</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Maturity Date</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Fair Value at</w:t>
            </w:r>
          </w:p>
        </w:tc>
      </w:tr>
      <w:tr>
        <w:trPr>
          <w:trHeight w:val="171"/>
        </w:trPr>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12/31/98</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Fixed Rate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$227.6</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$105.6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$4,071.7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$4,489.0</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Interest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9.5%</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160" w:type="dxa"/>
            <w:vAlign w:val="bottom"/>
          </w:tcPr>
          <w:p>
            <w:pPr>
              <w:spacing w:after="0"/>
              <w:rPr>
                <w:sz w:val="14"/>
                <w:szCs w:val="14"/>
                <w:color w:val="auto"/>
              </w:rPr>
            </w:pPr>
          </w:p>
        </w:tc>
      </w:tr>
      <w:tr>
        <w:trPr>
          <w:trHeight w:val="34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$185.9</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$322.9</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$370.5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$520.5</w:t>
            </w:r>
          </w:p>
        </w:tc>
        <w:tc>
          <w:tcPr>
            <w:tcW w:w="10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$1,506.0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$1,506.0</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Interest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160" w:type="dxa"/>
            <w:vAlign w:val="bottom"/>
          </w:tcPr>
          <w:p>
            <w:pPr>
              <w:spacing w:after="0"/>
              <w:rPr>
                <w:sz w:val="14"/>
                <w:szCs w:val="14"/>
                <w:color w:val="auto"/>
              </w:rPr>
            </w:pPr>
          </w:p>
        </w:tc>
      </w:tr>
      <w:tr>
        <w:trPr>
          <w:trHeight w:val="34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 Instruments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Variable to Fixed Swaps (1)...</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$504.1</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$127.5</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$143.5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$1,061.8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Pay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116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Receive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Caps..........................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$240.0</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c>
          <w:tcPr>
            <w:tcW w:w="116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 Rate...........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160" w:type="dxa"/>
            <w:vAlign w:val="bottom"/>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Collar........................</w:t>
            </w:r>
          </w:p>
        </w:tc>
        <w:tc>
          <w:tcPr>
            <w:tcW w:w="92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16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 Rate...........</w:t>
            </w:r>
          </w:p>
        </w:tc>
        <w:tc>
          <w:tcPr>
            <w:tcW w:w="92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w:t>
            </w: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116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Floor Rate.........</w:t>
            </w:r>
          </w:p>
        </w:tc>
        <w:tc>
          <w:tcPr>
            <w:tcW w:w="92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160" w:type="dxa"/>
            <w:vAlign w:val="bottom"/>
          </w:tcPr>
          <w:p>
            <w:pPr>
              <w:spacing w:after="0"/>
              <w:rPr>
                <w:sz w:val="14"/>
                <w:szCs w:val="14"/>
                <w:color w:val="auto"/>
              </w:rPr>
            </w:pPr>
          </w:p>
        </w:tc>
      </w:tr>
    </w:tbl>
    <w:p>
      <w:pPr>
        <w:spacing w:after="0" w:line="174" w:lineRule="exact"/>
        <w:rPr>
          <w:sz w:val="20"/>
          <w:szCs w:val="20"/>
          <w:color w:val="auto"/>
        </w:rPr>
      </w:pPr>
    </w:p>
    <w:p>
      <w:pPr>
        <w:jc w:val="both"/>
        <w:ind w:left="449" w:right="3460" w:hanging="449"/>
        <w:spacing w:after="0" w:line="239" w:lineRule="auto"/>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$361.8 million of Swaps which become effective in the year 2000 maturing through 2003 and $200.0 million of Swaps which become effective in the year 2000 maturing 2008.</w:t>
      </w:r>
    </w:p>
    <w:p>
      <w:pPr>
        <w:spacing w:after="0" w:line="200" w:lineRule="exact"/>
        <w:rPr>
          <w:sz w:val="20"/>
          <w:szCs w:val="20"/>
          <w:color w:val="auto"/>
        </w:rPr>
      </w:pPr>
    </w:p>
    <w:p>
      <w:pPr>
        <w:spacing w:after="0" w:line="31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9" w:right="3460" w:firstLine="444"/>
        <w:spacing w:after="0"/>
        <w:rPr>
          <w:sz w:val="20"/>
          <w:szCs w:val="20"/>
          <w:color w:val="auto"/>
        </w:rPr>
      </w:pPr>
      <w:r>
        <w:rPr>
          <w:rFonts w:ascii="Courier New" w:cs="Courier New" w:eastAsia="Courier New" w:hAnsi="Courier New"/>
          <w:sz w:val="15"/>
          <w:szCs w:val="15"/>
          <w:color w:val="auto"/>
        </w:rPr>
        <w:t>The notional amounts of interest rate instruments, as presented in the table above are used to measure interest to be paid or received and do not represent the amount of exposure to credit loss. The estimated fair value approximates the proceeds (costs) to settle the outstanding contracts. Interest rates on variable debt are estimated by us using the average implied forward London Interbank Offer Rate ("LIBOR") rates for the year of maturity based on the yield curve in effect at December 31, 1998, plus the borrowing margin in effect for each credit facility at December 31, 1998. Average receive rates on the Variable to Fixed Swaps are estimated by us using the average implied forward LIBOR rates for the year of maturity based on the yield curve in effect at December 31, 1998. While Swaps, Caps and Collars represent an integral part of our interest rate risk management program, their incremental effect on interest expense for the years ended December 31, 1998, 1997 and 1996 was not significant.</w:t>
      </w:r>
    </w:p>
    <w:p>
      <w:pPr>
        <w:spacing w:after="0" w:line="17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Equity Price Risk</w:t>
      </w:r>
    </w:p>
    <w:p>
      <w:pPr>
        <w:spacing w:after="0" w:line="174" w:lineRule="exact"/>
        <w:rPr>
          <w:sz w:val="20"/>
          <w:szCs w:val="20"/>
          <w:color w:val="auto"/>
        </w:rPr>
      </w:pPr>
    </w:p>
    <w:p>
      <w:pPr>
        <w:jc w:val="both"/>
        <w:ind w:left="9" w:right="3460" w:firstLine="444"/>
        <w:spacing w:after="0"/>
        <w:rPr>
          <w:sz w:val="20"/>
          <w:szCs w:val="20"/>
          <w:color w:val="auto"/>
        </w:rPr>
      </w:pPr>
      <w:r>
        <w:rPr>
          <w:rFonts w:ascii="Courier New" w:cs="Courier New" w:eastAsia="Courier New" w:hAnsi="Courier New"/>
          <w:sz w:val="15"/>
          <w:szCs w:val="15"/>
          <w:color w:val="auto"/>
        </w:rPr>
        <w:t>In connection with the share repurchase programs authorized by our Board of Directors, we sold put options on shares of our Class A Special Common Stock. We sold put options on 2.75 million shares, 2.0 million shares and 1.0 million shares during 1998, 1997 and 1996, respectively. The put options give the holder the right to require us to repurchase such shares at specified prices on specific dates. The put options sold during 1997 and 1996 expired unexercised. The amount we would be obligated to pay to repurchase such shares upon exercise of the put options, totaling $111.2 million and $31.4 million, has been reclassified from additional capital to common equity put options in our December 31, 1998 and 1997 consolidated balance sheet. The difference between the proceeds from the sale of these put options and their estimated fair value was not significant as of December 31, 1998 and 1997.</w:t>
      </w:r>
    </w:p>
    <w:p>
      <w:pPr>
        <w:spacing w:after="0" w:line="17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569"/>
          </w:cols>
          <w:pgMar w:left="231" w:top="457" w:right="109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Cash and cash equivalents increased $461.6 million as of December 31, 1998 from December 31, 1997. The increase in cash and cash equivalents resulted from cash flows from operating, financing and investing activities as explained below.</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Net cash provided by operating activities from continuing operations amounted to $1.080 billion for the year ended December 31, 1998 due principally to our operating income from continuing operations before depreciation and amortization (see "Results of Operations"), including the effects of the consolidation of Comcast-Spectacor effective January 1, 1998 (see Note 3 to our consolidated financial statements included in Item 8), and changes in working capital as a result of the timing of receipts and disbursements.</w:t>
      </w:r>
    </w:p>
    <w:p>
      <w:pPr>
        <w:spacing w:after="0" w:line="16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Net cash provided by financing activities from continuing operations, which includes borrowings and repayments of debt, as well as the issuances and repurchases of our equity securities, was $809.2 million for the year ended December 31, 1998. During 1998, we borrowed $1.938 billion, consisting primarily of $797.9 million of 6.20% senior notes due 2008 and $827.0 million of subsidiary revolving credit in connection with a refinancing. During 1998, we repaid $1.113 billion of our long-term debt, primarily in connection with the refinancing of certain subsidiary indebtedness. In addition, during 1998, we had net issuances of $28.9 million of our common stock and we paid cash dividends of $36.0 million on our common stock and Series A Preferred Stock. Deferred financing costs of $16.3 million were incurred during 1998 principally in connection with the issuance of the 6.20% senior notes due 2008.</w:t>
      </w:r>
    </w:p>
    <w:p>
      <w:pPr>
        <w:spacing w:after="0" w:line="16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Net cash used in investing activities from continuing operations was $1.427 billion for the year ended December 31, 1998. Net cash used in investing activities includes acquisitions of cable communications systems, net of cash acquired, of $309.7 million, capital contributions to and purchases of investments of $202.1 million and capital expenditures of $898.9 million, offset by proceeds from the sales of short-term investments and call options of $169.5 million and proceeds from the repayment of a loan by an investee of $74.7 million. The sale of Comcast UK Cable resulted in a reduction to cash and cash equivalents of $140.4 million due to the receipt of approximately 4.8 million shares of NTL in exchange for all of our shares in Comcast UK Cable (see Note 3 to our consolidated financial statements included in Item 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effects of our recent acquisitions and the consolidation of Comcast-Spectacor effective January 1, 1998, as well as increased levels of capital expenditures, were to increase significantly our revenues and expenses, resulting in substantial increases in our operating income before depreciation and amortization, depreciation expense, amortization expense and interest expense. Investment income has increased significantly in 1998 as a result of the gains we recognized on the exchange of our interest in Teleport Communications Group Inc. ("Teleport") for AT&amp;T common stock, the Sprint PCS restructuring and the exchange of our interest in Comcast UK Cable for NTL common stock. In addition, our equity in net losses of affiliates has increased principally as a result of losses incurred by Sprint PCS. See "Operating Results by Business Segment" and "Consolidated Analysis".</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457" w:right="1440" w:bottom="1440" w:gutter="0" w:footer="0" w:header="0"/>
        </w:sectPr>
      </w:pPr>
    </w:p>
    <w:bookmarkStart w:id="30" w:name="page31"/>
    <w:bookmarkEnd w:id="30"/>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Our summarized consolidated financial information for the three years ended December 31, 1998 is as follows (dollars in millions, "NM" denotes percentage is not meaningful):</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26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9"/>
              </w:rPr>
              <w:t>Year Ended</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226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8"/>
              </w:rPr>
              <w:t>December 31,</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Increase/(Decrease)</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$5,145.3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$4,467.7</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1,462.0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1,270.2</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2,186.6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1,904.4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282.2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 (1) ....</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1,496.7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1,293.1</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203.6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463.9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404.1</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475.7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557.1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466.6</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466.7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458.9</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(1,828.0)</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(149.4)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1,678.6</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515.9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343.8</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(157.8)</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150.1</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594.0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523.6</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(76.2)</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$1,007.7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($182.9)</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$1,190.6</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853"/>
        </w:trPr>
        <w:tc>
          <w:tcPr>
            <w:tcW w:w="5620" w:type="dxa"/>
            <w:vAlign w:val="bottom"/>
          </w:tcPr>
          <w:p>
            <w:pPr>
              <w:spacing w:after="0"/>
              <w:rPr>
                <w:sz w:val="24"/>
                <w:szCs w:val="24"/>
                <w:color w:val="auto"/>
              </w:rPr>
            </w:pPr>
          </w:p>
        </w:tc>
        <w:tc>
          <w:tcPr>
            <w:tcW w:w="226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9"/>
              </w:rPr>
              <w:t>Year Ended</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620" w:type="dxa"/>
            <w:vAlign w:val="bottom"/>
          </w:tcPr>
          <w:p>
            <w:pPr>
              <w:spacing w:after="0"/>
              <w:rPr>
                <w:sz w:val="14"/>
                <w:szCs w:val="14"/>
                <w:color w:val="auto"/>
              </w:rPr>
            </w:pPr>
          </w:p>
        </w:tc>
        <w:tc>
          <w:tcPr>
            <w:tcW w:w="226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8"/>
              </w:rPr>
              <w:t>December 31,</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Increase/(Decrease)</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$4,467.7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$3,612.3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1,270.2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1,114.2</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1,904.4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1,451.1</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453.3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 (1) ....</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1,293.1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1,047.0</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246.1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404.1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259.2</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55.9</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321.9</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466.6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465.9</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458.9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448.4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(120.0)</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144.8</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199.0</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(40.6)</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31.0</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109.0</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(76.2)</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(48.0)</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58.8</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before extraordinary items....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($182.9)</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$176.5</w:t>
            </w:r>
          </w:p>
        </w:tc>
        <w:tc>
          <w:tcPr>
            <w:tcW w:w="800" w:type="dxa"/>
            <w:vAlign w:val="bottom"/>
          </w:tcPr>
          <w:p>
            <w:pPr>
              <w:ind w:left="52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62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119" w:hanging="449"/>
        <w:spacing w:after="0" w:line="259" w:lineRule="auto"/>
        <w:tabs>
          <w:tab w:leader="none" w:pos="4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3" w:lineRule="exact"/>
        <w:rPr>
          <w:rFonts w:ascii="Courier New" w:cs="Courier New" w:eastAsia="Courier New" w:hAnsi="Courier New"/>
          <w:sz w:val="14"/>
          <w:szCs w:val="14"/>
          <w:color w:val="auto"/>
        </w:rPr>
      </w:pPr>
    </w:p>
    <w:p>
      <w:pPr>
        <w:ind w:left="3469" w:hanging="185"/>
        <w:spacing w:after="0"/>
        <w:tabs>
          <w:tab w:leader="none" w:pos="346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228"/>
          </w:cols>
          <w:pgMar w:left="231" w:top="46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4" w:lineRule="exact"/>
        <w:rPr>
          <w:sz w:val="20"/>
          <w:szCs w:val="20"/>
          <w:color w:val="auto"/>
        </w:rPr>
      </w:pPr>
    </w:p>
    <w:p>
      <w:pPr>
        <w:jc w:val="both"/>
        <w:ind w:firstLine="444"/>
        <w:spacing w:after="0"/>
        <w:rPr>
          <w:sz w:val="20"/>
          <w:szCs w:val="20"/>
          <w:color w:val="auto"/>
        </w:rPr>
      </w:pPr>
      <w:r>
        <w:rPr>
          <w:rFonts w:ascii="Courier New" w:cs="Courier New" w:eastAsia="Courier New" w:hAnsi="Courier New"/>
          <w:sz w:val="15"/>
          <w:szCs w:val="15"/>
          <w:color w:val="auto"/>
        </w:rPr>
        <w:t>The following represent the operating results of our significant business segments, including: "Cable Communications" and "Electronic Retailing." The remaining components of our operations are not independently significant to our consolidated financial position or results of operations (see Note 10 to our consolidated financial statements included in Item 8).</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Communications</w:t>
      </w:r>
    </w:p>
    <w:p>
      <w:pPr>
        <w:spacing w:after="0" w:line="174" w:lineRule="exact"/>
        <w:rPr>
          <w:sz w:val="20"/>
          <w:szCs w:val="20"/>
          <w:color w:val="auto"/>
        </w:rPr>
      </w:pPr>
    </w:p>
    <w:p>
      <w:pPr>
        <w:jc w:val="both"/>
        <w:ind w:firstLine="444"/>
        <w:spacing w:after="0"/>
        <w:rPr>
          <w:sz w:val="20"/>
          <w:szCs w:val="20"/>
          <w:color w:val="auto"/>
        </w:rPr>
      </w:pPr>
      <w:r>
        <w:rPr>
          <w:rFonts w:ascii="Courier New" w:cs="Courier New" w:eastAsia="Courier New" w:hAnsi="Courier New"/>
          <w:sz w:val="15"/>
          <w:szCs w:val="15"/>
          <w:color w:val="auto"/>
        </w:rPr>
        <w:t>As a result of the acquisition of the cable television operations ("Scripps Cable") of The E.W. Scripps Company (the "Scripps Acquisition"), we commenced consolidating the financial results of Scripps Cable effective November 1, 1996. The following table presents financial information for the years ended December 31, 1998, 1997 and 1996 for our cable communications segment (dollars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Year Ended</w:t>
            </w:r>
          </w:p>
        </w:tc>
        <w:tc>
          <w:tcPr>
            <w:tcW w:w="74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23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$2,277.4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$2,073.0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1,180.8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1,085.3</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$1,096.6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$987.7</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480" w:type="dxa"/>
            <w:vAlign w:val="bottom"/>
          </w:tcPr>
          <w:p>
            <w:pPr>
              <w:spacing w:after="0"/>
              <w:rPr>
                <w:sz w:val="24"/>
                <w:szCs w:val="24"/>
                <w:color w:val="auto"/>
              </w:rPr>
            </w:pP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Year Ended</w:t>
            </w:r>
          </w:p>
        </w:tc>
        <w:tc>
          <w:tcPr>
            <w:tcW w:w="740" w:type="dxa"/>
            <w:vAlign w:val="bottom"/>
          </w:tcPr>
          <w:p>
            <w:pPr>
              <w:spacing w:after="0"/>
              <w:rPr>
                <w:sz w:val="24"/>
                <w:szCs w:val="24"/>
                <w:color w:val="auto"/>
              </w:rPr>
            </w:pPr>
          </w:p>
        </w:tc>
      </w:tr>
      <w:tr>
        <w:trPr>
          <w:trHeight w:val="171"/>
        </w:trPr>
        <w:tc>
          <w:tcPr>
            <w:tcW w:w="4480" w:type="dxa"/>
            <w:vAlign w:val="bottom"/>
          </w:tcPr>
          <w:p>
            <w:pPr>
              <w:spacing w:after="0"/>
              <w:rPr>
                <w:sz w:val="14"/>
                <w:szCs w:val="14"/>
                <w:color w:val="auto"/>
              </w:rPr>
            </w:pPr>
          </w:p>
        </w:tc>
        <w:tc>
          <w:tcPr>
            <w:tcW w:w="23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$2,073.0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$1,641.0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1,085.3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837.2</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$987.7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$803.8</w:t>
            </w:r>
          </w:p>
        </w:tc>
      </w:tr>
      <w:tr>
        <w:trPr>
          <w:trHeight w:val="171"/>
        </w:trPr>
        <w:tc>
          <w:tcPr>
            <w:tcW w:w="4480" w:type="dxa"/>
            <w:vAlign w:val="bottom"/>
          </w:tcPr>
          <w:p>
            <w:pPr>
              <w:spacing w:after="0"/>
              <w:rPr>
                <w:sz w:val="14"/>
                <w:szCs w:val="14"/>
                <w:color w:val="auto"/>
              </w:rPr>
            </w:pP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25.</w:t>
      </w:r>
    </w:p>
    <w:p>
      <w:pPr>
        <w:spacing w:after="0" w:line="200" w:lineRule="exact"/>
        <w:rPr>
          <w:sz w:val="20"/>
          <w:szCs w:val="20"/>
          <w:color w:val="auto"/>
        </w:rPr>
      </w:pPr>
    </w:p>
    <w:p>
      <w:pPr>
        <w:spacing w:after="0" w:line="315" w:lineRule="exact"/>
        <w:rPr>
          <w:sz w:val="20"/>
          <w:szCs w:val="20"/>
          <w:color w:val="auto"/>
        </w:rPr>
      </w:pPr>
    </w:p>
    <w:p>
      <w:pPr>
        <w:jc w:val="both"/>
        <w:ind w:firstLine="444"/>
        <w:spacing w:after="0" w:line="260" w:lineRule="auto"/>
        <w:rPr>
          <w:sz w:val="20"/>
          <w:szCs w:val="20"/>
          <w:color w:val="auto"/>
        </w:rPr>
      </w:pPr>
      <w:r>
        <w:rPr>
          <w:rFonts w:ascii="Courier New" w:cs="Courier New" w:eastAsia="Courier New" w:hAnsi="Courier New"/>
          <w:sz w:val="14"/>
          <w:szCs w:val="14"/>
          <w:color w:val="auto"/>
        </w:rPr>
        <w:t>Of the respective $204.4 million and $432.0 million increases in service income for the years ended December 31, 1998 and 1997, $30.2 million and $280.4 million are attributable to the effects of the acquisitions of cable communications systems, $31.8 million and $27.1 million are attributable to subscriber growth, $109.0 million and $108.9 million relate to changes in rates, $20.5 million and $8.6 million are attributable to growth in cable advertising sales and $12.9 million and $7.0 million relate to other product offerings.</w:t>
      </w:r>
    </w:p>
    <w:p>
      <w:pPr>
        <w:spacing w:after="0" w:line="163" w:lineRule="exact"/>
        <w:rPr>
          <w:sz w:val="20"/>
          <w:szCs w:val="20"/>
          <w:color w:val="auto"/>
        </w:rPr>
      </w:pPr>
    </w:p>
    <w:p>
      <w:pPr>
        <w:jc w:val="both"/>
        <w:ind w:firstLine="444"/>
        <w:spacing w:after="0" w:line="259" w:lineRule="auto"/>
        <w:rPr>
          <w:sz w:val="20"/>
          <w:szCs w:val="20"/>
          <w:color w:val="auto"/>
        </w:rPr>
      </w:pPr>
      <w:r>
        <w:rPr>
          <w:rFonts w:ascii="Courier New" w:cs="Courier New" w:eastAsia="Courier New" w:hAnsi="Courier New"/>
          <w:sz w:val="14"/>
          <w:szCs w:val="14"/>
          <w:color w:val="auto"/>
        </w:rPr>
        <w:t>Of the respective $95.5 million and $248.1 million increases in operating, selling, general and administrative expenses for the years ended December 31, 1998 and 1997, $15.8 million and $145.3 million are attributable to the effects of the acquisitions of cable communications systems, $48.9 million and $34.9 million are attributable to increases in the costs of cable programming as a result of subscriber growth, additional channel offerings and changes in rates, $5.3 million and $5.9 million are attributable to growth in cable advertising sales, $1.5 million and $15.6 million are attributable to increases in costs associated with customer service and $24.0 million and $46.4 million result from increases in the costs of labor, other volume related expenses and costs associated with new product offerings. We anticipate that the cost of cable programming will increase in the future as cable programming rates increase and additional sources of cable programming become available.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$204.4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$108.9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r>
        <w:trPr>
          <w:trHeight w:val="512"/>
        </w:trPr>
        <w:tc>
          <w:tcPr>
            <w:tcW w:w="580" w:type="dxa"/>
            <w:vAlign w:val="bottom"/>
          </w:tcPr>
          <w:p>
            <w:pPr>
              <w:spacing w:after="0"/>
              <w:rPr>
                <w:sz w:val="24"/>
                <w:szCs w:val="24"/>
                <w:color w:val="auto"/>
              </w:rPr>
            </w:pPr>
          </w:p>
        </w:tc>
        <w:tc>
          <w:tcPr>
            <w:tcW w:w="1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$432.0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248.1</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$183.9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bl>
    <w:p>
      <w:pPr>
        <w:sectPr>
          <w:pgSz w:w="11900" w:h="16838" w:orient="portrait"/>
          <w:cols w:equalWidth="0" w:num="2">
            <w:col w:w="7100" w:space="700"/>
            <w:col w:w="2419"/>
          </w:cols>
          <w:pgMar w:left="240" w:top="457" w:right="1440"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Electronic Retailing</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w w:val="99"/>
              </w:rPr>
              <w:t>The  following  table sets forth the operating</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results for our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electronic</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retailing segment (dollars in millions):</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560" w:type="dxa"/>
            <w:vAlign w:val="bottom"/>
          </w:tcPr>
          <w:p>
            <w:pPr>
              <w:spacing w:after="0"/>
              <w:rPr>
                <w:sz w:val="24"/>
                <w:szCs w:val="24"/>
                <w:color w:val="auto"/>
              </w:rPr>
            </w:pPr>
          </w:p>
        </w:tc>
        <w:tc>
          <w:tcPr>
            <w:tcW w:w="1520" w:type="dxa"/>
            <w:vAlign w:val="bottom"/>
          </w:tcPr>
          <w:p>
            <w:pPr>
              <w:ind w:left="580"/>
              <w:spacing w:after="0"/>
              <w:rPr>
                <w:sz w:val="20"/>
                <w:szCs w:val="20"/>
                <w:color w:val="auto"/>
              </w:rPr>
            </w:pPr>
            <w:r>
              <w:rPr>
                <w:rFonts w:ascii="Courier New" w:cs="Courier New" w:eastAsia="Courier New" w:hAnsi="Courier New"/>
                <w:sz w:val="15"/>
                <w:szCs w:val="15"/>
                <w:color w:val="auto"/>
              </w:rPr>
              <w:t>Year Ended</w:t>
            </w:r>
          </w:p>
        </w:tc>
        <w:tc>
          <w:tcPr>
            <w:tcW w:w="1020" w:type="dxa"/>
            <w:vAlign w:val="bottom"/>
          </w:tcPr>
          <w:p>
            <w:pPr>
              <w:spacing w:after="0"/>
              <w:rPr>
                <w:sz w:val="24"/>
                <w:szCs w:val="24"/>
                <w:color w:val="auto"/>
              </w:rPr>
            </w:pPr>
          </w:p>
        </w:tc>
      </w:tr>
      <w:tr>
        <w:trPr>
          <w:trHeight w:val="171"/>
        </w:trPr>
        <w:tc>
          <w:tcPr>
            <w:tcW w:w="4560" w:type="dxa"/>
            <w:vAlign w:val="bottom"/>
          </w:tcPr>
          <w:p>
            <w:pPr>
              <w:spacing w:after="0"/>
              <w:rPr>
                <w:sz w:val="14"/>
                <w:szCs w:val="14"/>
                <w:color w:val="auto"/>
              </w:rPr>
            </w:pPr>
          </w:p>
        </w:tc>
        <w:tc>
          <w:tcPr>
            <w:tcW w:w="25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$2,402.7</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$2,082.5</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1,462.0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1,270.2</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506.5</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474.6</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$434.2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$337.7</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39.2%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853"/>
        </w:trPr>
        <w:tc>
          <w:tcPr>
            <w:tcW w:w="4560" w:type="dxa"/>
            <w:vAlign w:val="bottom"/>
          </w:tcPr>
          <w:p>
            <w:pPr>
              <w:spacing w:after="0"/>
              <w:rPr>
                <w:sz w:val="24"/>
                <w:szCs w:val="24"/>
                <w:color w:val="auto"/>
              </w:rPr>
            </w:pPr>
          </w:p>
        </w:tc>
        <w:tc>
          <w:tcPr>
            <w:tcW w:w="1520" w:type="dxa"/>
            <w:vAlign w:val="bottom"/>
          </w:tcPr>
          <w:p>
            <w:pPr>
              <w:ind w:left="580"/>
              <w:spacing w:after="0"/>
              <w:rPr>
                <w:sz w:val="20"/>
                <w:szCs w:val="20"/>
                <w:color w:val="auto"/>
              </w:rPr>
            </w:pPr>
            <w:r>
              <w:rPr>
                <w:rFonts w:ascii="Courier New" w:cs="Courier New" w:eastAsia="Courier New" w:hAnsi="Courier New"/>
                <w:sz w:val="15"/>
                <w:szCs w:val="15"/>
                <w:color w:val="auto"/>
              </w:rPr>
              <w:t>Year Ended</w:t>
            </w:r>
          </w:p>
        </w:tc>
        <w:tc>
          <w:tcPr>
            <w:tcW w:w="1020" w:type="dxa"/>
            <w:vAlign w:val="bottom"/>
          </w:tcPr>
          <w:p>
            <w:pPr>
              <w:spacing w:after="0"/>
              <w:rPr>
                <w:sz w:val="24"/>
                <w:szCs w:val="24"/>
                <w:color w:val="auto"/>
              </w:rPr>
            </w:pPr>
          </w:p>
        </w:tc>
      </w:tr>
      <w:tr>
        <w:trPr>
          <w:trHeight w:val="171"/>
        </w:trPr>
        <w:tc>
          <w:tcPr>
            <w:tcW w:w="4560" w:type="dxa"/>
            <w:vAlign w:val="bottom"/>
          </w:tcPr>
          <w:p>
            <w:pPr>
              <w:spacing w:after="0"/>
              <w:rPr>
                <w:sz w:val="14"/>
                <w:szCs w:val="14"/>
                <w:color w:val="auto"/>
              </w:rPr>
            </w:pPr>
          </w:p>
        </w:tc>
        <w:tc>
          <w:tcPr>
            <w:tcW w:w="25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6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$2,082.5</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$1,835.8</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1,270.2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1,114.2</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474.6</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421.3</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$337.7</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$300.3</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39.0%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r>
      <w:tr>
        <w:trPr>
          <w:trHeight w:val="171"/>
        </w:trPr>
        <w:tc>
          <w:tcPr>
            <w:tcW w:w="4560" w:type="dxa"/>
            <w:vAlign w:val="bottom"/>
          </w:tcPr>
          <w:p>
            <w:pPr>
              <w:spacing w:after="0"/>
              <w:rPr>
                <w:sz w:val="14"/>
                <w:szCs w:val="14"/>
                <w:color w:val="auto"/>
              </w:rPr>
            </w:pP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25.</w:t>
      </w:r>
    </w:p>
    <w:p>
      <w:pPr>
        <w:spacing w:after="0" w:line="200" w:lineRule="exact"/>
        <w:rPr>
          <w:sz w:val="20"/>
          <w:szCs w:val="20"/>
          <w:color w:val="auto"/>
        </w:rPr>
      </w:pPr>
    </w:p>
    <w:p>
      <w:pPr>
        <w:spacing w:after="0" w:line="315" w:lineRule="exact"/>
        <w:rPr>
          <w:sz w:val="20"/>
          <w:szCs w:val="20"/>
          <w:color w:val="auto"/>
        </w:rPr>
      </w:pPr>
    </w:p>
    <w:p>
      <w:pPr>
        <w:jc w:val="both"/>
        <w:ind w:firstLine="444"/>
        <w:spacing w:after="0"/>
        <w:rPr>
          <w:sz w:val="20"/>
          <w:szCs w:val="20"/>
          <w:color w:val="auto"/>
        </w:rPr>
      </w:pPr>
      <w:r>
        <w:rPr>
          <w:rFonts w:ascii="Courier New" w:cs="Courier New" w:eastAsia="Courier New" w:hAnsi="Courier New"/>
          <w:sz w:val="15"/>
          <w:szCs w:val="15"/>
          <w:color w:val="auto"/>
        </w:rPr>
        <w:t>The respective increases in net sales from electronic retailing of $320.2 million and $246.7 million for the years ended December 31, 1998 and 1997 are primarily attributable to the effects of 5.6% and 7.4% increases, respectively, in the average number of homes receiving QVC services in the US and 11.8% and 13.7% increases, respectively, in the average number of homes receiving QVC services in the UK.</w:t>
      </w:r>
    </w:p>
    <w:p>
      <w:pPr>
        <w:spacing w:after="0" w:line="175" w:lineRule="exact"/>
        <w:rPr>
          <w:sz w:val="20"/>
          <w:szCs w:val="20"/>
          <w:color w:val="auto"/>
        </w:rPr>
      </w:pPr>
    </w:p>
    <w:p>
      <w:pPr>
        <w:jc w:val="both"/>
        <w:ind w:firstLine="444"/>
        <w:spacing w:after="0" w:line="264" w:lineRule="auto"/>
        <w:rPr>
          <w:sz w:val="20"/>
          <w:szCs w:val="20"/>
          <w:color w:val="auto"/>
        </w:rPr>
      </w:pPr>
      <w:r>
        <w:rPr>
          <w:rFonts w:ascii="Courier New" w:cs="Courier New" w:eastAsia="Courier New" w:hAnsi="Courier New"/>
          <w:sz w:val="14"/>
          <w:szCs w:val="14"/>
          <w:color w:val="auto"/>
        </w:rPr>
        <w:t>An allowance for returned merchandise is provided as a percentage of sales based on historical experience. The return provision was approximately 21% of gross sales for each of the years ended December 31, 1998, 1997 and 1996.</w:t>
      </w:r>
    </w:p>
    <w:p>
      <w:pPr>
        <w:spacing w:after="0" w:line="159" w:lineRule="exact"/>
        <w:rPr>
          <w:sz w:val="20"/>
          <w:szCs w:val="20"/>
          <w:color w:val="auto"/>
        </w:rPr>
      </w:pPr>
    </w:p>
    <w:p>
      <w:pPr>
        <w:jc w:val="both"/>
        <w:ind w:firstLine="444"/>
        <w:spacing w:after="0" w:line="264" w:lineRule="auto"/>
        <w:rPr>
          <w:sz w:val="20"/>
          <w:szCs w:val="20"/>
          <w:color w:val="auto"/>
        </w:rPr>
      </w:pPr>
      <w:r>
        <w:rPr>
          <w:rFonts w:ascii="Courier New" w:cs="Courier New" w:eastAsia="Courier New" w:hAnsi="Courier New"/>
          <w:sz w:val="14"/>
          <w:szCs w:val="14"/>
          <w:color w:val="auto"/>
        </w:rPr>
        <w:t>The increases in cost of goods sold from electronic retailing are primarily related to the growth in net sales. The changes in gross margin between these periods are primarily due to slight changes in product mix from year to year.</w:t>
      </w:r>
    </w:p>
    <w:p>
      <w:pPr>
        <w:spacing w:after="0" w:line="159" w:lineRule="exact"/>
        <w:rPr>
          <w:sz w:val="20"/>
          <w:szCs w:val="20"/>
          <w:color w:val="auto"/>
        </w:rPr>
      </w:pPr>
    </w:p>
    <w:p>
      <w:pPr>
        <w:jc w:val="both"/>
        <w:ind w:firstLine="444"/>
        <w:spacing w:after="0"/>
        <w:rPr>
          <w:sz w:val="20"/>
          <w:szCs w:val="20"/>
          <w:color w:val="auto"/>
        </w:rPr>
      </w:pPr>
      <w:r>
        <w:rPr>
          <w:rFonts w:ascii="Courier New" w:cs="Courier New" w:eastAsia="Courier New" w:hAnsi="Courier New"/>
          <w:sz w:val="15"/>
          <w:szCs w:val="15"/>
          <w:color w:val="auto"/>
        </w:rPr>
        <w:t>Of the respective increases in operating, selling, general and administrative expenses of $31.9 million and $53.3 million for the years ended December 31, 1998 and 1997, $21.7 million and $30.6 million are attributable to higher sales volume, $3.2 million and $25.5 million are attributable to start-up costs incurred by QVC in Germany, which began operations in the fourth quarter of 1996, and the remaining changes are primarily attributable to additional costs associated with new businesses, offset by the reduction in expenses realized upon consolidation of QVC's multichannel operations in 1996.</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74" w:lineRule="exact"/>
        <w:rPr>
          <w:sz w:val="20"/>
          <w:szCs w:val="20"/>
          <w:color w:val="auto"/>
        </w:rPr>
      </w:pPr>
    </w:p>
    <w:p>
      <w:pPr>
        <w:jc w:val="both"/>
        <w:ind w:firstLine="444"/>
        <w:spacing w:after="0"/>
        <w:rPr>
          <w:sz w:val="20"/>
          <w:szCs w:val="20"/>
          <w:color w:val="auto"/>
        </w:rPr>
      </w:pPr>
      <w:r>
        <w:rPr>
          <w:rFonts w:ascii="Courier New" w:cs="Courier New" w:eastAsia="Courier New" w:hAnsi="Courier New"/>
          <w:sz w:val="15"/>
          <w:szCs w:val="15"/>
          <w:color w:val="auto"/>
        </w:rPr>
        <w:t>The $59.8 million increase in depreciation expense from 1997 to 1998 is primarily attributable to the effects of capital expenditures, the consolidation of Comcast-Spectacor effective January 1, 1998, increased losses on asset disposals in connection with our cable communications rebuild activities and the acquisition of cable communications systems. The $144.9 million increase in depreciation expense from 1996 to 1997 is primarily attributable to the effects of capital expenditures and the effects of the Scripps Acquisition in November 1996.</w:t>
      </w:r>
    </w:p>
    <w:p>
      <w:pPr>
        <w:spacing w:after="0" w:line="177" w:lineRule="exact"/>
        <w:rPr>
          <w:sz w:val="20"/>
          <w:szCs w:val="20"/>
          <w:color w:val="auto"/>
        </w:rPr>
      </w:pPr>
    </w:p>
    <w:p>
      <w:pPr>
        <w:jc w:val="both"/>
        <w:ind w:firstLine="444"/>
        <w:spacing w:after="0" w:line="238" w:lineRule="auto"/>
        <w:rPr>
          <w:sz w:val="20"/>
          <w:szCs w:val="20"/>
          <w:color w:val="auto"/>
        </w:rPr>
      </w:pPr>
      <w:r>
        <w:rPr>
          <w:rFonts w:ascii="Courier New" w:cs="Courier New" w:eastAsia="Courier New" w:hAnsi="Courier New"/>
          <w:sz w:val="15"/>
          <w:szCs w:val="15"/>
          <w:color w:val="auto"/>
        </w:rPr>
        <w:t>The $53.3 million increase in amortization expense from 1997 to 1998 is primarily attributable to the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$320.2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191.8</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$246.7</w:t>
            </w:r>
          </w:p>
        </w:tc>
        <w:tc>
          <w:tcPr>
            <w:tcW w:w="1460" w:type="dxa"/>
            <w:vAlign w:val="bottom"/>
          </w:tcPr>
          <w:p>
            <w:pPr>
              <w:ind w:left="1020"/>
              <w:spacing w:after="0"/>
              <w:rPr>
                <w:sz w:val="20"/>
                <w:szCs w:val="20"/>
                <w:color w:val="auto"/>
              </w:rPr>
            </w:pPr>
            <w:r>
              <w:rPr>
                <w:rFonts w:ascii="Courier New" w:cs="Courier New" w:eastAsia="Courier New" w:hAnsi="Courier New"/>
                <w:sz w:val="15"/>
                <w:szCs w:val="15"/>
                <w:color w:val="auto"/>
                <w:w w:val="93"/>
              </w:rPr>
              <w:t>13.4%</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156.0</w:t>
            </w:r>
          </w:p>
        </w:tc>
        <w:tc>
          <w:tcPr>
            <w:tcW w:w="1460" w:type="dxa"/>
            <w:vAlign w:val="bottom"/>
          </w:tcPr>
          <w:p>
            <w:pPr>
              <w:ind w:left="1020"/>
              <w:spacing w:after="0"/>
              <w:rPr>
                <w:sz w:val="20"/>
                <w:szCs w:val="20"/>
                <w:color w:val="auto"/>
              </w:rPr>
            </w:pPr>
            <w:r>
              <w:rPr>
                <w:rFonts w:ascii="Courier New" w:cs="Courier New" w:eastAsia="Courier New" w:hAnsi="Courier New"/>
                <w:sz w:val="15"/>
                <w:szCs w:val="15"/>
                <w:color w:val="auto"/>
              </w:rPr>
              <w:t>14.0</w:t>
            </w: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c>
          <w:tcPr>
            <w:tcW w:w="1460" w:type="dxa"/>
            <w:vAlign w:val="bottom"/>
          </w:tcPr>
          <w:p>
            <w:pPr>
              <w:ind w:left="1020"/>
              <w:spacing w:after="0"/>
              <w:rPr>
                <w:sz w:val="20"/>
                <w:szCs w:val="20"/>
                <w:color w:val="auto"/>
              </w:rPr>
            </w:pPr>
            <w:r>
              <w:rPr>
                <w:rFonts w:ascii="Courier New" w:cs="Courier New" w:eastAsia="Courier New" w:hAnsi="Courier New"/>
                <w:sz w:val="15"/>
                <w:szCs w:val="15"/>
                <w:color w:val="auto"/>
              </w:rPr>
              <w:t>12.7</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r>
        <w:trPr>
          <w:trHeight w:val="34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c>
          <w:tcPr>
            <w:tcW w:w="1460" w:type="dxa"/>
            <w:vAlign w:val="bottom"/>
          </w:tcPr>
          <w:p>
            <w:pPr>
              <w:ind w:left="1020"/>
              <w:spacing w:after="0"/>
              <w:rPr>
                <w:sz w:val="20"/>
                <w:szCs w:val="20"/>
                <w:color w:val="auto"/>
              </w:rPr>
            </w:pPr>
            <w:r>
              <w:rPr>
                <w:rFonts w:ascii="Courier New" w:cs="Courier New" w:eastAsia="Courier New" w:hAnsi="Courier New"/>
                <w:sz w:val="15"/>
                <w:szCs w:val="15"/>
                <w:color w:val="auto"/>
                <w:w w:val="93"/>
              </w:rPr>
              <w:t>12.5%</w:t>
            </w:r>
          </w:p>
        </w:tc>
      </w:tr>
      <w:tr>
        <w:trPr>
          <w:trHeight w:val="171"/>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spacing w:after="0"/>
              <w:rPr>
                <w:sz w:val="14"/>
                <w:szCs w:val="14"/>
                <w:color w:val="auto"/>
              </w:rPr>
            </w:pPr>
          </w:p>
        </w:tc>
      </w:tr>
    </w:tbl>
    <w:p>
      <w:pPr>
        <w:sectPr>
          <w:pgSz w:w="11900" w:h="16838" w:orient="portrait"/>
          <w:cols w:equalWidth="0" w:num="2">
            <w:col w:w="7100" w:space="700"/>
            <w:col w:w="2419"/>
          </w:cols>
          <w:pgMar w:left="240" w:top="457" w:right="1440" w:bottom="1140" w:gutter="0" w:footer="0" w:header="0"/>
        </w:sectPr>
      </w:pPr>
    </w:p>
    <w:bookmarkStart w:id="33" w:name="page34"/>
    <w:bookmarkEnd w:id="33"/>
    <w:p>
      <w:pPr>
        <w:jc w:val="both"/>
        <w:ind w:right="3119"/>
        <w:spacing w:after="0" w:line="239" w:lineRule="auto"/>
        <w:rPr>
          <w:sz w:val="20"/>
          <w:szCs w:val="20"/>
          <w:color w:val="auto"/>
        </w:rPr>
      </w:pPr>
      <w:r>
        <w:rPr>
          <w:rFonts w:ascii="Courier New" w:cs="Courier New" w:eastAsia="Courier New" w:hAnsi="Courier New"/>
          <w:sz w:val="15"/>
          <w:szCs w:val="15"/>
          <w:color w:val="auto"/>
        </w:rPr>
        <w:t>consolidation of Comcast-Spectacor effective January 1, 1998 and the acquisition of cable communications systems. The $100.5 million increase in amortization expense from 1996 to 1997 is primarily attributable to the effects of the Scripps Acquisition in November 1996.</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$1.679 billion increase in investment income from 1997 to 1998 is primarily attributable to the $1.092 billion gain recognized on the exchange of our interest in Teleport for AT&amp;T common stock, the $758.5 million gain recognized on the restructuring of Sprint PCS and the $148.3 million gain recognized on the exchange of our interest in Comcast UK Cable for NTL common stock, all recognized in 1998. These gains were partially offset by a $152.8 million loss on certain of our investments based primarily on a decline in value that we considered other than temporary and investment expense of $105.5 million incurred during 1998 related to changes in the value of call options related to our investment in TCI, TCI Ventures and Liberty common stock. The $29.4 million increase in investment income from 1996 to 1997 is primarily attributable to the $68.9 million gain recognized in 1997 on the sale of our Teleport Class A Common Stock, offset, in part, by the $47.3 million gain recognized upon the exchange of the shares of Turner Broadcasting System, Inc. ("TBS") held by us for Time Warner, Inc. ("Time Warner") common stock in 1996 as a result of the merger of Time Warner and TBS in October 1996.</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$172.1 million and $199.0 million increases in equity in net losses of affiliates from 1997 to 1998 and from 1996 to 1997 are primarily due to losses incurred by Sprint PCS. With the restructuring of Sprint PCS in the fourth quarter of 1998, we will no longer account for our investment in Sprint PCS under the equity method and, as a result, will no longer record our proportionate share of Sprint PCS' net losses in our consolidated statement of operations (see Notes 3 and 4 to our consolidated financial statements included in Item 8).</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the years ended December 31, 1998, 1997 and 1996, Teleport issued shares of its Class A Common Stock. As a result of these stock issuances, we recorded a $157.8 million, $7.7 million and $40.6 million increase in our proportionate share of Teleport's net assets as a gain from equity offering of affiliate in our 1998, 1997 and 1996 consolidated statement of operations. We recorded the increase in our proportionate share of Teleport's net assets one quarter in arrears.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$6.8 million decrease and $31.0 million increase in other expense from 1997 to 1998 and from 1996 to 1997 are primarily attributable to the effects of fluctuations in the foreign currency exchange rate.</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$523.6 million increase and $38.6 million decrease in income tax expense from 1997 to 1998 and from 1996 to 1997 are primarily attributable to changes in our income before income taxes and minority interest, and non-deductible foreign losses and non-deductible equity in net losses of affiliates.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$31.9 million decrease and $28.2 million increase in minority interest income from 1997 to 1998 and from 1996 to 1997 are primarily attributable to minority interests in the net loss of Comcast UK Cable and the net income of QVC, and the effects of the consolidation of Comcast-Spectacor effective January 1, 1998.</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Extraordinary items for the years ended December 31, 1998, 1997 and 1996 of $4.2 million, $30.2 million and $1.0 million, respectively, consist of unamortized debt acquisition costs and debt extinguishment costs, net of related tax benefits, expensed in connection with the redemption and refinancing of certain indebtedness.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For the years ended December 31, 1998, 1997 and 1996, our distributions from investees and earnings before extraordinary items, income tax expense, equity in net losses of affiliates and fixed charges (interest expense) were $2.584 billion, $690.2 million and $695.8 million, respectively. Such earnings were adequate to cover our fixed charges (including capitalized interest of $18.0 million and $32.1 million during 1997 and 1996, respectively), of $466.7 million, $476.9 million and $480.5 million for the years ended December 31, 1998, 1997 and 1996, respectively. Our fixed charges include non-cash interest expense of $42.5 million, $56.5 million and $51.5 million for the years ended December 31, 1998, 1997 and 1996, respectively.</w:t>
      </w:r>
    </w:p>
    <w:p>
      <w:pPr>
        <w:spacing w:after="0" w:line="178"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We believe that our losses will not significantly affect the performance of our normal business activities because of our existing cash, cash equivalents and short-term investments, our ability to generate operating income before depreciation and amortization and our ability to obtain external financing.</w:t>
      </w:r>
    </w:p>
    <w:p>
      <w:pPr>
        <w:spacing w:after="0" w:line="15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19"/>
          </w:cols>
          <w:pgMar w:left="240" w:top="460" w:right="1440" w:bottom="1140" w:gutter="0" w:footer="0" w:header="0"/>
        </w:sectPr>
      </w:pPr>
    </w:p>
    <w:bookmarkStart w:id="34" w:name="page35"/>
    <w:bookmarkEnd w:id="34"/>
    <w:p>
      <w:pPr>
        <w:spacing w:after="0"/>
        <w:tabs>
          <w:tab w:leader="none" w:pos="12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1998 and 1997, and the related consolidated statements of operations, stockholders' equity (deficiency) and of cash flows for each of the three years in the period ended December 31, 1998. These financial statements are the responsibility of the Company's management. Our responsibility is to express an opinion on these financial statements based on our audits. We did not audit the consolidated financial statements of QVC, Inc. ("QVC") (a consolidated subsidiary) which statements reflect total assets constituting 14% and 19% of the Company's consolidated total assets as of December 31, 1998 and 1997 and total revenues constituting 47%, 47% and 51% of the Company's consolidated revenues for the years ended December 31, 1998, 1997 and 1996, respectively. Those statements were audited by other auditors whose report has been furnished to us, and our opinion, insofar as it relates to the amounts included in the Company's consolidated financial statements for QVC, is based solely upon the report of such other auditors.</w:t>
      </w:r>
    </w:p>
    <w:p>
      <w:pPr>
        <w:spacing w:after="0" w:line="163"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our opinion, based on our audits and the report of other auditors, such consolidated financial statements present fairly, in all material respects, the financial position of Comcast Corporation and its subsidiaries as of December 31, 1998 and 1997, and the results of their operations and their cash flows for each of the three years in the period ended December 31, 1998 in conformity with generally accepted accounting principles.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1999</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19"/>
          </w:cols>
          <w:pgMar w:left="240" w:top="45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w w:val="99"/>
              </w:rPr>
              <w:t>Cash and cash equivalents.............................................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$870.7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$409.1</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w w:val="99"/>
              </w:rPr>
              <w:t>Investments...........................................................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3,653.4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163.9</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accounts of $120.7 and $108.8.......................................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549.3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439.6</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343.8</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309.9</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207.1</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155.9</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5,624.3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1,478.4</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INVESTMENTS..............................................................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602.4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1,235.8</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AND EQUIPMENT...................................................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3,886.7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3,689.5</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Accumulated depreciation..............................................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(1,362.3)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(1,205.9)</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2,524.4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2,483.6</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Franchise and license acquisition costs...............................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4,763.6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4,847.9</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Excess of cost over net assets acquired and other.....................</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3,450.9</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3,089.5</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8,214.5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7,937.4</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Accumulated amortization..............................................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(2,148.2)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(1,808.4)</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Deferred charges, net.................................................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6,066.3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6,129.0</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$14,817.4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$11,326.8</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$1,095.4</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Net liabilities of discontinued operations............................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165.2</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133.6</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1,140.1</w:t>
            </w: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132.3</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3,092.6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1,433.5</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 less current portion.....................................</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5,464.2</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5,334.1</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1,500.1</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1,849.5</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MINORITY INTEREST AND OTHER..............................................</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834.0</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1,031.8</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4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8"/>
              </w:rPr>
              <w:t>COMMON EQUITY PUT OPTIONS................................................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111.2</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 authorized, 20,000,000 shares; 5% series A</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convertible, no par value; issued, 6,370 at redemption value........</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issued, 540,690 and 513,211 at redemption value.....................</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513.2</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500,000,000 shares; issued, 328,630,366 and 317,025,969 ............</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317.0</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Class A common stock, $1 par value - authorized,</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200,000,000 shares; issued, 31,690,063 and 31,793,487...............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Class B common stock, $1 par value - authorized,</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50,000,000 shares; issued, 9,444,375 and 8,786,250 .................</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Additional capital....................................................</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3,311.5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3,030.6</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(2,415.9)</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Unrealized gains on marketable securities.............................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1,049.5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140.7</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3,815.3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1,646.5</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$14,817.4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$11,326.8</w:t>
            </w:r>
          </w:p>
        </w:tc>
      </w:tr>
      <w:tr>
        <w:trPr>
          <w:trHeight w:val="171"/>
        </w:trPr>
        <w:tc>
          <w:tcPr>
            <w:tcW w:w="65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19"/>
          </w:cols>
          <w:pgMar w:left="240" w:top="45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21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Service income.............................................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$2,742.6</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$2,385.2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$1,776.5</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2,402.7</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2,082.5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1,835.8</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5,145.3</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4,467.7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3,612.3</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1,410.3</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1,204.1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911.8</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1,462.0</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1,270.2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1,114.2</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776.3</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700.3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539.3</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463.9</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404.1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259.2</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475.7</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422.4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321.9</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4,588.2</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4,001.1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3,146.4</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557.1</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466.6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465.9</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466.7</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458.9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448.4</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(1,828.0)</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(149.4)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515.9</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343.8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144.8</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Gain from equity offering of affiliate.....................</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(157.8)</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(1,000.3)</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655.3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411.3</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INCOME TAX EXPENSE, MINORITY INTEREST AND</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1,557.4</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(188.7)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594.0</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70.4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AND 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963.4</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(259.1)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1,007.7</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(182.9)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net of income tax</w:t>
            </w:r>
          </w:p>
        </w:tc>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benefit of $19.1 million, $14.8 million and $24.6 million..</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31.4</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25.6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976.3</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EXTRAORDINARY ITEMS ..........................................</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972.1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(238.7)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INCOME (LOSS) FOR COMMON STOCKHOLDERS.....................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$943.0</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PER COMMON SHARE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$2.67</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Loss from discontinued operations..........................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$2.57</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COMMON SHARES  OUTSTANDING.................................</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366.5</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339.0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247.6</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PER COMMON SHARE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$2.50</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Loss from discontinued operations..........................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COMMON SHARES OUTSTANDING..................................</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403.0</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339.0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247.6</w:t>
            </w:r>
          </w:p>
        </w:tc>
      </w:tr>
      <w:tr>
        <w:trPr>
          <w:trHeight w:val="171"/>
        </w:trPr>
        <w:tc>
          <w:tcPr>
            <w:tcW w:w="594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80"/>
          </w:cols>
          <w:pgMar w:left="240" w:top="457" w:right="1379" w:bottom="11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9"/>
              </w:rPr>
              <w:t>Year Ended December 31,</w:t>
            </w:r>
          </w:p>
        </w:tc>
        <w:tc>
          <w:tcPr>
            <w:tcW w:w="920" w:type="dxa"/>
            <w:vAlign w:val="bottom"/>
          </w:tcPr>
          <w:p>
            <w:pPr>
              <w:spacing w:after="0"/>
              <w:rPr>
                <w:sz w:val="14"/>
                <w:szCs w:val="14"/>
                <w:color w:val="auto"/>
              </w:rPr>
            </w:pPr>
          </w:p>
        </w:tc>
      </w:tr>
      <w:tr>
        <w:trPr>
          <w:trHeight w:val="171"/>
        </w:trPr>
        <w:tc>
          <w:tcPr>
            <w:tcW w:w="5900" w:type="dxa"/>
            <w:vAlign w:val="bottom"/>
          </w:tcPr>
          <w:p>
            <w:pPr>
              <w:spacing w:after="0"/>
              <w:rPr>
                <w:sz w:val="14"/>
                <w:szCs w:val="14"/>
                <w:color w:val="auto"/>
              </w:rPr>
            </w:pP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14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$972.1</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($238.7)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1"/>
        </w:trPr>
        <w:tc>
          <w:tcPr>
            <w:tcW w:w="5900" w:type="dxa"/>
            <w:vAlign w:val="bottom"/>
          </w:tcPr>
          <w:p>
            <w:pPr>
              <w:jc w:val="right"/>
              <w:ind w:right="1566"/>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1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net cash provided by operating activities from</w:t>
            </w:r>
          </w:p>
        </w:tc>
        <w:tc>
          <w:tcPr>
            <w:tcW w:w="1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463.9</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404.1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259.2</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475.7</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422.4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321.9</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Non-cash interest expense, net...........................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32.3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515.9</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343.8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144.8</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Gain from equity offering of affiliate...................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(157.8)</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Gains on investments, net................................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(1,758.5)</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(81.0)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Minority interest........................................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(76.2)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Loss from discontinued operations........................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31.4</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Deferred income taxes and other..........................</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418.2</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(40.6)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950.0</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814.2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593.5</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Changes in working capital...............................</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129.7</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 activities from</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1,079.7</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855.3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644.5</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Proceeds from borrowings...................................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1,938.0</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1,951.1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657.5</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Retirement and repayment of debt...........................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(1,113.4)</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(2,586.6)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(559.2)</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Issuance of preferred stock................................</w:t>
            </w:r>
          </w:p>
        </w:tc>
        <w:tc>
          <w:tcPr>
            <w:tcW w:w="1320" w:type="dxa"/>
            <w:vAlign w:val="bottom"/>
          </w:tcPr>
          <w:p>
            <w:pPr>
              <w:spacing w:after="0"/>
              <w:rPr>
                <w:sz w:val="14"/>
                <w:szCs w:val="14"/>
                <w:color w:val="auto"/>
              </w:rPr>
            </w:pP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spacing w:after="0"/>
              <w:rPr>
                <w:sz w:val="14"/>
                <w:szCs w:val="1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Issuances (repurchases) of common stock, net...............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28.9</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470.2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(175.9)</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Dividends..................................................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Deferred financing costs...................................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from continuing operations..........................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809.2</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283.9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Acquisitions, net of cash acquired.........................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(309.7)</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(170.1)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Proceeds from sales of short-term investments, net.........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145.9</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45.6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210.2</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 contributions to and purchases of investments......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(202.1)</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(268.7)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(475.4)</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Proceeds from sales of and distributions from investments..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23.6</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171.1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165.1</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Proceeds from investees' repayments of loans...............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74.7</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30.6</w:t>
            </w:r>
          </w:p>
        </w:tc>
        <w:tc>
          <w:tcPr>
            <w:tcW w:w="920" w:type="dxa"/>
            <w:vAlign w:val="bottom"/>
          </w:tcPr>
          <w:p>
            <w:pPr>
              <w:spacing w:after="0"/>
              <w:rPr>
                <w:sz w:val="14"/>
                <w:szCs w:val="1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(898.9)</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(795.5)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(554.4)</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Sale of subsidiary, net of cash sold.......................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(140.4)</w:t>
            </w: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Additions to deferred charges..............................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(108.4)</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 from</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(1,427.3)</w:t>
            </w:r>
          </w:p>
        </w:tc>
        <w:tc>
          <w:tcPr>
            <w:tcW w:w="21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(1,056.5)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(749.5)</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CASH EQUIVALENTS - CONTINUING OPERATIONS...................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461.6</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(193.0)</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409.1</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326.4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519.4</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$870.7</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$409.1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$326.4</w:t>
            </w:r>
          </w:p>
        </w:tc>
      </w:tr>
      <w:tr>
        <w:trPr>
          <w:trHeight w:val="171"/>
        </w:trPr>
        <w:tc>
          <w:tcPr>
            <w:tcW w:w="59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80"/>
          </w:cols>
          <w:pgMar w:left="240" w:top="457" w:right="1379" w:bottom="1440" w:gutter="0" w:footer="0" w:header="0"/>
        </w:sectPr>
      </w:pPr>
    </w:p>
    <w:bookmarkStart w:id="38" w:name="page39"/>
    <w:bookmarkEnd w:id="38"/>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 (DEFICIENCY)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2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Accumulated Other</w:t>
            </w: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9"/>
              </w:rPr>
              <w:t>Comprehensive Income (Loss)</w:t>
            </w: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Unrealized</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Gains</w:t>
            </w:r>
          </w:p>
        </w:tc>
        <w:tc>
          <w:tcPr>
            <w:tcW w:w="15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w w:val="95"/>
              </w:rPr>
              <w:t>Cumulative</w:t>
            </w: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on</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Transla-</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Preferred Stock</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Accumu-</w:t>
            </w:r>
          </w:p>
        </w:tc>
        <w:tc>
          <w:tcPr>
            <w:tcW w:w="17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Marketable  tion</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Series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Class A</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Additional</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lated</w:t>
            </w: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Secur-</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Adjust-</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Special</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Defici t</w:t>
            </w: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ities</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ments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BALANCE, JANUARY 1, 1996............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($1,914.3)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Net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marketable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taxes of ($11.9)................</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adjustments ...................</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12.0</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(63.6)</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Issuance of 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97.2</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1,526.3</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1,623.5</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Issuance of preferred stock......</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Exercise of 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w:t>
            </w: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 of 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(185.4)</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common,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520"/>
              <w:spacing w:after="0"/>
              <w:rPr>
                <w:sz w:val="20"/>
                <w:szCs w:val="20"/>
                <w:color w:val="auto"/>
              </w:rPr>
            </w:pPr>
            <w:r>
              <w:rPr>
                <w:rFonts w:ascii="Courier New" w:cs="Courier New" w:eastAsia="Courier New" w:hAnsi="Courier New"/>
                <w:sz w:val="15"/>
                <w:szCs w:val="15"/>
                <w:color w:val="auto"/>
                <w:w w:val="97"/>
              </w:rPr>
              <w:t>$.0933 per share..............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Series A</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preferred .....................</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Unrecognized gain on issuance of</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common stock of a subsidiary...</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put options ...................</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and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extensions of put 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3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1996..........</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w:t>
            </w:r>
          </w:p>
        </w:tc>
        <w:tc>
          <w:tcPr>
            <w:tcW w:w="90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283.3</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(2,127.1)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Net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on marketable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taxes of $75.8.................</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140.6</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 translation adjustments</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loss............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(103.7)</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Issuance of 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24.9</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475.4</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500.3</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Issuance of preferred stock......</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Exercise of 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Conversion of convertible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subordinated debt to common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210.1</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218.5</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 of 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w:t>
            </w: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common,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$.0933 per share...............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Series A</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preferred .....................</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Series B preferred dividends.....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put options ...................</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38.2</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and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extensions of put 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513.2</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317.0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(2,415.9)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140.7</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1,646.5</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Net income.......................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972.1</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on marketable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taxes of $489.4................</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908.8</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adjustments....................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income..........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1,892.7</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Conversion of convertible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rPr>
              <w:t>subordinated debt to</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347.2</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357.6</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Exercise of 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 of common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common,</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$.0933 per share...............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Series A</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preferred......................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w w:val="97"/>
              </w:rPr>
              <w:t>Series B preferred dividends.....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(27.5)</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80" w:type="dxa"/>
            <w:vAlign w:val="bottom"/>
          </w:tcPr>
          <w:p>
            <w:pPr>
              <w:ind w:left="440"/>
              <w:spacing w:after="0"/>
              <w:rPr>
                <w:sz w:val="20"/>
                <w:szCs w:val="20"/>
                <w:color w:val="auto"/>
              </w:rPr>
            </w:pPr>
            <w:r>
              <w:rPr>
                <w:rFonts w:ascii="Courier New" w:cs="Courier New" w:eastAsia="Courier New" w:hAnsi="Courier New"/>
                <w:sz w:val="15"/>
                <w:szCs w:val="15"/>
                <w:color w:val="auto"/>
                <w:w w:val="97"/>
              </w:rPr>
              <w:t>options........................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(79.8)</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(79.8)</w:t>
            </w:r>
          </w:p>
        </w:tc>
      </w:tr>
      <w:tr>
        <w:trPr>
          <w:trHeight w:val="171"/>
        </w:trPr>
        <w:tc>
          <w:tcPr>
            <w:tcW w:w="3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sales of put options</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w:t>
            </w:r>
          </w:p>
        </w:tc>
      </w:tr>
      <w:tr>
        <w:trPr>
          <w:trHeight w:val="171"/>
        </w:trPr>
        <w:tc>
          <w:tcPr>
            <w:tcW w:w="3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1998..........</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$31.9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$540.7</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$3,311.5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($1,488.2)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$1,049.5</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$3,815.3</w:t>
            </w:r>
          </w:p>
        </w:tc>
      </w:tr>
      <w:tr>
        <w:trPr>
          <w:trHeight w:val="171"/>
        </w:trPr>
        <w:tc>
          <w:tcPr>
            <w:tcW w:w="3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70" w:orient="portrait"/>
          <w:cols w:equalWidth="0" w:num="1">
            <w:col w:w="11520"/>
          </w:cols>
          <w:pgMar w:left="240" w:top="457" w:right="139" w:bottom="0" w:gutter="0" w:footer="0" w:header="0"/>
        </w:sectPr>
      </w:pPr>
    </w:p>
    <w:bookmarkStart w:id="39" w:name="page40"/>
    <w:bookmarkEnd w:id="39"/>
    <w:p>
      <w:pPr>
        <w:ind w:left="208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9019"/>
          </w:cols>
          <w:pgMar w:left="1440" w:top="312" w:right="1440" w:bottom="1440" w:gutter="0" w:footer="0" w:header="0"/>
        </w:sectPr>
      </w:pPr>
    </w:p>
    <w:bookmarkStart w:id="40" w:name="page41"/>
    <w:bookmarkEnd w:id="40"/>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71" w:lineRule="exact"/>
        <w:rPr>
          <w:sz w:val="20"/>
          <w:szCs w:val="20"/>
          <w:color w:val="auto"/>
        </w:rPr>
      </w:pPr>
    </w:p>
    <w:p>
      <w:pPr>
        <w:ind w:left="44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4"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is principally engaged in the development, management and operation of broadband cable networks and the provision of programming content.</w:t>
      </w:r>
    </w:p>
    <w:p>
      <w:pPr>
        <w:spacing w:after="0" w:line="175"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Cable communications includes cable and telecommunications services in the United States ("US"). The Company's consolidated cable operations served approximately 4.5 million subscribers and passed approximately 7.4 million homes as of December 31, 1998.</w:t>
      </w:r>
    </w:p>
    <w:p>
      <w:pPr>
        <w:spacing w:after="0" w:line="176" w:lineRule="exact"/>
        <w:rPr>
          <w:rFonts w:ascii="Courier New" w:cs="Courier New" w:eastAsia="Courier New" w:hAnsi="Courier New"/>
          <w:sz w:val="15"/>
          <w:szCs w:val="15"/>
          <w:color w:val="auto"/>
        </w:rPr>
      </w:pPr>
    </w:p>
    <w:p>
      <w:pPr>
        <w:jc w:val="both"/>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Programming content is provided through the Company's consolidated subsidiaries, QVC, Inc. ("QVC"), E! Entertainment Television, Inc. ("E! Entertainment") and Comcast SportsNet (see Note 3), and other investments, including The Golf Channel, Speedvision and Outdoor Life. Through QVC, the Company markets a wide variety of products and is available to, on a full and part-time basis, over 70 million homes in the US, over 7.3 million homes in the United Kingdom ("UK") and over 14 million homes in Germany. E! Entertainment is an entertainment-related news and information service with distribution to approximately 53 million customers as of December 31, 1998. Comcast SportsNet is a regional sports programming network which provides sports related programming to approximately 2.6 million viewers in the Philadelphia region.</w:t>
      </w:r>
    </w:p>
    <w:p>
      <w:pPr>
        <w:spacing w:after="0" w:line="335"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agreed to sell its indirect wholly owned subsidiary, Comcast Cellular Corporation ("Comcast Cellular"), to SBC Communications, Inc. for approximately $400 million in cash and the assumption of approximately $1.3 billion of Comcast Cellular debt. As of December 31, 1998, Comcast Cellular provides telephone communications services pursuant to licenses granted by the Federal Communications Commission ("FCC") to more than 829,000 subscribers in and around the City of Philadelphia, the State of Delaware and a significant portion of the State of New Jersey. Revenues for Comcast Cellular were $455.2 million, $444.9 million and $426.1 million for the years ended December 31, 1998, 1997 and 1996, respectively. The sale of Comcast Cellular is expected to close in the third quarter of 1999 subject to the receipt of all necessary regulatory and other approvals. The results of operations of Comcast Cellular have been presented as a discontinued operation in accordance with Accounting Principles Board ("APB") Opinion 30, "Reporting the Results of Operations Reporting the Effects of Disposal of a Segment of a Business, and Extraordinary, Unusual and Infrequently Occurring Events and Transactions."</w:t>
      </w:r>
    </w:p>
    <w:p>
      <w:pPr>
        <w:spacing w:after="0" w:line="18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OTHER ITEMS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3"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wholly owned or controlled subsidiaries. All significant intercompany accounts and transactions among consolidated entities have been eliminated.</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 amounts presented in these notes to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w:t>
      </w:r>
    </w:p>
    <w:p>
      <w:pPr>
        <w:spacing w:after="0" w:line="175"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228"/>
          </w:cols>
          <w:pgMar w:left="231" w:top="45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management as of December 31, 1998 and 1997, and have not been comprehensively revalued for purposes of these consolidated financial statements since such dates.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Cash equivalents consist principally of US Government obligations, commercial paper, repurchase agreements and certificates of deposit with maturities of three months or less when purchased. The carrying amounts of the Company's cash equivalents approximate their fair values.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average cost method, which approximates the first-in, first-out method.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Investments consist principally of equity securities and US Government obligations, commercial paper, repurchase agreements and certificates of deposit with maturities of greater than three months when purchased.</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and investments in partnerships which are not controlled by the Company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80"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and recorded at their fair value, with unrealized gains or losses resulting from changes in fair value between measurement dates recorded as a component of other comprehensive income.</w:t>
      </w:r>
    </w:p>
    <w:p>
      <w:pPr>
        <w:spacing w:after="0" w:line="176"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diminution in value.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3"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Property and equipment are stated at cost. Depreciation is provided by the straight-line method over estimated useful lives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w w:val="98"/>
              </w:rPr>
              <w:t>Buildings and improvements.........................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8-40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w w:val="98"/>
              </w:rPr>
              <w:t>Operating facilities...............................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5-20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w w:val="98"/>
              </w:rPr>
              <w:t>Other equipment....................................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Charges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Franchise and license acquisition costs are amortized on a straight-line basis over their legal or estimated useful lives of 3 to 40 years. The excess of cost over the fair value of net assets acquired is being amortized on a straight-line basis over estimated useful lives of 20 to 40 years.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19"/>
          </w:cols>
          <w:pgMar w:left="240" w:top="45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deferred charges, using objective methodologies. Such methodologies include evaluations based on the cash flows generated by the underlying assets or other determinants of fair value.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Assets and liabilities of the Company's foreign subsidiaries, where the functional currency is the local currency, are translated into US dollars at the December 31 exchange rate. The related translation adjustments are recorded as other comprehensive income. Revenues and expenses are translated using average exchange rates prevailing during the year. Foreign currency transaction gains and losses are included in other (income) expense.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3"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Service income is recognized as service is provided. Credit risk is managed by disconnecting services to cable customers who are delinquent. Net sales from electronic retailing are recognized at the time of shipment to customers. The Company's policy is to allow customers to return merchandise for credit up to thirty days after date of shipment. An allowance for returned merchandise is provided as a percentage of sales based on historical experience. The return provision was approximately 21% of gross sales for each of the years ended December 31, 1998, 1997 and 1996.</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accounts for stock-based compensation in accordance with APB Opinion No. 25, "Accounting for Stock Issued to Employees," and related interpretations, as permitted by Statement of Financial Accounting Standards ("SFAS") No. 123, "Accounting for Stock-Based Compensation." Compensation expense for stock options is measured as the excess, if any, of the quoted market price of the Company's stock at the date of the grant over the amount an employee must pay to acquire the stock. Compensation expense for restricted stock awards is recorded annually based on the quoted market price of the Company's stock at the date of the grant and the vesting period. Compensation expense for stock appreciation rights is recorded annually based on the changes in quoted market prices of the Company's stock or other determinants of fair value at the end of the year (see Note 6).</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3" w:lineRule="exact"/>
        <w:rPr>
          <w:sz w:val="20"/>
          <w:szCs w:val="20"/>
          <w:color w:val="auto"/>
        </w:rPr>
      </w:pPr>
    </w:p>
    <w:p>
      <w:pPr>
        <w:jc w:val="both"/>
        <w:ind w:left="440" w:right="3119"/>
        <w:spacing w:after="0" w:line="264"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Investment income includes interest income and gains, net of losses, on the sales of marketable securities and long-term investments. Gross realized gains and losses are recognized using the specific identification method (see Note 4). Investment income also includes impairment losses resulting from adjustments to the net realizable value of certain of the Company's long-term investments.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Capitalized Interest</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Interest is capitalized as part of the historical cost of acquiring qualifying assets, including investments in equity method investees while the investee has activities in progress necessary to commence its planned principal operations. Capitalized interest for the years ended December 31, 1997 and 1996 was $18.0 million and $32.1 million,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19"/>
          </w:cols>
          <w:pgMar w:left="240" w:top="457"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1"/>
        </w:trPr>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w w:val="97"/>
              </w:rPr>
              <w:t>YEARS ENDED DECEMBER 31, 1998, 1997 AND</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 (Continued)</w:t>
            </w: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512"/>
        </w:trPr>
        <w:tc>
          <w:tcPr>
            <w:tcW w:w="34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Derivative Financial Instruments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50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Company uses derivative financial instruments,</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including interest rate</w:t>
            </w: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exchange</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agreements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("Swaps"),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5"/>
              </w:rPr>
              <w:t>interest rate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cap</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agreements ("Caps") and</w:t>
            </w:r>
          </w:p>
        </w:tc>
      </w:tr>
      <w:tr>
        <w:trPr>
          <w:trHeight w:val="171"/>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rate</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collar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agreements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("Collars")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manage its  exposure to</w:t>
            </w:r>
          </w:p>
        </w:tc>
      </w:tr>
      <w:tr>
        <w:trPr>
          <w:trHeight w:val="171"/>
        </w:trPr>
        <w:tc>
          <w:tcPr>
            <w:tcW w:w="34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fluctuations in interest rates and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option  contracts to</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manage</w:t>
            </w: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its  exposure to</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fluctuations  in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the price of</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its</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r>
      <w:tr>
        <w:trPr>
          <w:trHeight w:val="171"/>
        </w:trPr>
        <w:tc>
          <w:tcPr>
            <w:tcW w:w="34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Stock ("Comcast Put Options"). The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Company also</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enters into call options on</w:t>
            </w:r>
          </w:p>
        </w:tc>
      </w:tr>
    </w:tbl>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of its equity investments ("Covered Call Options").</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Swaps, Caps and Collars are matched with either fixed or variable rate debt and periodic cash payments are accrued on a settlement basis as an adjustment to interest expense. Any premiums associated with these instruments are amortized over their term and realized gains or losses as a result of the termination of the instruments are deferred and amortized over the remaining term of the underlying debt. Unrealized gains and losses as a result of these instruments are recognized when the underlying hedged item is extinguished or otherwise terminated.</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 Covered Call Options are marked to market on a current basis in the Company's consolidated statement of operations.</w:t>
      </w:r>
    </w:p>
    <w:p>
      <w:pPr>
        <w:spacing w:after="0" w:line="175"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Those instruments that have been entered into by the Company to hedge exposure to interest rate risks are periodically examined by the Company to ensure that the instruments are matched with underlying liabilities, reduce the Company's risks relating to interest rates and, through market value and sensitivity analysis, maintain a high correlation to the interest expense of the hedged item. For those instruments that do not meet the above criteria, variations in their fair value are marked-to-market on a current basis in the Company's consolidated statement of operations.</w:t>
      </w:r>
    </w:p>
    <w:p>
      <w:pPr>
        <w:spacing w:after="0" w:line="161"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5).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Pronouncement</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In June 1998, the Financial Accounting Standards Board ("FASB") issued SFAS No. 133, "Accounting for Derivative Instruments and Hedging Activities." This statement, which establishes accounting and reporting standards for derivatives and hedging activities, is effective for fiscal years beginning after June 15, 1999. Upon the adoption of SFAS No. 133, all derivatives are required to be recognized in the statement of financial position as either assets or liabilities and measured at fair value. The Company is currently evaluating the impact the adoption of SFAS No. 133 will have on its financial position and results of operations.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Earnings (Loss) for Common Stockholders Per Common Share</w:t>
      </w:r>
    </w:p>
    <w:p>
      <w:pPr>
        <w:spacing w:after="0" w:line="3"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 The following table reconciles the numerator and denominator of the computations of diluted earnings (loss) for common stockholders per common share ("Diluted EPS") for the years ended December 31, 1998, 1997 and 1996, respectively.</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457" w:right="1440" w:bottom="1440" w:gutter="0" w:footer="0" w:header="0"/>
        </w:sectPr>
      </w:pPr>
    </w:p>
    <w:bookmarkStart w:id="44" w:name="page45"/>
    <w:bookmarkEnd w:id="44"/>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4040" w:type="dxa"/>
            <w:vAlign w:val="bottom"/>
            <w:gridSpan w:val="3"/>
          </w:tcPr>
          <w:p>
            <w:pPr>
              <w:jc w:val="center"/>
              <w:ind w:left="46"/>
              <w:spacing w:after="0"/>
              <w:rPr>
                <w:sz w:val="20"/>
                <w:szCs w:val="20"/>
                <w:color w:val="auto"/>
              </w:rPr>
            </w:pPr>
            <w:r>
              <w:rPr>
                <w:rFonts w:ascii="Courier New" w:cs="Courier New" w:eastAsia="Courier New" w:hAnsi="Courier New"/>
                <w:sz w:val="15"/>
                <w:szCs w:val="15"/>
                <w:color w:val="auto"/>
                <w:w w:val="98"/>
              </w:rPr>
              <w:t>(Amounts in millions, except per share data)</w:t>
            </w:r>
          </w:p>
        </w:tc>
      </w:tr>
      <w:tr>
        <w:trPr>
          <w:trHeight w:val="171"/>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Year Ended</w:t>
            </w:r>
          </w:p>
        </w:tc>
        <w:tc>
          <w:tcPr>
            <w:tcW w:w="120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December 31,</w:t>
            </w:r>
          </w:p>
        </w:tc>
        <w:tc>
          <w:tcPr>
            <w:tcW w:w="120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 (loss) for common stockholders......................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$943.0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($253.5)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Dilutive securities effect on net income (loss) for common</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stockholders................................................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Preferred dividends............................................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 (loss) for common stockholders used for</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 EPS.................................................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$973.1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($253.5)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w:t>
            </w:r>
          </w:p>
        </w:tc>
      </w:tr>
      <w:tr>
        <w:trPr>
          <w:trHeight w:val="171"/>
        </w:trPr>
        <w:tc>
          <w:tcPr>
            <w:tcW w:w="5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Weighted average number of common shares outstanding...........</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366.5</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339.0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247.6</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Dilutive securities:</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 1/8% discount convertible subordinated debentures,</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redeemed March 1998..................................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Series A and B convertible preferred stock.............</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 option and restricted stock plans................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outstanding.................................................</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403.0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339.0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247.6</w:t>
            </w:r>
          </w:p>
        </w:tc>
      </w:tr>
      <w:tr>
        <w:trPr>
          <w:trHeight w:val="171"/>
        </w:trPr>
        <w:tc>
          <w:tcPr>
            <w:tcW w:w="5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share................................................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7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Put options sold by the Company on 2.75 million shares of its Class A Special Common Stock (see Note 6) were outstanding during the year ended December 31, 1998 but were not included in the computation of Diluted EPS as the options' exercise price was less than the average market price of the Company's Class A Special Common Stock during the period.</w:t>
      </w:r>
    </w:p>
    <w:p>
      <w:pPr>
        <w:spacing w:after="0" w:line="174"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For the years ended December 31, 1997 and 1996, the Company's potential common shares of 53.2 million shares and 42.9 million shares have an antidilutive effect on loss for common stockholders per common share and, therefore, have not been used in determining the total weighted average number of common shares outstanding.</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Reclassifications</w:t>
      </w:r>
    </w:p>
    <w:p>
      <w:pPr>
        <w:spacing w:after="0" w:line="3" w:lineRule="exact"/>
        <w:rPr>
          <w:sz w:val="20"/>
          <w:szCs w:val="20"/>
          <w:color w:val="auto"/>
        </w:rPr>
      </w:pPr>
    </w:p>
    <w:p>
      <w:pPr>
        <w:jc w:val="both"/>
        <w:ind w:left="449" w:right="3119"/>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1998.</w:t>
      </w:r>
    </w:p>
    <w:p>
      <w:pPr>
        <w:spacing w:after="0" w:line="172" w:lineRule="exact"/>
        <w:rPr>
          <w:sz w:val="20"/>
          <w:szCs w:val="20"/>
          <w:color w:val="auto"/>
        </w:rPr>
      </w:pPr>
    </w:p>
    <w:p>
      <w:pPr>
        <w:ind w:left="44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Greater Philadelphia Cablevision</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1999, the Company agreed to acquire Greater Philadelphia Cablevision, Inc., a subsidiary of Greater Media, Inc. that operates a cable system serving approximately 79,000 subscribers in Philadelphia, Pennsylvania. The Company will issue approximately 4.2 million shares of its Class A Special Common Stock to complete the acquisition. The acquisition is expected to close in the fourth quarter of 1999, subject to receipt of all necessary regulatory and other approvals.</w:t>
      </w:r>
    </w:p>
    <w:p>
      <w:pPr>
        <w:spacing w:after="0" w:line="173"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38 -</w:t>
      </w:r>
    </w:p>
    <w:p>
      <w:pPr>
        <w:sectPr>
          <w:pgSz w:w="11900" w:h="16838" w:orient="portrait"/>
          <w:cols w:equalWidth="0" w:num="1">
            <w:col w:w="10228"/>
          </w:cols>
          <w:pgMar w:left="231" w:top="45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Primestar</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 of December 31, 1998, the Company owns a 9.5% interest in Primestar, Inc. ("Primestar"). Primestar acquires, originates and provides television programming services delivered by satellite through a network of distributors. In January 1999, Primestar announced the sale of its direct broadcast satellite service to Hughes Electronics Corporation (a division of General Motors Corporation and the parent company of DirecTV, a direct broadcast satellite service) ("Hughes Electronics") for approximately $1.8 billion in cash and stock. The sale of Primestar to Hughes Electronics is subject to the consent of certain Primestar lenders and the receipt of necessary regulatory and other approvals.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 Prime Communications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December 1998, the Company agreed to invest in Prime Communications LLC ("Prime"), a cable television operator with cable communications systems serving approximately 430,000 subscribers. During the fourth quarter of 1998, the Company acquired a $50 million 12.75% subordinated note due 2008 from Prime. In addition, under the terms of the agreement, the Company will lend Prime approximately $735 million in the form of a 6% ten year note, expected to occur in the third quarter of 1999. In return, the Company will receive a convertible note giving the Company the right to acquire 90% of Prime. The note cannot be converted until the build out of certain of Prime's cable systems is complete and regulatory and other approvals are obtained, which is expected to occur in the third quarter of 2002. Upon conversion of the note, the Company expects to assume approximately $550 million of Prime debt. The Company will have the option to acquire the remaining 10% interest in Prime for approximately $82 million, plus accrued interest at 7% per annum.</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Sprint PCS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Company, Tele-Communications, Inc. ("TCI"), Cox Communications, Inc. ("Cox," and together with the Company and TCI, the "Cable Partners") and Sprint Corporation ("Sprint") engaged in the wireless communications business through a limited partnership known as "Sprint PCS."</w:t>
      </w:r>
    </w:p>
    <w:p>
      <w:pPr>
        <w:spacing w:after="0" w:line="176"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In November 1998, Sprint assumed ownership and management control of Sprint PCS and issued a new class of Sprint stock (the "Sprint PCS Stock") to track the performance of Sprint's combined wireless operations. In exchange for its 15% interest in Sprint PCS, the Company received approximately 47.2 million shares of unregistered Series 2 Sprint PCS common stock, 61,726 shares of Sprint PCS preferred stock (convertible into approximately 2.0 million shares of unregistered Series 2 Sprint PCS common stock) and a warrant to purchase approximately 3.0 million shares of unregistered Series 2 Sprint PCS common stock at $24.02 per share. As a result of the exchange, the Company recognized a pre-tax gain of $758.5 million during the fourth quarter of 1998 representing the difference between the fair value of the Sprint PCS common stock, convertible preferred stock and warrant, and the Company's basis in Sprint PCS. This gain is included in investment income in the Company's consolidated statement of operations. The Company has registration rights, subject to customary restrictions, which will allow the Company to sell the Sprint PCS Stock received. As of December 31, 1998, the Company has recorded its investment in Sprint PCS at its estimated fair value.</w:t>
      </w:r>
    </w:p>
    <w:p>
      <w:pPr>
        <w:spacing w:after="0" w:line="33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Sprint PCS Stock is divided into three categories: (i) Series 1 (one vote per share) to be held by the public, (ii) Series 2 (1/10 vote per share other than in class votes) to be held by the Cable Partners, and</w:t>
      </w:r>
    </w:p>
    <w:p>
      <w:pPr>
        <w:spacing w:after="0" w:line="4" w:lineRule="exact"/>
        <w:rPr>
          <w:sz w:val="20"/>
          <w:szCs w:val="20"/>
          <w:color w:val="auto"/>
        </w:rPr>
      </w:pPr>
    </w:p>
    <w:p>
      <w:pPr>
        <w:jc w:val="both"/>
        <w:ind w:left="440" w:right="3119" w:hanging="5"/>
        <w:spacing w:after="0"/>
        <w:tabs>
          <w:tab w:leader="none" w:pos="106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3 (one vote per share) to be held by two of Sprint's major shareholders. The Cable Partners have registration rights, subject to customary restrictions, that, if used, would permit the monetization of their Sprint PCS holdings through equity offerings or derivatives. If the Series 2 shares are transferred by a Cable Partner, the transferred shares become full vote Series 1 shares.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Comcast UK Cable</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October 1998, the Company received approximately 4.8 million shares of unregistered NTL Incorporated ("NTL") common stock, an alternative telecommunications company in the UK, in exchange for all of the shares of Comcast UK Cable Partners Limited ("Comcast UK Cable"), a consolidated subsidiary of the Company, held by the Company (the "NTL Transaction"). As a result of the exchange, the Company recognized a pre-tax gain of</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19"/>
          </w:cols>
          <w:pgMar w:left="240" w:top="45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$148.3 million during the fourth quarter of 1998, representing the difference between the fair value of the NTL common stock received and the Company's basis in Comcast UK Cable. Such gain is included in investment income in the Company's consolidated statement of operations. Certain conditions agreed to in the NTL Transaction restrict the Company's ability to sell the NTL common stock received for a period of 150 days after the closing of the NTL Transaction. As of December 31, 1998, the Company has recorded its investment in NTL at its estimated fair value.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Acquisition of Teleport</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July 1998, AT&amp;T Corp. ("AT&amp;T") merged with Teleport Communications Group Inc. ("Teleport") with AT&amp;T as the surviving corporation (the "AT&amp;T Transaction"). Upon closing of the AT&amp;T Transaction, the Company received approximately 24.2 million shares of unregistered AT&amp;T common stock in exchange for the approximately 25.6 million shares of Teleport Class B Common Stock held by the Company (see Note 4). As a result of the exchange, the Company recognized a pre-tax gain of $1.092 billion during the third quarter of 1998, representing the difference between the fair value of the AT&amp;T stock received and the Company's basis in Teleport. Such gain is included in investment income in the Company's consolidated statement of operations. The Company has registration rights, subject to customary restrictions, which allow the Company to effect a registration of the AT&amp;T shares received. As of December 31, 1998, the Company has recorded its investment in AT&amp;T at its estimated fair value.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Jones Intercable</w:t>
      </w:r>
    </w:p>
    <w:p>
      <w:pPr>
        <w:spacing w:after="0" w:line="3"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In May 1998, the Company agreed to purchase from BCI Telecom Holding ("BTH") 6.4 million Class A Common Shares in Jones Intercable, Inc.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At closing (expected to occur in the first half of 1999, subject to the receipt of required regulatory approvals), the Company will pay BTH a total of $500 million in cash to acquire the 12.8 million shares of Jones Intercable Class A Common Stock and $200 million in cash to acquire the Control Shares. After closing, the Company will control approximately 37% of the economic and 47% of the voting interest in Jones Intercable. In addition, the Control Shares will represent shares having the right to elect approximately 75% of the Board of Directors of Jones Intercable. The transaction will be funded either with new borrowings, with available borrowings under existing lines of credit or by other means. Jones Intercable is a public company, which upon closing of certain pending transactions, will own or manage cable operations serving approximately 1.0 million customers.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Entertainment</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To fund the cash contribution to the LLC, the Company borrowed $132.8 million from Disney in the form of two 10-year, 7% notes (the "Disney Notes").</w:t>
      </w:r>
    </w:p>
    <w:p>
      <w:pPr>
        <w:spacing w:after="0" w:line="16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December 1997, the LLC acquired the 10.4% interest in E! Entertainment held by Cox for $57.1 million. The acquisition was funded by cash contributions to the LLC by the Company and Disney of $28.6 million and $28.5 million, respectively. As of December 31, 1998 and 1997, the LLC owns a 79.2% interest in E! Entertainment.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19"/>
          </w:cols>
          <w:pgMar w:left="240" w:top="45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71" w:lineRule="auto"/>
        <w:rPr>
          <w:sz w:val="20"/>
          <w:szCs w:val="20"/>
          <w:color w:val="auto"/>
        </w:rPr>
      </w:pPr>
      <w:r>
        <w:rPr>
          <w:rFonts w:ascii="Courier New" w:cs="Courier New" w:eastAsia="Courier New" w:hAnsi="Courier New"/>
          <w:sz w:val="14"/>
          <w:szCs w:val="14"/>
          <w:color w:val="auto"/>
        </w:rPr>
        <w:t>The Company accounted for the acquisitions under the purchase method and E! Entertainment was consolidated with the Company effective March 31, 1997.</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Microsoft Investment</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June 1997, the Company and Microsoft Corporation ("Microsoft") completed a Stock Purchase Agreement. Microsoft purchased and the Company issued approximately 24.6 million shares of the Company's Class A Special Common Stock at $20.29 per share, for $500.0 million and 500,000 shares of the Company's newly issued 5.25% Series B Mandatorily Redeemable Convertible Preferred Stock, par value $1,000 per share (the "Series B Preferred Stock"), for $500.0 million (see Note 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Scripps Cable</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approximately 93.0 million shares of the Company's Class A Special Common Stock, valued at $1.552 billion (the "Scripps Acquisition"). The Company accounted for the Scripps Acquisition under the purchase method and Scripps Cable was consolidated with the Company effective November 1, 1996. As the consideration given in exchange for Scripps Cable was shares of Class A Special Common Stock, the Scripps Acquisition had no significant impact on the Company's consolidated statement of cash flows.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Comcast-Spectacor</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w:t>
      </w:r>
    </w:p>
    <w:p>
      <w:pPr>
        <w:spacing w:after="0" w:line="6" w:lineRule="exact"/>
        <w:rPr>
          <w:sz w:val="20"/>
          <w:szCs w:val="20"/>
          <w:color w:val="auto"/>
        </w:rPr>
      </w:pPr>
    </w:p>
    <w:p>
      <w:pPr>
        <w:jc w:val="both"/>
        <w:ind w:left="440" w:right="3119" w:hanging="5"/>
        <w:spacing w:after="0"/>
        <w:tabs>
          <w:tab w:leader="none" w:pos="88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77"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Sports Venture Acquisition was completed in two steps. In April 1996, the Company purchased the Sixers for $125.0 million in cash plus assumed net liabilities of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(the "Series A Preferred Stock") (see Note 6), and paid $15.0 million in cash for its current interest in Comcast-Spectacor. The remaining 34% interest in Comcast-Spectacor is owned by a group, including the former majority owner of PFLP, who also manages Comcast-Spectacor (the "Minority Group"). In connection with the Sports Venture Acquisition, Comcast-Spectacor assumed the outstanding liabilities relating to the Sixers and the Arenas, including a mortgage and other obligations of $155.0 million. The issuance of the Series A Preferred Stock and the Class A Special Common Stock in the Sports Venture Acquisition had no impact on the Company's consolidated statement of cash flows due to their non-cash nature.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19"/>
          </w:cols>
          <w:pgMar w:left="240" w:top="45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4886"/>
              <w:spacing w:after="0"/>
              <w:rPr>
                <w:sz w:val="20"/>
                <w:szCs w:val="20"/>
                <w:color w:val="auto"/>
              </w:rPr>
            </w:pPr>
            <w:r>
              <w:rPr>
                <w:rFonts w:ascii="Courier New" w:cs="Courier New" w:eastAsia="Courier New" w:hAnsi="Courier New"/>
                <w:sz w:val="15"/>
                <w:szCs w:val="15"/>
                <w:color w:val="auto"/>
                <w:w w:val="97"/>
              </w:rPr>
              <w:t>4.   INVESTMENTS</w:t>
            </w: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12"/>
        </w:trPr>
        <w:tc>
          <w:tcPr>
            <w:tcW w:w="6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638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6380" w:type="dxa"/>
            <w:vAlign w:val="bottom"/>
          </w:tcPr>
          <w:p>
            <w:pPr>
              <w:spacing w:after="0"/>
              <w:rPr>
                <w:sz w:val="14"/>
                <w:szCs w:val="14"/>
                <w:color w:val="auto"/>
              </w:rPr>
            </w:pPr>
          </w:p>
        </w:tc>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Equity method................................................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$839.1</w:t>
            </w:r>
          </w:p>
        </w:tc>
      </w:tr>
      <w:tr>
        <w:trPr>
          <w:trHeight w:val="34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Fair value method............................................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4,170.0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346.5</w:t>
            </w:r>
          </w:p>
        </w:tc>
      </w:tr>
      <w:tr>
        <w:trPr>
          <w:trHeight w:val="34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Cost method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214.1</w:t>
            </w:r>
          </w:p>
        </w:tc>
      </w:tr>
      <w:tr>
        <w:trPr>
          <w:trHeight w:val="171"/>
        </w:trPr>
        <w:tc>
          <w:tcPr>
            <w:tcW w:w="6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Total investments...............................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4,255.8</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1,399.7</w:t>
            </w:r>
          </w:p>
        </w:tc>
      </w:tr>
      <w:tr>
        <w:trPr>
          <w:trHeight w:val="17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Less, current investments....................................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3,653.4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163.9</w:t>
            </w:r>
          </w:p>
        </w:tc>
      </w:tr>
      <w:tr>
        <w:trPr>
          <w:trHeight w:val="171"/>
        </w:trPr>
        <w:tc>
          <w:tcPr>
            <w:tcW w:w="6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Non-current investments......................................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$602.4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$1,235.8</w:t>
            </w:r>
          </w:p>
        </w:tc>
      </w:tr>
      <w:tr>
        <w:trPr>
          <w:trHeight w:val="171"/>
        </w:trPr>
        <w:tc>
          <w:tcPr>
            <w:tcW w:w="6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records its proportionate interests in the net income (loss) of substantially all of its equity method investees three months in arrears. As of December 31, 1997, the Company held interests representing less than 20% of the total outstanding ownership interests in certain of its equity method investees. The equity method of accounting was utilized for these investments based on the type of investment (e.g. general partnership interest), board representation, participation in a controlling investor group, significant shareholder rights or a combination of these and other factors. The Company's recorded investments exceed its proportionate interests in the book value of the investees' net assets by $82.3 million as of December 31, 1998 (primarily related to the investment in The Golf Channel). Such excess is being amortized to equity in net income or loss, primarily over a period of twenty years, which is consistent with the estimated lives of the underlying assets. The original cost of investments accounted for under the equity method totaled $215.3 million and $1.424 billion as of December 31, 1998 and 1997, respectively. Summarized financial information for the Company's equity method investees for 1998, 1997 and 1996 is as follows (dollars in millions).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19"/>
          </w:cols>
          <w:pgMar w:left="240" w:top="45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Sprint</w:t>
            </w:r>
          </w:p>
        </w:tc>
        <w:tc>
          <w:tcPr>
            <w:tcW w:w="9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UK</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Comcast</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PCS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Teleport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Investees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Spectacor</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Combined</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Year Ended December</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31, 1998:</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Combined Results</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of Operations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Revenues, net..........................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$1,136.5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$638.6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$2,578.7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selling, general and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administrative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2,587.6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558.7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153.3</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653.8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3,953.4</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749.5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69.7</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1,051.7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(2,426.4)</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loss (a)...........................</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(2,572.8)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(78.8)</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(2,976.4)</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Company's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current period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w:t>
            </w:r>
          </w:p>
        </w:tc>
        <w:tc>
          <w:tcPr>
            <w:tcW w:w="10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($66.4)   ($508.4)</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expense...................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w:t>
            </w:r>
          </w:p>
        </w:tc>
        <w:tc>
          <w:tcPr>
            <w:tcW w:w="10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($69.9)   ($515.9)</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Year Ended December</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31, 1997:</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Combined Results</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of Operations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Revenues, net..........................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$1,625.0</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selling, general and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administrative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959.4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2,465.1</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194.2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516.8</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(1,042.1)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(1,356.9)</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loss (a)...........................</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(1,187.3)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(1,701.3)</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Company's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current period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($334.7)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expense...................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($343.8)</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Year Ended December</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31, 1996:</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Combined Results</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of Operations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Revenues, net..........................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$155.2</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$788.2</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selling, general and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administrative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208.0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140.9</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486.0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1,015.8</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w:t>
            </w:r>
          </w:p>
        </w:tc>
        <w:tc>
          <w:tcPr>
            <w:tcW w:w="102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(404.3)</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loss (a)...........................</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(642.7)</w:t>
            </w:r>
          </w:p>
        </w:tc>
      </w:tr>
      <w:tr>
        <w:trPr>
          <w:trHeight w:val="34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Company's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current period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($28.6)</w:t>
            </w:r>
          </w:p>
        </w:tc>
        <w:tc>
          <w:tcPr>
            <w:tcW w:w="10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($45.9)   ($141.3)</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income (expense)..........</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equity</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in net loss.............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w:t>
            </w:r>
          </w:p>
        </w:tc>
        <w:tc>
          <w:tcPr>
            <w:tcW w:w="10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   ($144.8)</w:t>
            </w:r>
          </w:p>
        </w:tc>
      </w:tr>
      <w:tr>
        <w:trPr>
          <w:trHeight w:val="171"/>
        </w:trPr>
        <w:tc>
          <w:tcPr>
            <w:tcW w:w="1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44.</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19"/>
          </w:cols>
          <w:pgMar w:left="240" w:top="457" w:right="1440" w:bottom="1440" w:gutter="0" w:footer="0" w:header="0"/>
        </w:sectPr>
      </w:pPr>
    </w:p>
    <w:bookmarkStart w:id="50" w:name="page51"/>
    <w:bookmarkEnd w:id="50"/>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Sprint</w:t>
            </w:r>
          </w:p>
        </w:tc>
        <w:tc>
          <w:tcPr>
            <w:tcW w:w="1020" w:type="dxa"/>
            <w:vAlign w:val="bottom"/>
          </w:tcPr>
          <w:p>
            <w:pPr>
              <w:spacing w:after="0"/>
              <w:rPr>
                <w:sz w:val="14"/>
                <w:szCs w:val="14"/>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UK</w:t>
            </w:r>
          </w:p>
        </w:tc>
        <w:tc>
          <w:tcPr>
            <w:tcW w:w="8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Comcast</w:t>
            </w:r>
          </w:p>
        </w:tc>
      </w:tr>
      <w:tr>
        <w:trPr>
          <w:trHeight w:val="171"/>
        </w:trPr>
        <w:tc>
          <w:tcPr>
            <w:tcW w:w="38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PCS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Teleport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Investees</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Spectacor</w:t>
            </w:r>
          </w:p>
        </w:tc>
      </w:tr>
      <w:tr>
        <w:trPr>
          <w:trHeight w:val="512"/>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As of December 31, 1998 (2):</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Noncurrent assets..................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Noncurrent liabilities.............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$317.3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$440.8</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$35.9</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$84.9</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Noncurrent assets..................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1,675.2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716.4</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285.4</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302.8</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74.6</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107.7</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Noncurrent liabilities.............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3,312.9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1,061.6</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558.7</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188.0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700" w:hanging="449"/>
        <w:spacing w:after="0" w:line="239" w:lineRule="auto"/>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also represents loss from continuing operations before extraordinary items and cumulative effect of changes in accounting principles.</w:t>
      </w:r>
    </w:p>
    <w:p>
      <w:pPr>
        <w:spacing w:after="0" w:line="4" w:lineRule="exact"/>
        <w:rPr>
          <w:rFonts w:ascii="Courier New" w:cs="Courier New" w:eastAsia="Courier New" w:hAnsi="Courier New"/>
          <w:sz w:val="15"/>
          <w:szCs w:val="15"/>
          <w:color w:val="auto"/>
        </w:rPr>
      </w:pPr>
    </w:p>
    <w:p>
      <w:pPr>
        <w:jc w:val="both"/>
        <w:ind w:left="449" w:right="700" w:hanging="449"/>
        <w:spacing w:after="0" w:line="239" w:lineRule="auto"/>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position information as of December 31, 1998 is not presented for Sprint PCS, Teleport, the UK Investees or Comcast-Spectacor as such investments were no longer accounted for under the equity method as of that date.</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49" w:right="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Sprint PCS. Effective November 1998, the Company accounts for its investment in Sprint PCS under the fair value method (see Note 3).</w:t>
      </w:r>
    </w:p>
    <w:p>
      <w:pPr>
        <w:spacing w:after="0" w:line="174" w:lineRule="exact"/>
        <w:rPr>
          <w:rFonts w:ascii="Courier New" w:cs="Courier New" w:eastAsia="Courier New" w:hAnsi="Courier New"/>
          <w:sz w:val="15"/>
          <w:szCs w:val="15"/>
          <w:color w:val="auto"/>
        </w:rPr>
      </w:pPr>
    </w:p>
    <w:p>
      <w:pPr>
        <w:jc w:val="both"/>
        <w:ind w:left="449" w:right="70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Teleport. For the years ended December 31, 1998, 1997 and 1996, Teleport issued shares of its Class A Common Stock. As a result of these stock issuances, the Company recognized a $157.8 million, $7.7 million and $40.6 million, respectively, increase in its proportionate share of Teleport's net assets as a gain from equity offering of affiliate. The Company recorded its proportionate share of Teleport's net assets one quarter in arrears. In March 1997, the Company received 2.76 million shares of Teleport Class A Common Stock from Teleport in exchange for the Company's shares of an alternate access provider. In May 1997, the Company sold all of its shares of Teleport Class A Stock for $68.9 million and recognized a $68.9 million pre-tax gain, which is included in investment income in the Company's 1997 consolidated statement of operations. In July 1998, in connection with the AT&amp;T Transaction (see Note 3), the Company exchanged its interest in Teleport for shares of AT&amp;T common stock.</w:t>
      </w:r>
    </w:p>
    <w:p>
      <w:pPr>
        <w:spacing w:after="0" w:line="334" w:lineRule="exact"/>
        <w:rPr>
          <w:rFonts w:ascii="Courier New" w:cs="Courier New" w:eastAsia="Courier New" w:hAnsi="Courier New"/>
          <w:sz w:val="15"/>
          <w:szCs w:val="15"/>
          <w:color w:val="auto"/>
        </w:rPr>
      </w:pPr>
    </w:p>
    <w:p>
      <w:pPr>
        <w:ind w:left="449" w:right="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UK Investees. In October 1998, the Company exchanged its interest in Comcast UK Cable for shares of NTL common stock (see Note 3).</w:t>
      </w:r>
    </w:p>
    <w:p>
      <w:pPr>
        <w:spacing w:after="0" w:line="174" w:lineRule="exact"/>
        <w:rPr>
          <w:rFonts w:ascii="Courier New" w:cs="Courier New" w:eastAsia="Courier New" w:hAnsi="Courier New"/>
          <w:sz w:val="15"/>
          <w:szCs w:val="15"/>
          <w:color w:val="auto"/>
        </w:rPr>
      </w:pPr>
    </w:p>
    <w:p>
      <w:pPr>
        <w:jc w:val="both"/>
        <w:ind w:left="449" w:right="70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Comcast-Spectacor. Effective January 1, 1998, the Company began consolidating the accounts of Comcast- Spectacor, an affiliate previously accounted for under the equity method, due to certain call rights held by the Company which became exercisable effective January 16, 1998.</w:t>
      </w:r>
    </w:p>
    <w:p>
      <w:pPr>
        <w:spacing w:after="0" w:line="176" w:lineRule="exact"/>
        <w:rPr>
          <w:rFonts w:ascii="Courier New" w:cs="Courier New" w:eastAsia="Courier New" w:hAnsi="Courier New"/>
          <w:sz w:val="15"/>
          <w:szCs w:val="15"/>
          <w:color w:val="auto"/>
        </w:rPr>
      </w:pPr>
    </w:p>
    <w:p>
      <w:pPr>
        <w:jc w:val="both"/>
        <w:ind w:left="449" w:righ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The Company's other equity investees include investments in cable communications and programming content providers. The Company does not consider these other equity method investments to be individually significant to its consolidated financial position, results of operations or liquidity.</w:t>
      </w:r>
    </w:p>
    <w:p>
      <w:pPr>
        <w:spacing w:after="0" w:line="174" w:lineRule="exact"/>
        <w:rPr>
          <w:rFonts w:ascii="Courier New" w:cs="Courier New" w:eastAsia="Courier New" w:hAnsi="Courier New"/>
          <w:sz w:val="15"/>
          <w:szCs w:val="15"/>
          <w:color w:val="auto"/>
        </w:rPr>
      </w:pPr>
    </w:p>
    <w:p>
      <w:pPr>
        <w:jc w:val="both"/>
        <w:ind w:left="449" w:right="70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Method</w:t>
      </w:r>
    </w:p>
    <w:p>
      <w:pPr>
        <w:spacing w:after="0" w:line="3" w:lineRule="exact"/>
        <w:rPr>
          <w:rFonts w:ascii="Courier New" w:cs="Courier New" w:eastAsia="Courier New" w:hAnsi="Courier New"/>
          <w:sz w:val="15"/>
          <w:szCs w:val="15"/>
          <w:color w:val="auto"/>
        </w:rPr>
      </w:pPr>
    </w:p>
    <w:p>
      <w:pPr>
        <w:jc w:val="both"/>
        <w:ind w:left="449" w:right="70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holds unrestricted equity investments in certain publicly traded companies, with an historical cost (including $1.999 billion of pre-tax gains recognized during 1998 - see Note 3) of $2.555 billion and $130.0</w:t>
      </w:r>
    </w:p>
    <w:p>
      <w:pPr>
        <w:spacing w:after="0" w:line="173"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5"/>
          <w:szCs w:val="15"/>
          <w:color w:val="auto"/>
        </w:rPr>
        <w:t>$57.8</w:t>
      </w:r>
      <w:r>
        <w:rPr>
          <w:sz w:val="20"/>
          <w:szCs w:val="20"/>
          <w:color w:val="auto"/>
        </w:rPr>
        <w:tab/>
      </w:r>
      <w:r>
        <w:rPr>
          <w:rFonts w:ascii="Courier New" w:cs="Courier New" w:eastAsia="Courier New" w:hAnsi="Courier New"/>
          <w:sz w:val="14"/>
          <w:szCs w:val="14"/>
          <w:color w:val="auto"/>
        </w:rPr>
        <w:t>$57.8</w:t>
      </w:r>
    </w:p>
    <w:p>
      <w:pPr>
        <w:spacing w:after="0" w:line="1"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5"/>
          <w:szCs w:val="15"/>
          <w:color w:val="auto"/>
        </w:rPr>
        <w:t>314.7</w:t>
      </w:r>
      <w:r>
        <w:rPr>
          <w:sz w:val="20"/>
          <w:szCs w:val="20"/>
          <w:color w:val="auto"/>
        </w:rPr>
        <w:tab/>
      </w:r>
      <w:r>
        <w:rPr>
          <w:rFonts w:ascii="Courier New" w:cs="Courier New" w:eastAsia="Courier New" w:hAnsi="Courier New"/>
          <w:sz w:val="14"/>
          <w:szCs w:val="14"/>
          <w:color w:val="auto"/>
        </w:rPr>
        <w:t>314.7</w:t>
      </w:r>
    </w:p>
    <w:p>
      <w:pPr>
        <w:spacing w:after="0" w:line="1"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5"/>
          <w:szCs w:val="15"/>
          <w:color w:val="auto"/>
        </w:rPr>
        <w:t>41.9</w:t>
      </w:r>
      <w:r>
        <w:rPr>
          <w:sz w:val="20"/>
          <w:szCs w:val="20"/>
          <w:color w:val="auto"/>
        </w:rPr>
        <w:tab/>
      </w:r>
      <w:r>
        <w:rPr>
          <w:rFonts w:ascii="Courier New" w:cs="Courier New" w:eastAsia="Courier New" w:hAnsi="Courier New"/>
          <w:sz w:val="15"/>
          <w:szCs w:val="15"/>
          <w:color w:val="auto"/>
        </w:rPr>
        <w:t>41.9</w:t>
      </w:r>
    </w:p>
    <w:p>
      <w:pPr>
        <w:spacing w:after="0" w:line="1"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5"/>
          <w:szCs w:val="15"/>
          <w:color w:val="auto"/>
        </w:rPr>
        <w:t>451.4</w:t>
      </w:r>
      <w:r>
        <w:rPr>
          <w:sz w:val="20"/>
          <w:szCs w:val="20"/>
          <w:color w:val="auto"/>
        </w:rPr>
        <w:tab/>
      </w:r>
      <w:r>
        <w:rPr>
          <w:rFonts w:ascii="Courier New" w:cs="Courier New" w:eastAsia="Courier New" w:hAnsi="Courier New"/>
          <w:sz w:val="14"/>
          <w:szCs w:val="14"/>
          <w:color w:val="auto"/>
        </w:rPr>
        <w:t>451.4</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$219.4</w:t>
        <w:tab/>
        <w:t>$1,098.3</w:t>
      </w:r>
    </w:p>
    <w:p>
      <w:pPr>
        <w:spacing w:after="0" w:line="1"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5"/>
          <w:szCs w:val="15"/>
          <w:color w:val="auto"/>
        </w:rPr>
        <w:t>915.7</w:t>
      </w:r>
      <w:r>
        <w:rPr>
          <w:sz w:val="20"/>
          <w:szCs w:val="20"/>
          <w:color w:val="auto"/>
        </w:rPr>
        <w:tab/>
      </w:r>
      <w:r>
        <w:rPr>
          <w:rFonts w:ascii="Courier New" w:cs="Courier New" w:eastAsia="Courier New" w:hAnsi="Courier New"/>
          <w:sz w:val="14"/>
          <w:szCs w:val="14"/>
          <w:color w:val="auto"/>
        </w:rPr>
        <w:t>9,076.0</w:t>
      </w:r>
    </w:p>
    <w:p>
      <w:pPr>
        <w:spacing w:after="0" w:line="1"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5"/>
          <w:szCs w:val="15"/>
          <w:color w:val="auto"/>
        </w:rPr>
        <w:t>747.5</w:t>
      </w:r>
      <w:r>
        <w:rPr>
          <w:sz w:val="20"/>
          <w:szCs w:val="20"/>
          <w:color w:val="auto"/>
        </w:rPr>
        <w:tab/>
      </w:r>
      <w:r>
        <w:rPr>
          <w:rFonts w:ascii="Courier New" w:cs="Courier New" w:eastAsia="Courier New" w:hAnsi="Courier New"/>
          <w:sz w:val="14"/>
          <w:szCs w:val="14"/>
          <w:color w:val="auto"/>
        </w:rPr>
        <w:t>1,672.8</w:t>
      </w:r>
    </w:p>
    <w:p>
      <w:pPr>
        <w:spacing w:after="0" w:line="1"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5"/>
          <w:szCs w:val="15"/>
          <w:color w:val="auto"/>
        </w:rPr>
        <w:t>377.2</w:t>
      </w:r>
      <w:r>
        <w:rPr>
          <w:sz w:val="20"/>
          <w:szCs w:val="20"/>
          <w:color w:val="auto"/>
        </w:rPr>
        <w:tab/>
      </w:r>
      <w:r>
        <w:rPr>
          <w:rFonts w:ascii="Courier New" w:cs="Courier New" w:eastAsia="Courier New" w:hAnsi="Courier New"/>
          <w:sz w:val="14"/>
          <w:szCs w:val="14"/>
          <w:color w:val="auto"/>
        </w:rPr>
        <w:t>5,498.4</w:t>
      </w:r>
    </w:p>
    <w:p>
      <w:pPr>
        <w:sectPr>
          <w:pgSz w:w="11900" w:h="16838" w:orient="portrait"/>
          <w:cols w:equalWidth="0" w:num="2">
            <w:col w:w="7809" w:space="260"/>
            <w:col w:w="2159"/>
          </w:cols>
          <w:pgMar w:left="231" w:top="45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million as of December 31, 1998 and 1997, respectively. The Company has recorded these investments, which are classified as available for sale, at their estimated fair values of $4.170 billion and $346.5 million as of December 31, 1998 and 1997, respectively. The unrealized pre-tax gains as of December 31, 1998 and 1997 of $1.615 billion and $216.5 million, respectively, have been reported in the Company's consolidated balance sheet as a component of stockholders' equity, net of related deferred income tax expense of $565.1 million and $75.8 million, respectively.</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@Home. In July 1997, At Home Corporation ("@Home"), an investee of the Company previously accounted for under the equity method, completed an initial public offering of its Series A Common Stock (the "@Home IPO"). @Home provides Internet services to customers and businesses over the cable television infrastructure in a limited number of cities in the US. Effective July 1, 1997, due to the dilution of the Company's equity and voting interests and other factors subsequent to the @Home IPO, the Company discontinued the equity method of accounting for its investment in @Home. The Company holds approximately 8.0 million contractually restricted shares (the "Restricted Shares") and approximately 6.6 million unrestricted shares (the "Unrestricted Shares") of @Home Series A Common Stock (the "@Home Series A Stock"), as of December 31, 1998 and 1997. The Company has recorded the Restricted Shares at their historical cost of $1.1 million and the Unrestricted Shares, which are classified as available for sale, at their estimated fair value of $486.4 million and $164.6 million, based on the quoted market price of the @Home Series A Stock as of December 31, 1998 and 1997, respectively.</w:t>
      </w:r>
    </w:p>
    <w:p>
      <w:pPr>
        <w:spacing w:after="0" w:line="18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TCI. As of December 31, 1998 and 1997, the Company holds approximately 3.1 million shares of TCI Class A Common Stock, approximately 2.4 million shares of Liberty Media Corporation ("Liberty") Class A Common Stock and approximately 2.3 million shares of TCI Ventures Group, Inc. ("TCI Ventures") Class A Common Stock (as adjusted for the one-for-two stock split for Liberty and one-for-one stock split for TCI Ventures in February 1998) (together, the "TCI Stock"). In March 1998, the Company sold call options relating to the TCI Stock for $20.7 million. Such call options expire between March and September 1999. During the year ended December 31, 1998, the Company recorded pre-tax investment expense of $105.5 million related to the increase in the value of the call options.</w:t>
      </w:r>
    </w:p>
    <w:p>
      <w:pPr>
        <w:spacing w:after="0" w:line="179" w:lineRule="exact"/>
        <w:rPr>
          <w:sz w:val="20"/>
          <w:szCs w:val="20"/>
          <w:color w:val="auto"/>
        </w:rPr>
      </w:pPr>
    </w:p>
    <w:p>
      <w:pPr>
        <w:jc w:val="both"/>
        <w:ind w:left="440" w:right="3119"/>
        <w:spacing w:after="0" w:line="262" w:lineRule="auto"/>
        <w:rPr>
          <w:sz w:val="20"/>
          <w:szCs w:val="20"/>
          <w:color w:val="auto"/>
        </w:rPr>
      </w:pPr>
      <w:r>
        <w:rPr>
          <w:rFonts w:ascii="Courier New" w:cs="Courier New" w:eastAsia="Courier New" w:hAnsi="Courier New"/>
          <w:sz w:val="14"/>
          <w:szCs w:val="14"/>
          <w:color w:val="auto"/>
        </w:rPr>
        <w:t>During the years ended December 31, 1997 and 1996, the Company recognized pre-tax gains of $33.3 million and $82.6 million, respectively, on sales of certain of its fair value method investments. These gains were recorded as a reclassification from other comprehensive income to investment income.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It is not practicable to estimate the fair value of the Company's investments in privately held companies, accounted for under the cost method, due to a lack of quoted market prices and excessive costs involved in determining such fair value.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Impairment Losses</w:t>
      </w:r>
    </w:p>
    <w:p>
      <w:pPr>
        <w:spacing w:after="0" w:line="3" w:lineRule="exact"/>
        <w:rPr>
          <w:sz w:val="20"/>
          <w:szCs w:val="20"/>
          <w:color w:val="auto"/>
        </w:rPr>
      </w:pPr>
    </w:p>
    <w:p>
      <w:pPr>
        <w:jc w:val="both"/>
        <w:ind w:left="440" w:right="3119"/>
        <w:spacing w:after="0" w:line="261" w:lineRule="auto"/>
        <w:rPr>
          <w:sz w:val="20"/>
          <w:szCs w:val="20"/>
          <w:color w:val="auto"/>
        </w:rPr>
      </w:pPr>
      <w:r>
        <w:rPr>
          <w:rFonts w:ascii="Courier New" w:cs="Courier New" w:eastAsia="Courier New" w:hAnsi="Courier New"/>
          <w:sz w:val="14"/>
          <w:szCs w:val="14"/>
          <w:color w:val="auto"/>
        </w:rPr>
        <w:t>During the years ended December 31, 1998, 1997 and 1996, the Company recorded pre-tax losses of $152.8 million, $2.5 million and $15.0 million, respectively, on certain of its investments based on a decline in value that was considered other than temporary. Such pre-tax losses are included in investment income in the Company's consolidated statement of operations.</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19"/>
          </w:cols>
          <w:pgMar w:left="240" w:top="45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gridSpan w:val="3"/>
          </w:tcPr>
          <w:p>
            <w:pPr>
              <w:spacing w:after="0"/>
              <w:rPr>
                <w:sz w:val="20"/>
                <w:szCs w:val="20"/>
                <w:color w:val="auto"/>
              </w:rPr>
            </w:pPr>
            <w:r>
              <w:rPr>
                <w:rFonts w:ascii="Courier New" w:cs="Courier New" w:eastAsia="Courier New" w:hAnsi="Courier New"/>
                <w:sz w:val="15"/>
                <w:szCs w:val="15"/>
                <w:color w:val="auto"/>
              </w:rPr>
              <w:t>5.   LONG-TERM DEBT</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2"/>
        </w:trPr>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Notes payable</w:t>
            </w:r>
          </w:p>
        </w:tc>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to banks and insurance companies, due</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88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70"/>
              </w:rPr>
              <w:t>in installments through 2003..........................................</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$1,690.8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$1,753.3</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8-1/8% Senior</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notes, due 2004</w:t>
            </w:r>
          </w:p>
        </w:tc>
        <w:tc>
          <w:tcPr>
            <w:tcW w:w="20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299.7</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8-3/8% Senior</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notes, due 2007</w:t>
            </w:r>
          </w:p>
        </w:tc>
        <w:tc>
          <w:tcPr>
            <w:tcW w:w="20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596.5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596.3</w:t>
            </w:r>
          </w:p>
        </w:tc>
      </w:tr>
      <w:tr>
        <w:trPr>
          <w:trHeight w:val="171"/>
        </w:trPr>
        <w:tc>
          <w:tcPr>
            <w:tcW w:w="3620" w:type="dxa"/>
            <w:vAlign w:val="bottom"/>
            <w:gridSpan w:val="4"/>
          </w:tcPr>
          <w:p>
            <w:pPr>
              <w:ind w:left="260"/>
              <w:spacing w:after="0"/>
              <w:rPr>
                <w:sz w:val="20"/>
                <w:szCs w:val="20"/>
                <w:color w:val="auto"/>
              </w:rPr>
            </w:pPr>
            <w:r>
              <w:rPr>
                <w:rFonts w:ascii="Courier New" w:cs="Courier New" w:eastAsia="Courier New" w:hAnsi="Courier New"/>
                <w:sz w:val="11"/>
                <w:szCs w:val="11"/>
                <w:color w:val="auto"/>
                <w:w w:val="70"/>
              </w:rPr>
              <w:t>6.20% Senior notes, due 2008............................................</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797.9</w:t>
            </w:r>
          </w:p>
        </w:tc>
        <w:tc>
          <w:tcPr>
            <w:tcW w:w="1160" w:type="dxa"/>
            <w:vAlign w:val="bottom"/>
          </w:tcPr>
          <w:p>
            <w:pPr>
              <w:spacing w:after="0"/>
              <w:rPr>
                <w:sz w:val="14"/>
                <w:szCs w:val="14"/>
                <w:color w:val="auto"/>
              </w:rPr>
            </w:pP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8-7/8% Senior</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notes, due 2017</w:t>
            </w:r>
          </w:p>
        </w:tc>
        <w:tc>
          <w:tcPr>
            <w:tcW w:w="20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545.6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545.5</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8-1/2% Senior</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notes, due 2027</w:t>
            </w:r>
          </w:p>
        </w:tc>
        <w:tc>
          <w:tcPr>
            <w:tcW w:w="20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249.6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249.6</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11.20% Senior</w:t>
            </w:r>
          </w:p>
        </w:tc>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76"/>
              </w:rPr>
              <w:t>discount debentures, due 2007.............................</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378.3</w:t>
            </w:r>
          </w:p>
        </w:tc>
      </w:tr>
      <w:tr>
        <w:trPr>
          <w:trHeight w:val="171"/>
        </w:trPr>
        <w:tc>
          <w:tcPr>
            <w:tcW w:w="5500" w:type="dxa"/>
            <w:vAlign w:val="bottom"/>
            <w:gridSpan w:val="6"/>
          </w:tcPr>
          <w:p>
            <w:pPr>
              <w:ind w:left="260"/>
              <w:spacing w:after="0"/>
              <w:rPr>
                <w:sz w:val="20"/>
                <w:szCs w:val="20"/>
                <w:color w:val="auto"/>
              </w:rPr>
            </w:pPr>
            <w:r>
              <w:rPr>
                <w:rFonts w:ascii="Courier New" w:cs="Courier New" w:eastAsia="Courier New" w:hAnsi="Courier New"/>
                <w:sz w:val="15"/>
                <w:szCs w:val="15"/>
                <w:color w:val="auto"/>
                <w:w w:val="80"/>
              </w:rPr>
              <w:t>10-1/4% Senior subordinated debentures, due 2001........................</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9-3/8% Senior</w:t>
            </w:r>
          </w:p>
        </w:tc>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76"/>
              </w:rPr>
              <w:t>subordinated debentures, due 2005.........................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234.1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234.1</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9-1/8% Senior</w:t>
            </w:r>
          </w:p>
        </w:tc>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76"/>
              </w:rPr>
              <w:t>subordinated debentures, due 2006.........................</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1"/>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9-1/2% Senior</w:t>
            </w:r>
          </w:p>
        </w:tc>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76"/>
              </w:rPr>
              <w:t>subordinated debentures, due 2008.........................</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500" w:type="dxa"/>
            <w:vAlign w:val="bottom"/>
            <w:gridSpan w:val="6"/>
          </w:tcPr>
          <w:p>
            <w:pPr>
              <w:ind w:left="260"/>
              <w:spacing w:after="0"/>
              <w:rPr>
                <w:sz w:val="20"/>
                <w:szCs w:val="20"/>
                <w:color w:val="auto"/>
              </w:rPr>
            </w:pPr>
            <w:r>
              <w:rPr>
                <w:rFonts w:ascii="Courier New" w:cs="Courier New" w:eastAsia="Courier New" w:hAnsi="Courier New"/>
                <w:sz w:val="15"/>
                <w:szCs w:val="15"/>
                <w:color w:val="auto"/>
                <w:w w:val="80"/>
              </w:rPr>
              <w:t>10-5/8% Senior subordinated debentures, due 2012........................</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630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2"/>
              </w:rPr>
              <w:t>1-1/8% Discount convertible subordinated debentures, due 2007...........</w:t>
            </w:r>
          </w:p>
        </w:tc>
        <w:tc>
          <w:tcPr>
            <w:tcW w:w="2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355.9</w:t>
            </w:r>
          </w:p>
        </w:tc>
      </w:tr>
      <w:tr>
        <w:trPr>
          <w:trHeight w:val="171"/>
        </w:trPr>
        <w:tc>
          <w:tcPr>
            <w:tcW w:w="36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7% Disney Notes, due 2007 (see Note 3)</w:t>
            </w:r>
          </w:p>
        </w:tc>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132.8</w:t>
            </w:r>
          </w:p>
        </w:tc>
      </w:tr>
      <w:tr>
        <w:trPr>
          <w:trHeight w:val="171"/>
        </w:trPr>
        <w:tc>
          <w:tcPr>
            <w:tcW w:w="576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84"/>
              </w:rPr>
              <w:t>Other debt, due in installments principally through 2000................</w:t>
            </w: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5,577.7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5,466.4</w:t>
            </w:r>
          </w:p>
        </w:tc>
      </w:tr>
      <w:tr>
        <w:trPr>
          <w:trHeight w:val="171"/>
        </w:trPr>
        <w:tc>
          <w:tcPr>
            <w:tcW w:w="3620" w:type="dxa"/>
            <w:vAlign w:val="bottom"/>
            <w:gridSpan w:val="4"/>
          </w:tcPr>
          <w:p>
            <w:pPr>
              <w:ind w:left="260"/>
              <w:spacing w:after="0"/>
              <w:rPr>
                <w:sz w:val="20"/>
                <w:szCs w:val="20"/>
                <w:color w:val="auto"/>
              </w:rPr>
            </w:pPr>
            <w:r>
              <w:rPr>
                <w:rFonts w:ascii="Courier New" w:cs="Courier New" w:eastAsia="Courier New" w:hAnsi="Courier New"/>
                <w:sz w:val="11"/>
                <w:szCs w:val="11"/>
                <w:color w:val="auto"/>
                <w:w w:val="70"/>
              </w:rPr>
              <w:t>Less current portion....................................................</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132.3</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$5,464.2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$5,334.1</w:t>
            </w:r>
          </w:p>
        </w:tc>
      </w:tr>
      <w:tr>
        <w:trPr>
          <w:trHeight w:val="171"/>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Maturities of</w:t>
            </w:r>
          </w:p>
        </w:tc>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rPr>
              <w:t>long-term debt outstanding as of December 31, 1998 for the four</w:t>
            </w:r>
          </w:p>
        </w:tc>
        <w:tc>
          <w:tcPr>
            <w:tcW w:w="1160" w:type="dxa"/>
            <w:vAlign w:val="bottom"/>
          </w:tcPr>
          <w:p>
            <w:pPr>
              <w:spacing w:after="0"/>
              <w:rPr>
                <w:sz w:val="24"/>
                <w:szCs w:val="24"/>
                <w:color w:val="auto"/>
              </w:rPr>
            </w:pPr>
          </w:p>
        </w:tc>
      </w:tr>
      <w:tr>
        <w:trPr>
          <w:trHeight w:val="171"/>
        </w:trPr>
        <w:tc>
          <w:tcPr>
            <w:tcW w:w="550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years after 1999 are as follows (dollars in millions):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2840" w:type="dxa"/>
            <w:vAlign w:val="bottom"/>
            <w:gridSpan w:val="3"/>
          </w:tcPr>
          <w:p>
            <w:pPr>
              <w:ind w:left="780"/>
              <w:spacing w:after="0"/>
              <w:rPr>
                <w:sz w:val="20"/>
                <w:szCs w:val="20"/>
                <w:color w:val="auto"/>
              </w:rPr>
            </w:pPr>
            <w:r>
              <w:rPr>
                <w:rFonts w:ascii="Courier New" w:cs="Courier New" w:eastAsia="Courier New" w:hAnsi="Courier New"/>
                <w:sz w:val="8"/>
                <w:szCs w:val="8"/>
                <w:color w:val="auto"/>
                <w:w w:val="80"/>
              </w:rPr>
              <w:t>2000.................................................</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2"/>
          </w:tcPr>
          <w:p>
            <w:pPr>
              <w:jc w:val="right"/>
              <w:ind w:right="1966"/>
              <w:spacing w:after="0"/>
              <w:rPr>
                <w:sz w:val="20"/>
                <w:szCs w:val="20"/>
                <w:color w:val="auto"/>
              </w:rPr>
            </w:pPr>
            <w:r>
              <w:rPr>
                <w:rFonts w:ascii="Courier New" w:cs="Courier New" w:eastAsia="Courier New" w:hAnsi="Courier New"/>
                <w:sz w:val="15"/>
                <w:szCs w:val="15"/>
                <w:color w:val="auto"/>
              </w:rPr>
              <w:t>$204.2</w:t>
            </w:r>
          </w:p>
        </w:tc>
        <w:tc>
          <w:tcPr>
            <w:tcW w:w="1160" w:type="dxa"/>
            <w:vAlign w:val="bottom"/>
          </w:tcPr>
          <w:p>
            <w:pPr>
              <w:spacing w:after="0"/>
              <w:rPr>
                <w:sz w:val="24"/>
                <w:szCs w:val="24"/>
                <w:color w:val="auto"/>
              </w:rPr>
            </w:pPr>
          </w:p>
        </w:tc>
      </w:tr>
      <w:tr>
        <w:trPr>
          <w:trHeight w:val="171"/>
        </w:trPr>
        <w:tc>
          <w:tcPr>
            <w:tcW w:w="2840" w:type="dxa"/>
            <w:vAlign w:val="bottom"/>
            <w:gridSpan w:val="3"/>
          </w:tcPr>
          <w:p>
            <w:pPr>
              <w:ind w:left="780"/>
              <w:spacing w:after="0"/>
              <w:rPr>
                <w:sz w:val="20"/>
                <w:szCs w:val="20"/>
                <w:color w:val="auto"/>
              </w:rPr>
            </w:pPr>
            <w:r>
              <w:rPr>
                <w:rFonts w:ascii="Courier New" w:cs="Courier New" w:eastAsia="Courier New" w:hAnsi="Courier New"/>
                <w:sz w:val="8"/>
                <w:szCs w:val="8"/>
                <w:color w:val="auto"/>
                <w:w w:val="80"/>
              </w:rPr>
              <w:t>2001.................................................</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2"/>
          </w:tcPr>
          <w:p>
            <w:pPr>
              <w:jc w:val="right"/>
              <w:ind w:right="1966"/>
              <w:spacing w:after="0"/>
              <w:rPr>
                <w:sz w:val="20"/>
                <w:szCs w:val="20"/>
                <w:color w:val="auto"/>
              </w:rPr>
            </w:pPr>
            <w:r>
              <w:rPr>
                <w:rFonts w:ascii="Courier New" w:cs="Courier New" w:eastAsia="Courier New" w:hAnsi="Courier New"/>
                <w:sz w:val="15"/>
                <w:szCs w:val="15"/>
                <w:color w:val="auto"/>
              </w:rPr>
              <w:t>550.5</w:t>
            </w:r>
          </w:p>
        </w:tc>
        <w:tc>
          <w:tcPr>
            <w:tcW w:w="1160" w:type="dxa"/>
            <w:vAlign w:val="bottom"/>
          </w:tcPr>
          <w:p>
            <w:pPr>
              <w:spacing w:after="0"/>
              <w:rPr>
                <w:sz w:val="14"/>
                <w:szCs w:val="14"/>
                <w:color w:val="auto"/>
              </w:rPr>
            </w:pPr>
          </w:p>
        </w:tc>
      </w:tr>
      <w:tr>
        <w:trPr>
          <w:trHeight w:val="171"/>
        </w:trPr>
        <w:tc>
          <w:tcPr>
            <w:tcW w:w="2840" w:type="dxa"/>
            <w:vAlign w:val="bottom"/>
            <w:gridSpan w:val="3"/>
          </w:tcPr>
          <w:p>
            <w:pPr>
              <w:ind w:left="780"/>
              <w:spacing w:after="0"/>
              <w:rPr>
                <w:sz w:val="20"/>
                <w:szCs w:val="20"/>
                <w:color w:val="auto"/>
              </w:rPr>
            </w:pPr>
            <w:r>
              <w:rPr>
                <w:rFonts w:ascii="Courier New" w:cs="Courier New" w:eastAsia="Courier New" w:hAnsi="Courier New"/>
                <w:sz w:val="8"/>
                <w:szCs w:val="8"/>
                <w:color w:val="auto"/>
                <w:w w:val="80"/>
              </w:rPr>
              <w:t>2002.................................................</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2"/>
          </w:tcPr>
          <w:p>
            <w:pPr>
              <w:jc w:val="right"/>
              <w:ind w:right="1966"/>
              <w:spacing w:after="0"/>
              <w:rPr>
                <w:sz w:val="20"/>
                <w:szCs w:val="20"/>
                <w:color w:val="auto"/>
              </w:rPr>
            </w:pPr>
            <w:r>
              <w:rPr>
                <w:rFonts w:ascii="Courier New" w:cs="Courier New" w:eastAsia="Courier New" w:hAnsi="Courier New"/>
                <w:sz w:val="15"/>
                <w:szCs w:val="15"/>
                <w:color w:val="auto"/>
              </w:rPr>
              <w:t>476.1</w:t>
            </w:r>
          </w:p>
        </w:tc>
        <w:tc>
          <w:tcPr>
            <w:tcW w:w="1160" w:type="dxa"/>
            <w:vAlign w:val="bottom"/>
          </w:tcPr>
          <w:p>
            <w:pPr>
              <w:spacing w:after="0"/>
              <w:rPr>
                <w:sz w:val="14"/>
                <w:szCs w:val="14"/>
                <w:color w:val="auto"/>
              </w:rPr>
            </w:pPr>
          </w:p>
        </w:tc>
      </w:tr>
      <w:tr>
        <w:trPr>
          <w:trHeight w:val="171"/>
        </w:trPr>
        <w:tc>
          <w:tcPr>
            <w:tcW w:w="2840" w:type="dxa"/>
            <w:vAlign w:val="bottom"/>
            <w:gridSpan w:val="3"/>
          </w:tcPr>
          <w:p>
            <w:pPr>
              <w:ind w:left="780"/>
              <w:spacing w:after="0"/>
              <w:rPr>
                <w:sz w:val="20"/>
                <w:szCs w:val="20"/>
                <w:color w:val="auto"/>
              </w:rPr>
            </w:pPr>
            <w:r>
              <w:rPr>
                <w:rFonts w:ascii="Courier New" w:cs="Courier New" w:eastAsia="Courier New" w:hAnsi="Courier New"/>
                <w:sz w:val="8"/>
                <w:szCs w:val="8"/>
                <w:color w:val="auto"/>
                <w:w w:val="80"/>
              </w:rPr>
              <w:t>2003.................................................</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2"/>
          </w:tcPr>
          <w:p>
            <w:pPr>
              <w:jc w:val="right"/>
              <w:ind w:right="1966"/>
              <w:spacing w:after="0"/>
              <w:rPr>
                <w:sz w:val="20"/>
                <w:szCs w:val="20"/>
                <w:color w:val="auto"/>
              </w:rPr>
            </w:pPr>
            <w:r>
              <w:rPr>
                <w:rFonts w:ascii="Courier New" w:cs="Courier New" w:eastAsia="Courier New" w:hAnsi="Courier New"/>
                <w:sz w:val="15"/>
                <w:szCs w:val="15"/>
                <w:color w:val="auto"/>
              </w:rPr>
              <w:t>527.8</w:t>
            </w:r>
          </w:p>
        </w:tc>
        <w:tc>
          <w:tcPr>
            <w:tcW w:w="1160" w:type="dxa"/>
            <w:vAlign w:val="bottom"/>
          </w:tcPr>
          <w:p>
            <w:pPr>
              <w:spacing w:after="0"/>
              <w:rPr>
                <w:sz w:val="14"/>
                <w:szCs w:val="14"/>
                <w:color w:val="auto"/>
              </w:rPr>
            </w:pPr>
          </w:p>
        </w:tc>
      </w:tr>
      <w:tr>
        <w:trPr>
          <w:trHeight w:val="341"/>
        </w:trPr>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Cable Notes</w:t>
            </w: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 November</w:t>
            </w:r>
          </w:p>
        </w:tc>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1998, Comcast Cable  Communications,</w:t>
            </w:r>
          </w:p>
        </w:tc>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Inc. ("Comcast</w:t>
            </w:r>
          </w:p>
        </w:tc>
        <w:tc>
          <w:tcPr>
            <w:tcW w:w="212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6"/>
              </w:rPr>
              <w:t>Cable"),a</w:t>
            </w:r>
          </w:p>
        </w:tc>
        <w:tc>
          <w:tcPr>
            <w:tcW w:w="1160" w:type="dxa"/>
            <w:vAlign w:val="bottom"/>
          </w:tcPr>
          <w:p>
            <w:pPr>
              <w:spacing w:after="0"/>
              <w:rPr>
                <w:sz w:val="14"/>
                <w:szCs w:val="14"/>
                <w:color w:val="auto"/>
              </w:rPr>
            </w:pPr>
          </w:p>
        </w:tc>
      </w:tr>
      <w:tr>
        <w:trPr>
          <w:trHeight w:val="171"/>
        </w:trPr>
        <w:tc>
          <w:tcPr>
            <w:tcW w:w="48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wholly  owned  subsidiary  of the  Company,  sold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2920" w:type="dxa"/>
            <w:vAlign w:val="bottom"/>
            <w:gridSpan w:val="3"/>
          </w:tcPr>
          <w:p>
            <w:pPr>
              <w:jc w:val="right"/>
              <w:ind w:right="1246"/>
              <w:spacing w:after="0"/>
              <w:rPr>
                <w:sz w:val="20"/>
                <w:szCs w:val="20"/>
                <w:color w:val="auto"/>
              </w:rPr>
            </w:pPr>
            <w:r>
              <w:rPr>
                <w:rFonts w:ascii="Courier New" w:cs="Courier New" w:eastAsia="Courier New" w:hAnsi="Courier New"/>
                <w:sz w:val="15"/>
                <w:szCs w:val="15"/>
                <w:color w:val="auto"/>
              </w:rPr>
              <w:t>million of 6.20%</w:t>
            </w:r>
          </w:p>
        </w:tc>
        <w:tc>
          <w:tcPr>
            <w:tcW w:w="1160" w:type="dxa"/>
            <w:vAlign w:val="bottom"/>
          </w:tcPr>
          <w:p>
            <w:pPr>
              <w:spacing w:after="0"/>
              <w:rPr>
                <w:sz w:val="14"/>
                <w:szCs w:val="14"/>
                <w:color w:val="auto"/>
              </w:rPr>
            </w:pPr>
          </w:p>
        </w:tc>
      </w:tr>
      <w:tr>
        <w:trPr>
          <w:trHeight w:val="171"/>
        </w:trPr>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nonrecourse</w:t>
            </w:r>
          </w:p>
        </w:tc>
        <w:tc>
          <w:tcPr>
            <w:tcW w:w="2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public debt due 2008.</w:t>
            </w:r>
          </w:p>
        </w:tc>
        <w:tc>
          <w:tcPr>
            <w:tcW w:w="4800" w:type="dxa"/>
            <w:vAlign w:val="bottom"/>
            <w:gridSpan w:val="5"/>
          </w:tcPr>
          <w:p>
            <w:pPr>
              <w:jc w:val="right"/>
              <w:ind w:right="1246"/>
              <w:spacing w:after="0"/>
              <w:rPr>
                <w:sz w:val="20"/>
                <w:szCs w:val="20"/>
                <w:color w:val="auto"/>
              </w:rPr>
            </w:pPr>
            <w:r>
              <w:rPr>
                <w:rFonts w:ascii="Courier New" w:cs="Courier New" w:eastAsia="Courier New" w:hAnsi="Courier New"/>
                <w:sz w:val="15"/>
                <w:szCs w:val="15"/>
                <w:color w:val="auto"/>
                <w:w w:val="98"/>
              </w:rPr>
              <w:t>Comcast Cable used substantially all of</w:t>
            </w:r>
          </w:p>
        </w:tc>
        <w:tc>
          <w:tcPr>
            <w:tcW w:w="1160" w:type="dxa"/>
            <w:vAlign w:val="bottom"/>
          </w:tcPr>
          <w:p>
            <w:pPr>
              <w:spacing w:after="0"/>
              <w:rPr>
                <w:sz w:val="14"/>
                <w:szCs w:val="14"/>
                <w:color w:val="auto"/>
              </w:rPr>
            </w:pPr>
          </w:p>
        </w:tc>
      </w:tr>
      <w:tr>
        <w:trPr>
          <w:trHeight w:val="171"/>
        </w:trPr>
        <w:tc>
          <w:tcPr>
            <w:tcW w:w="5760" w:type="dxa"/>
            <w:vAlign w:val="bottom"/>
            <w:gridSpan w:val="7"/>
          </w:tcPr>
          <w:p>
            <w:pPr>
              <w:ind w:left="440"/>
              <w:spacing w:after="0"/>
              <w:rPr>
                <w:sz w:val="20"/>
                <w:szCs w:val="20"/>
                <w:color w:val="auto"/>
              </w:rPr>
            </w:pPr>
            <w:r>
              <w:rPr>
                <w:rFonts w:ascii="Courier New" w:cs="Courier New" w:eastAsia="Courier New" w:hAnsi="Courier New"/>
                <w:sz w:val="15"/>
                <w:szCs w:val="15"/>
                <w:color w:val="auto"/>
                <w:w w:val="98"/>
              </w:rPr>
              <w:t>the  net  proceeds  from  the  offering  to  repay  existing</w:t>
            </w:r>
          </w:p>
        </w:tc>
        <w:tc>
          <w:tcPr>
            <w:tcW w:w="266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intercompany</w:t>
            </w:r>
          </w:p>
        </w:tc>
        <w:tc>
          <w:tcPr>
            <w:tcW w:w="1160" w:type="dxa"/>
            <w:vAlign w:val="bottom"/>
          </w:tcPr>
          <w:p>
            <w:pPr>
              <w:spacing w:after="0"/>
              <w:rPr>
                <w:sz w:val="14"/>
                <w:szCs w:val="14"/>
                <w:color w:val="auto"/>
              </w:rPr>
            </w:pPr>
          </w:p>
        </w:tc>
      </w:tr>
      <w:tr>
        <w:trPr>
          <w:trHeight w:val="171"/>
        </w:trPr>
        <w:tc>
          <w:tcPr>
            <w:tcW w:w="6300" w:type="dxa"/>
            <w:vAlign w:val="bottom"/>
            <w:gridSpan w:val="8"/>
          </w:tcPr>
          <w:p>
            <w:pPr>
              <w:ind w:left="440"/>
              <w:spacing w:after="0"/>
              <w:rPr>
                <w:sz w:val="20"/>
                <w:szCs w:val="20"/>
                <w:color w:val="auto"/>
              </w:rPr>
            </w:pPr>
            <w:r>
              <w:rPr>
                <w:rFonts w:ascii="Courier New" w:cs="Courier New" w:eastAsia="Courier New" w:hAnsi="Courier New"/>
                <w:sz w:val="15"/>
                <w:szCs w:val="15"/>
                <w:color w:val="auto"/>
              </w:rPr>
              <w:t>borrowings to the Company and for general corporate purposes.</w:t>
            </w:r>
          </w:p>
        </w:tc>
        <w:tc>
          <w:tcPr>
            <w:tcW w:w="2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In May 1997,</w:t>
            </w:r>
          </w:p>
        </w:tc>
        <w:tc>
          <w:tcPr>
            <w:tcW w:w="3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Comcast  Cable sold a total of $1.7</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billion</w:t>
            </w:r>
          </w:p>
        </w:tc>
        <w:tc>
          <w:tcPr>
            <w:tcW w:w="266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w w:val="97"/>
              </w:rPr>
              <w:t>of  nonrecourse</w:t>
            </w:r>
          </w:p>
        </w:tc>
        <w:tc>
          <w:tcPr>
            <w:tcW w:w="1160" w:type="dxa"/>
            <w:vAlign w:val="bottom"/>
          </w:tcPr>
          <w:p>
            <w:pPr>
              <w:spacing w:after="0"/>
              <w:rPr>
                <w:sz w:val="24"/>
                <w:szCs w:val="24"/>
                <w:color w:val="auto"/>
              </w:rPr>
            </w:pPr>
          </w:p>
        </w:tc>
      </w:tr>
      <w:tr>
        <w:trPr>
          <w:trHeight w:val="171"/>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public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with interest</w:t>
            </w:r>
          </w:p>
        </w:tc>
        <w:tc>
          <w:tcPr>
            <w:tcW w:w="3460" w:type="dxa"/>
            <w:vAlign w:val="bottom"/>
            <w:gridSpan w:val="5"/>
          </w:tcPr>
          <w:p>
            <w:pPr>
              <w:spacing w:after="0"/>
              <w:rPr>
                <w:sz w:val="20"/>
                <w:szCs w:val="20"/>
                <w:color w:val="auto"/>
              </w:rPr>
            </w:pPr>
            <w:r>
              <w:rPr>
                <w:rFonts w:ascii="Courier New" w:cs="Courier New" w:eastAsia="Courier New" w:hAnsi="Courier New"/>
                <w:sz w:val="15"/>
                <w:szCs w:val="15"/>
                <w:color w:val="auto"/>
                <w:w w:val="97"/>
              </w:rPr>
              <w:t>rates ranging from 8 1/8% to 8 7/8% and</w:t>
            </w:r>
          </w:p>
        </w:tc>
        <w:tc>
          <w:tcPr>
            <w:tcW w:w="212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maturity</w:t>
            </w:r>
          </w:p>
        </w:tc>
        <w:tc>
          <w:tcPr>
            <w:tcW w:w="1160" w:type="dxa"/>
            <w:vAlign w:val="bottom"/>
          </w:tcPr>
          <w:p>
            <w:pPr>
              <w:spacing w:after="0"/>
              <w:rPr>
                <w:sz w:val="14"/>
                <w:szCs w:val="14"/>
                <w:color w:val="auto"/>
              </w:rPr>
            </w:pPr>
          </w:p>
        </w:tc>
      </w:tr>
      <w:tr>
        <w:trPr>
          <w:trHeight w:val="171"/>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dates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2004 to 2027.</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Cable  used the net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proceeds</w:t>
            </w:r>
          </w:p>
        </w:tc>
        <w:tc>
          <w:tcPr>
            <w:tcW w:w="212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from the</w:t>
            </w:r>
          </w:p>
        </w:tc>
        <w:tc>
          <w:tcPr>
            <w:tcW w:w="1160" w:type="dxa"/>
            <w:vAlign w:val="bottom"/>
          </w:tcPr>
          <w:p>
            <w:pPr>
              <w:spacing w:after="0"/>
              <w:rPr>
                <w:sz w:val="14"/>
                <w:szCs w:val="14"/>
                <w:color w:val="auto"/>
              </w:rPr>
            </w:pPr>
          </w:p>
        </w:tc>
      </w:tr>
    </w:tbl>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 to repay existing borrowings by their subsidiaries.</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Cable Notes are unsecured and unsubordinated obligations of Comcast Cable and rank pari passu with all other unsecured and unsubordinated indebtedness and other obligations of Comcast Cable. The Cable Notes are effectively subordinated to all liabilities of Comcast Cable's subsidiaries, including trade payables. The Cable Notes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45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are obligations only of Comcast Cable and are not guaranteed by and do not otherwise constitute obligations of the Company.</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indenture for the Cable Notes, among other things, contains restrictions (with certain exceptions) on the ability of Comcast Cable and its Restricted Subsidiaries (as defined) to: (i) make dividend payments or other restricted payments; (ii) create liens or enter into sale and leaseback transactions; and (iii) enter into mergers, consolidations, or sales of all or substantially all of their assets.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Redemption of 1 1/8% Debentures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 Company's Class A Special Common Stock upon conversion of the 1 1/8% Debentures had no impact on the Company's consolidated statement of cash flows due its noncash nature.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Items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Extraordinary items for the years ended December 31, 1998, 1997 and 1996 of $4.2 million, $30.2 million and $1.0 million, respectively, consist of unamortized debt acquisition costs and debt extinguishment costs, net of related tax benefits, expensed principally in connection with the redemption and refinancing of certain indebtedness.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fixed interest rate on notes payable to insurance companies was 8.6% as of December 31, 1998. Bank debt interest rates vary based upon one or more of the following rates at the option of the Company:</w:t>
      </w:r>
    </w:p>
    <w:p>
      <w:pPr>
        <w:spacing w:after="0" w:line="172" w:lineRule="exact"/>
        <w:rPr>
          <w:sz w:val="20"/>
          <w:szCs w:val="20"/>
          <w:color w:val="auto"/>
        </w:rPr>
      </w:pPr>
    </w:p>
    <w:p>
      <w:pPr>
        <w:ind w:left="780"/>
        <w:spacing w:after="0"/>
        <w:tabs>
          <w:tab w:leader="none" w:pos="3080" w:val="left"/>
        </w:tabs>
        <w:rPr>
          <w:sz w:val="20"/>
          <w:szCs w:val="20"/>
          <w:color w:val="auto"/>
        </w:rPr>
      </w:pPr>
      <w:r>
        <w:rPr>
          <w:rFonts w:ascii="Courier New" w:cs="Courier New" w:eastAsia="Courier New" w:hAnsi="Courier New"/>
          <w:sz w:val="15"/>
          <w:szCs w:val="15"/>
          <w:color w:val="auto"/>
        </w:rPr>
        <w:t>Prime rate to prime plus</w:t>
      </w:r>
      <w:r>
        <w:rPr>
          <w:sz w:val="20"/>
          <w:szCs w:val="20"/>
          <w:color w:val="auto"/>
        </w:rPr>
        <w:tab/>
      </w:r>
      <w:r>
        <w:rPr>
          <w:rFonts w:ascii="Courier New" w:cs="Courier New" w:eastAsia="Courier New" w:hAnsi="Courier New"/>
          <w:sz w:val="14"/>
          <w:szCs w:val="14"/>
          <w:color w:val="auto"/>
        </w:rPr>
        <w:t>2.0%;</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Federal Funds rate plus 0.5% to 1.5%; and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LIBOR plus 0.375% to 1.875%.</w:t>
      </w:r>
    </w:p>
    <w:p>
      <w:pPr>
        <w:spacing w:after="0" w:line="17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As of December 31, 1998 and 1997, the Company's effective weighted average interest rate on its variable rate bank debt outstanding was 5.80% and 6.64%,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3" w:lineRule="exact"/>
        <w:rPr>
          <w:sz w:val="20"/>
          <w:szCs w:val="20"/>
          <w:color w:val="auto"/>
        </w:rPr>
      </w:pPr>
    </w:p>
    <w:p>
      <w:pPr>
        <w:jc w:val="both"/>
        <w:ind w:left="440" w:right="3119"/>
        <w:spacing w:after="0" w:line="261" w:lineRule="auto"/>
        <w:rPr>
          <w:sz w:val="20"/>
          <w:szCs w:val="20"/>
          <w:color w:val="auto"/>
        </w:rPr>
      </w:pPr>
      <w:r>
        <w:rPr>
          <w:rFonts w:ascii="Courier New" w:cs="Courier New" w:eastAsia="Courier New" w:hAnsi="Courier New"/>
          <w:sz w:val="14"/>
          <w:szCs w:val="14"/>
          <w:color w:val="auto"/>
        </w:rPr>
        <w:t>The Company is exposed to market risk including changes in interest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w:t>
      </w:r>
    </w:p>
    <w:p>
      <w:pPr>
        <w:spacing w:after="0" w:line="162"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use of interest rate risk management instruments, such as Swaps, Caps and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19"/>
          </w:cols>
          <w:pgMar w:left="240" w:top="45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620"/>
        <w:spacing w:after="0" w:line="238" w:lineRule="auto"/>
        <w:rPr>
          <w:sz w:val="20"/>
          <w:szCs w:val="20"/>
          <w:color w:val="auto"/>
        </w:rPr>
      </w:pPr>
      <w:r>
        <w:rPr>
          <w:rFonts w:ascii="Courier New" w:cs="Courier New" w:eastAsia="Courier New" w:hAnsi="Courier New"/>
          <w:sz w:val="15"/>
          <w:szCs w:val="15"/>
          <w:color w:val="auto"/>
        </w:rPr>
        <w:t>The following table summarizes the terms of the Company's existing Swaps, Caps and Collars as of December 31, 1998 and 1997 (dollars in millions):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Notional</w:t>
            </w:r>
          </w:p>
        </w:tc>
        <w:tc>
          <w:tcPr>
            <w:tcW w:w="1540" w:type="dxa"/>
            <w:vAlign w:val="bottom"/>
          </w:tcPr>
          <w:p>
            <w:pPr>
              <w:spacing w:after="0"/>
              <w:rPr>
                <w:sz w:val="14"/>
                <w:szCs w:val="14"/>
                <w:color w:val="auto"/>
              </w:rPr>
            </w:pPr>
          </w:p>
        </w:tc>
        <w:tc>
          <w:tcPr>
            <w:tcW w:w="148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302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Maturities</w:t>
            </w:r>
          </w:p>
        </w:tc>
        <w:tc>
          <w:tcPr>
            <w:tcW w:w="14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Interest Rate</w:t>
            </w:r>
          </w:p>
        </w:tc>
      </w:tr>
      <w:tr>
        <w:trPr>
          <w:trHeight w:val="341"/>
        </w:trPr>
        <w:tc>
          <w:tcPr>
            <w:tcW w:w="3020" w:type="dxa"/>
            <w:vAlign w:val="bottom"/>
          </w:tcPr>
          <w:p>
            <w:pPr>
              <w:spacing w:after="0"/>
              <w:rPr>
                <w:sz w:val="20"/>
                <w:szCs w:val="20"/>
                <w:color w:val="auto"/>
              </w:rPr>
            </w:pPr>
            <w:r>
              <w:rPr>
                <w:rFonts w:ascii="Courier New" w:cs="Courier New" w:eastAsia="Courier New" w:hAnsi="Courier New"/>
                <w:sz w:val="15"/>
                <w:szCs w:val="15"/>
                <w:color w:val="auto"/>
              </w:rPr>
              <w:t>As of December 31, 1998</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Variable to Fixed Swaps..........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$1,061.8</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1999-2008</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5.7%</w:t>
            </w: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Collar...........................</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4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6.3%/4.0%</w:t>
            </w:r>
          </w:p>
        </w:tc>
      </w:tr>
      <w:tr>
        <w:trPr>
          <w:trHeight w:val="341"/>
        </w:trPr>
        <w:tc>
          <w:tcPr>
            <w:tcW w:w="302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Variable to Fixed Swaps..........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$550.0</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1998-2000</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5.6%</w:t>
            </w: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6.7%</w:t>
            </w:r>
          </w:p>
        </w:tc>
      </w:t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Collar...........................</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7.0%/4.9%</w:t>
            </w:r>
          </w:p>
        </w:tc>
      </w:tr>
    </w:tbl>
    <w:p>
      <w:pPr>
        <w:spacing w:after="0" w:line="345"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1998, 1997 and 1996 was not significant.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3"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The Company's long-term debt had estimated fair values of $5.995 billion and $5.848 billion as of December 31, 1998 and 1997,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3"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178"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As of December 31, 1998, $258.5 million of the Company's cash, cash equivalents and short-term investments is restricted to use by subsidiaries of the Company under contractual or other arrangements. Restricted net assets of the Company's subsidiaries were approximately $2.5 billion as of December 31, 1998.</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3" w:lineRule="exact"/>
        <w:rPr>
          <w:sz w:val="20"/>
          <w:szCs w:val="20"/>
          <w:color w:val="auto"/>
        </w:rPr>
      </w:pPr>
    </w:p>
    <w:p>
      <w:pPr>
        <w:jc w:val="both"/>
        <w:ind w:left="440" w:right="620"/>
        <w:spacing w:after="0" w:line="239" w:lineRule="auto"/>
        <w:rPr>
          <w:sz w:val="20"/>
          <w:szCs w:val="20"/>
          <w:color w:val="auto"/>
        </w:rPr>
      </w:pPr>
      <w:r>
        <w:rPr>
          <w:rFonts w:ascii="Courier New" w:cs="Courier New" w:eastAsia="Courier New" w:hAnsi="Courier New"/>
          <w:sz w:val="15"/>
          <w:szCs w:val="15"/>
          <w:color w:val="auto"/>
        </w:rPr>
        <w:t>As of December 31, 1998, certain subsidiaries of the Company had unused lines of credit of $966.8 million, $366.8 million of which is restricted by the covenants of the related debt agreements and to subsidiary general purposes and dividend declaration.</w:t>
      </w:r>
    </w:p>
    <w:p>
      <w:pPr>
        <w:spacing w:after="0" w:line="176" w:lineRule="exact"/>
        <w:rPr>
          <w:sz w:val="20"/>
          <w:szCs w:val="20"/>
          <w:color w:val="auto"/>
        </w:rPr>
      </w:pPr>
    </w:p>
    <w:p>
      <w:pPr>
        <w:jc w:val="both"/>
        <w:ind w:left="440" w:right="620"/>
        <w:spacing w:after="0" w:line="239" w:lineRule="auto"/>
        <w:rPr>
          <w:sz w:val="20"/>
          <w:szCs w:val="20"/>
          <w:color w:val="auto"/>
        </w:rPr>
      </w:pPr>
      <w:r>
        <w:rPr>
          <w:rFonts w:ascii="Courier New" w:cs="Courier New" w:eastAsia="Courier New" w:hAnsi="Courier New"/>
          <w:sz w:val="15"/>
          <w:szCs w:val="15"/>
          <w:color w:val="auto"/>
        </w:rPr>
        <w:t>As of December 31, 1998, the Company and certain of its subsidiaries had unused irrevocable standby letters of credit totaling $121.6 million to cover potential fundings associated with several projects.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0.2</w:t>
      </w:r>
    </w:p>
    <w:p>
      <w:pPr>
        <w:sectPr>
          <w:pgSz w:w="11900" w:h="16838" w:orient="portrait"/>
          <w:cols w:equalWidth="0" w:num="2">
            <w:col w:w="7720" w:space="440"/>
            <w:col w:w="2059"/>
          </w:cols>
          <w:pgMar w:left="240" w:top="457" w:right="1440" w:bottom="1440" w:gutter="0" w:footer="0" w:header="0"/>
        </w:sectPr>
      </w:pPr>
    </w:p>
    <w:bookmarkStart w:id="55" w:name="page56"/>
    <w:bookmarkEnd w:id="55"/>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p>
      <w:pPr>
        <w:ind w:left="449" w:hanging="449"/>
        <w:spacing w:after="0"/>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(DEFICIENCY)</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(the "Board") shall from time to time fix by resolution.</w:t>
      </w:r>
    </w:p>
    <w:p>
      <w:pPr>
        <w:spacing w:after="0" w:line="175"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in connection with Microsoft's investment in the Company (see Note 3), the Company issued the Series B Preferred Stock. 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the Company's Class A Special Common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Common Stock or a combination thereof. As the Company currently intends to redeem the Series B Preferred Stock with Class A Special Common Stock upon redemption, the Series B Preferred Stock has been classified as a component of stockholders' equity as of December 31, 1998. The Series B Preferred Stock is generally non-voting.</w:t>
      </w:r>
    </w:p>
    <w:p>
      <w:pPr>
        <w:spacing w:after="0" w:line="186"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in connection with the Sports Venture Acquisition (see Note 3), the Company issued 6,370 shares of Series A Preferred Stock. Each holder of shares of the Series A Preferred Stock is entitled to receive cumulative cash dividends at the annual rate of $250 per share, payable quarterly in arrears. The Series A Preferred Stock is redeemable, at the option of the Company, beginning in July 1999 at a redemption price of $5,000 per share plus accrued and unpaid dividends, subject to certain conditions and conversion adjustments. The Series A Preferred Stock is convertible, at the option of the holder, into shares of the Company's Class A Special Common Stock at a ratio of 209.1175 shares of Class A Special Common Stock for each share of Series A Preferred Stock, subject to certain conditions. The holders of the Series A Preferred Stock are not entitled to any voting rights except as otherwise provided by the Company's Articles of Incorporation or by applicable law.</w:t>
      </w:r>
    </w:p>
    <w:p>
      <w:pPr>
        <w:spacing w:after="0" w:line="178"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Program</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trade date for stock repurchases, during the years ended December 31, 1998, 1997 and 1996, the Company repurchased 0.3 million shares, 2.3 million shares and 10.5 million shares, respectively, of its common stock for aggregate consideration of $12.9 million, $36.2 million and $180.0 million, respectively, pursuant to its Board-authorized repurchase programs.</w:t>
      </w:r>
    </w:p>
    <w:p>
      <w:pPr>
        <w:spacing w:after="0" w:line="175"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repurchase programs, the Company sold Comcast Put Options on 2.75 million, 2.0 million and 1.0 million shares, during the years ended December 31, 1998, 1997 and 1996, respectively.</w:t>
      </w:r>
    </w:p>
    <w:p>
      <w:pPr>
        <w:spacing w:after="0" w:line="175"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Put Options give the holder the right to require the Company to repurchase such shares at specified prices on specific dates. The Comcast Put Options sold during 1997 and 1996 expired unexercised. The amount the Company would be obligated to pay to repurchase such shares upon exercise of the Comcast Put Options,</w:t>
      </w:r>
    </w:p>
    <w:p>
      <w:pPr>
        <w:spacing w:after="0" w:line="17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w:t>
      </w:r>
    </w:p>
    <w:p>
      <w:pPr>
        <w:sectPr>
          <w:pgSz w:w="11900" w:h="16838" w:orient="portrait"/>
          <w:cols w:equalWidth="0" w:num="1">
            <w:col w:w="10228"/>
          </w:cols>
          <w:pgMar w:left="231" w:top="45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620"/>
        <w:spacing w:after="0" w:line="261" w:lineRule="auto"/>
        <w:rPr>
          <w:sz w:val="20"/>
          <w:szCs w:val="20"/>
          <w:color w:val="auto"/>
        </w:rPr>
      </w:pPr>
      <w:r>
        <w:rPr>
          <w:rFonts w:ascii="Courier New" w:cs="Courier New" w:eastAsia="Courier New" w:hAnsi="Courier New"/>
          <w:sz w:val="14"/>
          <w:szCs w:val="14"/>
          <w:color w:val="auto"/>
        </w:rPr>
        <w:t>totaling $111.2 million and $31.4 million, has been reclassified from additional capital to common equity put options in the Company's December 31, 1998 and 1997 consolidated balance sheet, respectively. The difference between the proceeds from the sale of these put options and their estimated fair value was not significant as of December 31, 1998 and 1997.</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3"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As of December 31, 1998,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4" w:lineRule="exact"/>
        <w:rPr>
          <w:sz w:val="20"/>
          <w:szCs w:val="20"/>
          <w:color w:val="auto"/>
        </w:rPr>
      </w:pPr>
    </w:p>
    <w:p>
      <w:pPr>
        <w:jc w:val="both"/>
        <w:ind w:left="440" w:right="620"/>
        <w:spacing w:after="0"/>
        <w:rPr>
          <w:sz w:val="20"/>
          <w:szCs w:val="20"/>
          <w:color w:val="auto"/>
        </w:rPr>
      </w:pPr>
      <w:r>
        <w:rPr>
          <w:rFonts w:ascii="Courier New" w:cs="Courier New" w:eastAsia="Courier New" w:hAnsi="Courier New"/>
          <w:sz w:val="15"/>
          <w:szCs w:val="15"/>
          <w:color w:val="auto"/>
        </w:rPr>
        <w:t>Comcast Option Plan.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 Under the Comcast Option Plan, 31.2 million shares of Class A Special Common Stock were reserved as of December 31, 1998. Option terms are generally from five to 10 1/2 years, with options generally becoming exercisable between two and 9 1/2 years from the date of grant.</w:t>
      </w:r>
    </w:p>
    <w:p>
      <w:pPr>
        <w:spacing w:after="0" w:line="177" w:lineRule="exact"/>
        <w:rPr>
          <w:sz w:val="20"/>
          <w:szCs w:val="20"/>
          <w:color w:val="auto"/>
        </w:rPr>
      </w:pPr>
    </w:p>
    <w:p>
      <w:pPr>
        <w:jc w:val="both"/>
        <w:ind w:left="440" w:right="620"/>
        <w:spacing w:after="0" w:line="239" w:lineRule="auto"/>
        <w:rPr>
          <w:sz w:val="20"/>
          <w:szCs w:val="20"/>
          <w:color w:val="auto"/>
        </w:rPr>
      </w:pPr>
      <w:r>
        <w:rPr>
          <w:rFonts w:ascii="Courier New" w:cs="Courier New" w:eastAsia="Courier New" w:hAnsi="Courier New"/>
          <w:sz w:val="15"/>
          <w:szCs w:val="15"/>
          <w:color w:val="auto"/>
        </w:rPr>
        <w:t>A summary of the activity of the Comcast Option Plan as of and for the years ended December 31, 1998, 1997 and 1996 is presented below (options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spacing w:after="0"/>
              <w:rPr>
                <w:sz w:val="14"/>
                <w:szCs w:val="14"/>
                <w:color w:val="auto"/>
              </w:rPr>
            </w:pPr>
          </w:p>
        </w:tc>
        <w:tc>
          <w:tcPr>
            <w:tcW w:w="116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4"/>
              </w:rPr>
              <w:t>1997</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Weighted-</w:t>
            </w:r>
          </w:p>
        </w:tc>
        <w:tc>
          <w:tcPr>
            <w:tcW w:w="840" w:type="dxa"/>
            <w:vAlign w:val="bottom"/>
          </w:tcPr>
          <w:p>
            <w:pPr>
              <w:spacing w:after="0"/>
              <w:rPr>
                <w:sz w:val="14"/>
                <w:szCs w:val="14"/>
                <w:color w:val="auto"/>
              </w:rPr>
            </w:pPr>
          </w:p>
        </w:tc>
        <w:tc>
          <w:tcPr>
            <w:tcW w:w="116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8"/>
              </w:rPr>
              <w:t>Weighted-</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8"/>
              </w:rPr>
              <w:t>Average</w:t>
            </w:r>
          </w:p>
        </w:tc>
        <w:tc>
          <w:tcPr>
            <w:tcW w:w="840" w:type="dxa"/>
            <w:vAlign w:val="bottom"/>
          </w:tcPr>
          <w:p>
            <w:pPr>
              <w:spacing w:after="0"/>
              <w:rPr>
                <w:sz w:val="14"/>
                <w:szCs w:val="14"/>
                <w:color w:val="auto"/>
              </w:rPr>
            </w:pPr>
          </w:p>
        </w:tc>
        <w:tc>
          <w:tcPr>
            <w:tcW w:w="116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84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Price</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Price</w:t>
            </w:r>
          </w:p>
        </w:tc>
      </w:tr>
      <w:tr>
        <w:trPr>
          <w:trHeight w:val="512"/>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16,110</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14,851</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$14.54</w:t>
            </w: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8,175</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33.06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2,599</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19.47</w:t>
            </w: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(1,985)</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9.95</w:t>
            </w: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Canceled..........................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21,501</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16,110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15.50</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Exercisable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7,695</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$14.59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7,693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$13.91</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Class A Common</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Canceled..........................</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Exercisable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2"/>
        </w:trPr>
        <w:tc>
          <w:tcPr>
            <w:tcW w:w="1320" w:type="dxa"/>
            <w:vAlign w:val="bottom"/>
          </w:tcPr>
          <w:p>
            <w:pPr>
              <w:spacing w:after="0"/>
              <w:rPr>
                <w:sz w:val="20"/>
                <w:szCs w:val="20"/>
                <w:color w:val="auto"/>
              </w:rPr>
            </w:pPr>
            <w:r>
              <w:rPr>
                <w:rFonts w:ascii="Courier New" w:cs="Courier New" w:eastAsia="Courier New" w:hAnsi="Courier New"/>
                <w:sz w:val="15"/>
                <w:szCs w:val="15"/>
                <w:color w:val="auto"/>
              </w:rPr>
              <w:t>Class B Common</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658</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5.70</w:t>
            </w: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Exercisable at</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512"/>
        </w:trPr>
        <w:tc>
          <w:tcPr>
            <w:tcW w:w="1320" w:type="dxa"/>
            <w:vAlign w:val="bottom"/>
          </w:tcPr>
          <w:p>
            <w:pPr>
              <w:spacing w:after="0"/>
              <w:rPr>
                <w:sz w:val="24"/>
                <w:szCs w:val="24"/>
                <w:color w:val="auto"/>
              </w:rPr>
            </w:pPr>
          </w:p>
        </w:tc>
        <w:tc>
          <w:tcPr>
            <w:tcW w:w="26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- 50 -</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1996</w:t>
      </w:r>
    </w:p>
    <w:p>
      <w:pPr>
        <w:spacing w:after="0" w:line="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Weighted-</w:t>
      </w:r>
    </w:p>
    <w:p>
      <w:pPr>
        <w:spacing w:after="0" w:line="9"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200" w:lineRule="exact"/>
        <w:rPr>
          <w:sz w:val="20"/>
          <w:szCs w:val="20"/>
          <w:color w:val="auto"/>
        </w:rPr>
      </w:pPr>
    </w:p>
    <w:p>
      <w:pPr>
        <w:spacing w:after="0" w:line="313" w:lineRule="exact"/>
        <w:rPr>
          <w:sz w:val="20"/>
          <w:szCs w:val="20"/>
          <w:color w:val="auto"/>
        </w:rPr>
      </w:pPr>
    </w:p>
    <w:p>
      <w:pPr>
        <w:ind w:left="80"/>
        <w:spacing w:after="0"/>
        <w:tabs>
          <w:tab w:leader="none" w:pos="1120" w:val="left"/>
        </w:tabs>
        <w:rPr>
          <w:sz w:val="20"/>
          <w:szCs w:val="20"/>
          <w:color w:val="auto"/>
        </w:rPr>
      </w:pPr>
      <w:r>
        <w:rPr>
          <w:rFonts w:ascii="Courier New" w:cs="Courier New" w:eastAsia="Courier New" w:hAnsi="Courier New"/>
          <w:sz w:val="15"/>
          <w:szCs w:val="15"/>
          <w:color w:val="auto"/>
        </w:rPr>
        <w:t>14,208</w:t>
      </w:r>
      <w:r>
        <w:rPr>
          <w:sz w:val="20"/>
          <w:szCs w:val="20"/>
          <w:color w:val="auto"/>
        </w:rPr>
        <w:tab/>
      </w:r>
      <w:r>
        <w:rPr>
          <w:rFonts w:ascii="Courier New" w:cs="Courier New" w:eastAsia="Courier New" w:hAnsi="Courier New"/>
          <w:sz w:val="15"/>
          <w:szCs w:val="15"/>
          <w:color w:val="auto"/>
        </w:rPr>
        <w:t>$14.25</w:t>
      </w:r>
    </w:p>
    <w:p>
      <w:pPr>
        <w:spacing w:after="0" w:line="1" w:lineRule="exact"/>
        <w:rPr>
          <w:sz w:val="20"/>
          <w:szCs w:val="20"/>
          <w:color w:val="auto"/>
        </w:rPr>
      </w:pPr>
    </w:p>
    <w:p>
      <w:pPr>
        <w:jc w:val="both"/>
        <w:ind w:left="180"/>
        <w:spacing w:after="0"/>
        <w:tabs>
          <w:tab w:leader="none" w:pos="1220" w:val="left"/>
        </w:tabs>
        <w:rPr>
          <w:sz w:val="20"/>
          <w:szCs w:val="20"/>
          <w:color w:val="auto"/>
        </w:rPr>
      </w:pPr>
      <w:r>
        <w:rPr>
          <w:rFonts w:ascii="Courier New" w:cs="Courier New" w:eastAsia="Courier New" w:hAnsi="Courier New"/>
          <w:sz w:val="15"/>
          <w:szCs w:val="15"/>
          <w:color w:val="auto"/>
        </w:rPr>
        <w:t>1,308</w:t>
      </w:r>
      <w:r>
        <w:rPr>
          <w:sz w:val="20"/>
          <w:szCs w:val="20"/>
          <w:color w:val="auto"/>
        </w:rPr>
        <w:tab/>
      </w:r>
      <w:r>
        <w:rPr>
          <w:rFonts w:ascii="Courier New" w:cs="Courier New" w:eastAsia="Courier New" w:hAnsi="Courier New"/>
          <w:sz w:val="15"/>
          <w:szCs w:val="15"/>
          <w:color w:val="auto"/>
        </w:rPr>
        <w:t>17.41</w:t>
      </w:r>
    </w:p>
    <w:p>
      <w:pPr>
        <w:spacing w:after="0" w:line="1" w:lineRule="exact"/>
        <w:rPr>
          <w:sz w:val="20"/>
          <w:szCs w:val="20"/>
          <w:color w:val="auto"/>
        </w:rPr>
      </w:pPr>
    </w:p>
    <w:p>
      <w:pPr>
        <w:ind w:left="1320" w:hanging="1058"/>
        <w:spacing w:after="0"/>
        <w:tabs>
          <w:tab w:leader="none" w:pos="13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8.72</w:t>
      </w:r>
    </w:p>
    <w:p>
      <w:pPr>
        <w:spacing w:after="0" w:line="3" w:lineRule="exact"/>
        <w:rPr>
          <w:sz w:val="20"/>
          <w:szCs w:val="20"/>
          <w:color w:val="auto"/>
        </w:rPr>
      </w:pPr>
    </w:p>
    <w:p>
      <w:pPr>
        <w:ind w:left="1240" w:hanging="978"/>
        <w:spacing w:after="0"/>
        <w:tabs>
          <w:tab w:leader="none" w:pos="12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16.08</w:t>
      </w:r>
    </w:p>
    <w:p>
      <w:pPr>
        <w:spacing w:after="0" w:line="9"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14,851</w:t>
      </w:r>
      <w:r>
        <w:rPr>
          <w:rFonts w:ascii="Courier New" w:cs="Courier New" w:eastAsia="Courier New" w:hAnsi="Courier New"/>
          <w:sz w:val="14"/>
          <w:szCs w:val="14"/>
          <w:color w:val="auto"/>
        </w:rPr>
        <w:t>14.54</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6,875$13.40</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left="360"/>
        <w:spacing w:after="0"/>
        <w:tabs>
          <w:tab w:leader="none" w:pos="1220" w:val="left"/>
        </w:tabs>
        <w:rPr>
          <w:sz w:val="20"/>
          <w:szCs w:val="20"/>
          <w:color w:val="auto"/>
        </w:rPr>
      </w:pPr>
      <w:r>
        <w:rPr>
          <w:rFonts w:ascii="Courier New" w:cs="Courier New" w:eastAsia="Courier New" w:hAnsi="Courier New"/>
          <w:sz w:val="15"/>
          <w:szCs w:val="15"/>
          <w:color w:val="auto"/>
        </w:rPr>
        <w:t>229</w:t>
      </w:r>
      <w:r>
        <w:rPr>
          <w:sz w:val="20"/>
          <w:szCs w:val="20"/>
          <w:color w:val="auto"/>
        </w:rPr>
        <w:tab/>
      </w:r>
      <w:r>
        <w:rPr>
          <w:rFonts w:ascii="Courier New" w:cs="Courier New" w:eastAsia="Courier New" w:hAnsi="Courier New"/>
          <w:sz w:val="15"/>
          <w:szCs w:val="15"/>
          <w:color w:val="auto"/>
        </w:rPr>
        <w:t>$4.87</w:t>
      </w:r>
    </w:p>
    <w:p>
      <w:pPr>
        <w:spacing w:after="0" w:line="1" w:lineRule="exact"/>
        <w:rPr>
          <w:sz w:val="20"/>
          <w:szCs w:val="20"/>
          <w:color w:val="auto"/>
        </w:rPr>
      </w:pPr>
    </w:p>
    <w:p>
      <w:pPr>
        <w:ind w:left="1320" w:hanging="1058"/>
        <w:spacing w:after="0"/>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4.87</w:t>
      </w:r>
    </w:p>
    <w:p>
      <w:pPr>
        <w:spacing w:after="0" w:line="17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left="360"/>
        <w:spacing w:after="0"/>
        <w:tabs>
          <w:tab w:leader="none" w:pos="1220" w:val="left"/>
        </w:tabs>
        <w:rPr>
          <w:sz w:val="20"/>
          <w:szCs w:val="20"/>
          <w:color w:val="auto"/>
        </w:rPr>
      </w:pPr>
      <w:r>
        <w:rPr>
          <w:rFonts w:ascii="Courier New" w:cs="Courier New" w:eastAsia="Courier New" w:hAnsi="Courier New"/>
          <w:sz w:val="15"/>
          <w:szCs w:val="15"/>
          <w:color w:val="auto"/>
        </w:rPr>
        <w:t>658</w:t>
      </w:r>
      <w:r>
        <w:rPr>
          <w:sz w:val="20"/>
          <w:szCs w:val="20"/>
          <w:color w:val="auto"/>
        </w:rPr>
        <w:tab/>
      </w:r>
      <w:r>
        <w:rPr>
          <w:rFonts w:ascii="Courier New" w:cs="Courier New" w:eastAsia="Courier New" w:hAnsi="Courier New"/>
          <w:sz w:val="15"/>
          <w:szCs w:val="15"/>
          <w:color w:val="auto"/>
        </w:rPr>
        <w:t>$5.70</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40" w:hanging="889"/>
        <w:spacing w:after="0"/>
        <w:tabs>
          <w:tab w:leader="none" w:pos="12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$5.70</w:t>
      </w:r>
    </w:p>
    <w:p>
      <w:pPr>
        <w:spacing w:after="0" w:line="9"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889"/>
        <w:spacing w:after="0"/>
        <w:tabs>
          <w:tab w:leader="none" w:pos="12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$5.70</w:t>
      </w:r>
    </w:p>
    <w:p>
      <w:pPr>
        <w:spacing w:after="0" w:line="9"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ectPr>
          <w:pgSz w:w="11900" w:h="16838" w:orient="portrait"/>
          <w:cols w:equalWidth="0" w:num="2">
            <w:col w:w="7720" w:space="440"/>
            <w:col w:w="2059"/>
          </w:cols>
          <w:pgMar w:left="240" w:top="45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summarizes information about the Class A Special Common Stock options outstanding under the Comcast Option Plan as of December 31, 1998 (options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560" w:type="dxa"/>
            <w:vAlign w:val="bottom"/>
          </w:tcPr>
          <w:p>
            <w:pPr>
              <w:spacing w:after="0"/>
              <w:rPr>
                <w:sz w:val="14"/>
                <w:szCs w:val="14"/>
                <w:color w:val="auto"/>
              </w:rPr>
            </w:pPr>
          </w:p>
        </w:tc>
        <w:tc>
          <w:tcPr>
            <w:tcW w:w="2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Range of</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Number</w:t>
            </w:r>
          </w:p>
        </w:tc>
        <w:tc>
          <w:tcPr>
            <w:tcW w:w="18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Average</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Weighted-</w:t>
            </w: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Number</w:t>
            </w:r>
          </w:p>
        </w:tc>
        <w:tc>
          <w:tcPr>
            <w:tcW w:w="14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Weighted-</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Remaining</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Exercisable</w:t>
            </w:r>
          </w:p>
        </w:tc>
        <w:tc>
          <w:tcPr>
            <w:tcW w:w="14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10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at 12/31/98</w:t>
            </w:r>
          </w:p>
        </w:tc>
        <w:tc>
          <w:tcPr>
            <w:tcW w:w="18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Contractual Life</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Exercise Price</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at 12/31/98</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Exercise Price</w:t>
            </w: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$6.22 to $12.08</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$8.78</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2,916</w:t>
            </w:r>
          </w:p>
        </w:tc>
        <w:tc>
          <w:tcPr>
            <w:tcW w:w="14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7"/>
              </w:rPr>
              <w:t>$8.62</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$13.42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to $18.38</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9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15.89</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1,198</w:t>
            </w:r>
          </w:p>
        </w:tc>
        <w:tc>
          <w:tcPr>
            <w:tcW w:w="14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7"/>
              </w:rPr>
              <w:t>14.45</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$18.63</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to $32.86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22.65</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3,581</w:t>
            </w:r>
          </w:p>
        </w:tc>
        <w:tc>
          <w:tcPr>
            <w:tcW w:w="14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7"/>
              </w:rPr>
              <w:t>19.50</w:t>
            </w:r>
          </w:p>
        </w:tc>
      </w:tr>
      <w:tr>
        <w:trPr>
          <w:trHeight w:val="171"/>
        </w:trPr>
        <w:tc>
          <w:tcPr>
            <w:tcW w:w="580" w:type="dxa"/>
            <w:vAlign w:val="bottom"/>
          </w:tcPr>
          <w:p>
            <w:pPr>
              <w:spacing w:after="0"/>
              <w:rPr>
                <w:sz w:val="20"/>
                <w:szCs w:val="20"/>
                <w:color w:val="auto"/>
              </w:rPr>
            </w:pPr>
            <w:r>
              <w:rPr>
                <w:rFonts w:ascii="Courier New" w:cs="Courier New" w:eastAsia="Courier New" w:hAnsi="Courier New"/>
                <w:sz w:val="15"/>
                <w:szCs w:val="15"/>
                <w:color w:val="auto"/>
              </w:rPr>
              <w:t>$33.88</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to $55.19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9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34.40</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21,501</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7,695</w:t>
            </w:r>
          </w:p>
        </w:tc>
        <w:tc>
          <w:tcPr>
            <w:tcW w:w="142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r>
    </w:tbl>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weighted-average fair value at date of grant of a Class A Special Common Stock option granted under the Comcast Option Plan during 1998, 1997 and 1996 was $17.07, $10.18 and $9.71, respectively. The fair value of each option grant is estimated on the date of grant using the Black-Scholes option-pricing model with the following weighted-average assumptions: dividend yield of .44%, .52% and .53% for 1998, 1997 and 1996, respectively; expected volatility of 31.3%, 30.1% and 34.9% for 1998, 1997 and 1996, respectively; risk-free interest rate of 5.6%, 6.5% and 6.8% for 1998, 1997 and 1996, respectively; expected option lives of 9.9 years for all years; and a forfeiture rate of 3.0% for all years.</w:t>
      </w:r>
    </w:p>
    <w:p>
      <w:pPr>
        <w:spacing w:after="0" w:line="178"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QVC Tandem Plan. QVC established a qualified and nonqualified combination stock option/Stock Appreciation Rights ("SAR") plan (collectively, the "QVC Tandem Plan") during 1995 for employees, officers, directors and other persons designated by the Compensation Committee of QVC's Board of Directors. Under the QVC Tandem Plan, the option price is generally not less than the fair value, as determined by an independent appraisal, of a share of the underlying common stock of QVC (the "QVC Common Stock") at the date of grant. As of the latest valuation date, the fair value of a share of QVC Common Stock was $741.79. If the SAR feature of the QVC Tandem Plan is elected by the eligible participant, the participant receives 75% of the excess of the fair value of a share of QVC Common Stock over the exercise price of the option to which it is attached at the exercise date. Option holders have stated an intention not to exercise the SAR feature of the QVC Tandem Plan. Because the exercise of the option component is more likely than the exercise of the SAR feature, compensation expense is measured based on the stock option component. Under the QVC Tandem Plan, option/SAR terms are ten years from the date of grant, with options/SARs generally becoming exercisable over four years from the date of grant. As of December 31, 1998, 230,000 shares of QVC Common Stock were reserved under the plan. Compensation expense of $1.0 million, $3.4 million and $4.0 million was recorded under the QVC Tandem Plan during the years ended December 31, 1998, 1997 and 1996, respectively.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19"/>
          </w:cols>
          <w:pgMar w:left="240" w:top="45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A summary of the activity of the QVC Tandem Plan as of and for the years ended December 31, 1998, 1997 and 1996 is presented below (options/SARs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Weighted-</w:t>
            </w:r>
          </w:p>
        </w:tc>
        <w:tc>
          <w:tcPr>
            <w:tcW w:w="1280" w:type="dxa"/>
            <w:vAlign w:val="bottom"/>
          </w:tcPr>
          <w:p>
            <w:pPr>
              <w:spacing w:after="0"/>
              <w:rPr>
                <w:sz w:val="14"/>
                <w:szCs w:val="14"/>
                <w:color w:val="auto"/>
              </w:rPr>
            </w:pPr>
          </w:p>
        </w:tc>
        <w:tc>
          <w:tcPr>
            <w:tcW w:w="10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Weighted-</w:t>
            </w:r>
          </w:p>
        </w:tc>
        <w:tc>
          <w:tcPr>
            <w:tcW w:w="1240" w:type="dxa"/>
            <w:vAlign w:val="bottom"/>
          </w:tcPr>
          <w:p>
            <w:pPr>
              <w:spacing w:after="0"/>
              <w:rPr>
                <w:sz w:val="14"/>
                <w:szCs w:val="14"/>
                <w:color w:val="auto"/>
              </w:rPr>
            </w:pP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Weighted-</w:t>
            </w:r>
          </w:p>
        </w:tc>
      </w:tr>
      <w:tr>
        <w:trPr>
          <w:trHeight w:val="171"/>
        </w:trPr>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spacing w:after="0"/>
              <w:rPr>
                <w:sz w:val="14"/>
                <w:szCs w:val="14"/>
                <w:color w:val="auto"/>
              </w:rPr>
            </w:pP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Average</w:t>
            </w:r>
          </w:p>
        </w:tc>
        <w:tc>
          <w:tcPr>
            <w:tcW w:w="1240" w:type="dxa"/>
            <w:vAlign w:val="bottom"/>
          </w:tcPr>
          <w:p>
            <w:pPr>
              <w:spacing w:after="0"/>
              <w:rPr>
                <w:sz w:val="14"/>
                <w:szCs w:val="14"/>
                <w:color w:val="auto"/>
              </w:rPr>
            </w:pPr>
          </w:p>
        </w:tc>
        <w:tc>
          <w:tcPr>
            <w:tcW w:w="8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262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Exercise</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Exercise</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262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SARs</w:t>
            </w:r>
          </w:p>
        </w:tc>
        <w:tc>
          <w:tcPr>
            <w:tcW w:w="10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Price</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SARs</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SARs</w:t>
            </w:r>
          </w:p>
        </w:tc>
        <w:tc>
          <w:tcPr>
            <w:tcW w:w="8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Price</w:t>
            </w:r>
          </w:p>
        </w:tc>
      </w:tr>
      <w:tr>
        <w:trPr>
          <w:trHeight w:val="341"/>
        </w:trPr>
        <w:tc>
          <w:tcPr>
            <w:tcW w:w="2620" w:type="dxa"/>
            <w:vAlign w:val="bottom"/>
          </w:tcPr>
          <w:p>
            <w:pPr>
              <w:jc w:val="right"/>
              <w:ind w:right="1306"/>
              <w:spacing w:after="0"/>
              <w:rPr>
                <w:sz w:val="20"/>
                <w:szCs w:val="20"/>
                <w:color w:val="auto"/>
              </w:rPr>
            </w:pPr>
            <w:r>
              <w:rPr>
                <w:rFonts w:ascii="Courier New" w:cs="Courier New" w:eastAsia="Courier New" w:hAnsi="Courier New"/>
                <w:sz w:val="15"/>
                <w:szCs w:val="15"/>
                <w:color w:val="auto"/>
                <w:w w:val="96"/>
              </w:rPr>
              <w:t>Outstanding at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beginning of year.......</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$363.99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$192.16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$177.05</w:t>
            </w: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Granted.....................</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664.76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601.28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271.23</w:t>
            </w: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Exercised...................</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186.01</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177.05</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Canceled....................</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511.01</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262.20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177.05</w:t>
            </w:r>
          </w:p>
        </w:tc>
      </w:tr>
      <w:tr>
        <w:trPr>
          <w:trHeight w:val="171"/>
        </w:trPr>
        <w:tc>
          <w:tcPr>
            <w:tcW w:w="262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Outstanding at end of year..</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500.82</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363.99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192.16</w:t>
            </w:r>
          </w:p>
        </w:tc>
      </w:tr>
      <w:tr>
        <w:trPr>
          <w:trHeight w:val="171"/>
        </w:trPr>
        <w:tc>
          <w:tcPr>
            <w:tcW w:w="262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1"/>
        </w:trPr>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Exercisable at end of year..</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$397.46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$205.42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$177.05</w:t>
            </w:r>
          </w:p>
        </w:tc>
      </w:tr>
      <w:tr>
        <w:trPr>
          <w:trHeight w:val="171"/>
        </w:trPr>
        <w:tc>
          <w:tcPr>
            <w:tcW w:w="262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bl>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summarizes information about the options/SARs outstanding under the QVC Tandem Plan as of December 31, 1998 (options/SARs in thousands):</w:t>
      </w:r>
    </w:p>
    <w:p>
      <w:pPr>
        <w:spacing w:after="0" w:line="34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60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Options/SARs OutstandingOptions/SARs Exercisable</w:t>
            </w:r>
          </w:p>
        </w:tc>
      </w:tr>
      <w:tr>
        <w:trPr>
          <w:trHeight w:val="171"/>
        </w:trPr>
        <w:tc>
          <w:tcPr>
            <w:tcW w:w="1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8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spacing w:after="0"/>
              <w:rPr>
                <w:sz w:val="14"/>
                <w:szCs w:val="14"/>
                <w:color w:val="auto"/>
              </w:rPr>
            </w:pPr>
          </w:p>
        </w:tc>
      </w:tr>
      <w:tr>
        <w:trPr>
          <w:trHeight w:val="171"/>
        </w:trPr>
        <w:tc>
          <w:tcPr>
            <w:tcW w:w="1860" w:type="dxa"/>
            <w:vAlign w:val="bottom"/>
          </w:tcPr>
          <w:p>
            <w:pPr>
              <w:spacing w:after="0"/>
              <w:rPr>
                <w:sz w:val="14"/>
                <w:szCs w:val="14"/>
                <w:color w:val="auto"/>
              </w:rPr>
            </w:pP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218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Average</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Number</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2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Outstanding</w:t>
            </w:r>
          </w:p>
        </w:tc>
        <w:tc>
          <w:tcPr>
            <w:tcW w:w="218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Remaining</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2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 12/31/98</w:t>
            </w:r>
          </w:p>
        </w:tc>
        <w:tc>
          <w:tcPr>
            <w:tcW w:w="21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Contractual Life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at 12/31/98</w:t>
            </w:r>
          </w:p>
        </w:tc>
      </w:tr>
      <w:tr>
        <w:trPr>
          <w:trHeight w:val="512"/>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$177.05</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w:t>
            </w: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522.31</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585.19</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w:t>
            </w: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634.25</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651.84</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spacing w:after="0"/>
              <w:rPr>
                <w:sz w:val="14"/>
                <w:szCs w:val="14"/>
                <w:color w:val="auto"/>
              </w:rPr>
            </w:pP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688.14</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spacing w:after="0"/>
              <w:rPr>
                <w:sz w:val="14"/>
                <w:szCs w:val="14"/>
                <w:color w:val="auto"/>
              </w:rPr>
            </w:pPr>
          </w:p>
        </w:tc>
      </w:tr>
      <w:tr>
        <w:trPr>
          <w:trHeight w:val="171"/>
        </w:trPr>
        <w:tc>
          <w:tcPr>
            <w:tcW w:w="18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741.79</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4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spacing w:after="0"/>
              <w:rPr>
                <w:sz w:val="14"/>
                <w:szCs w:val="14"/>
                <w:color w:val="auto"/>
              </w:rPr>
            </w:pPr>
          </w:p>
        </w:tc>
      </w:tr>
      <w:tr>
        <w:trPr>
          <w:trHeight w:val="171"/>
        </w:trPr>
        <w:tc>
          <w:tcPr>
            <w:tcW w:w="1860" w:type="dxa"/>
            <w:vAlign w:val="bottom"/>
          </w:tcPr>
          <w:p>
            <w:pPr>
              <w:spacing w:after="0"/>
              <w:rPr>
                <w:sz w:val="14"/>
                <w:szCs w:val="14"/>
                <w:color w:val="auto"/>
              </w:rPr>
            </w:pP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206</w:t>
            </w: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w:t>
            </w:r>
          </w:p>
        </w:tc>
      </w:tr>
      <w:tr>
        <w:trPr>
          <w:trHeight w:val="171"/>
        </w:trPr>
        <w:tc>
          <w:tcPr>
            <w:tcW w:w="1860" w:type="dxa"/>
            <w:vAlign w:val="bottom"/>
          </w:tcPr>
          <w:p>
            <w:pPr>
              <w:spacing w:after="0"/>
              <w:rPr>
                <w:sz w:val="14"/>
                <w:szCs w:val="14"/>
                <w:color w:val="auto"/>
              </w:rPr>
            </w:pP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The weighted-average fair value at date of grant of a QVC Common Stock option/SAR granted during 1998, 1997 and 1996 was $296.67, $331.93 and $385.13, respectively. The fair value of each option grant is estimated on the date of grant using the Black-Scholes option-pricing model with the following weighted-average assumptions: no dividend yield for all years; expected volatility of 20% for all years; risk-free interest rate of 4.9%, 6.2% and 6.8% for 1998, 1997 and 1996, respectively; expected option lives of 10 years for all years; and a forfeiture rate of 3.0% for all years.</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19"/>
          </w:cols>
          <w:pgMar w:left="240" w:top="45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Had compensation expense for the Company's two aforementioned stock-based compensation plans been determined based on the fair value at the grant dates for awards under those plans under the provisions of SFAS No. 123, the Company's net income (loss) and net income (loss) per share would have changed to the pro forma amounts indicated below (dollars in millions,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Net income (loss) - As reported......................</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$972.1</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($238.7)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Net income (loss) - Pro forma........................</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936.4</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34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Net income (loss) for common stockholders -</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As reported</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$943.0</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($253.5)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r>
      <w:tr>
        <w:trPr>
          <w:trHeight w:val="17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Net income (loss) for common stockholders -</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Pro</w:t>
            </w:r>
          </w:p>
        </w:tc>
        <w:tc>
          <w:tcPr>
            <w:tcW w:w="4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907.3</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(266.7)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r>
      <w:tr>
        <w:trPr>
          <w:trHeight w:val="512"/>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(loss) for common stockholders</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per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share - As reported...................</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$2.57</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(loss) for common stockholders</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per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share - Pro forma.....................</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earnings (loss) for common stockholders</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per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share - As reported...................</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$2.41</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earnings (loss) for common stockholders</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per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share - Pro forma.....................</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2.33</w:t>
            </w:r>
          </w:p>
        </w:tc>
        <w:tc>
          <w:tcPr>
            <w:tcW w:w="1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pro forma effect on net income (loss) and net income (loss) per share for the years ended December 31, 1998, 1997 and 1996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maintains a restricted stock program under which management employees may be granted restricted shares of the Company's Class A Special Common Stock. The shares awarded vest annually, generally over a period not to exceed five years from the date of the award, and do not have voting or dividend rights until vesting occurs. At December 31, 1998, there were 1.0 million unvested shares granted under the program, of which 167,000 vested in January 1999. During the years ended December 31, 1998, 1997 and 1996, 328,000, 208,000 and 951,000 shares were granted under the program, respectively, with a weighted-average grant date market value of $34.66, $17.36 and $19.16 per share, respectively. Compensation expense recognized during the years ended December 31, 1998, 1997 and 1996 under this program was $5.3 million, $7.1 million and $5.5 million, respectively. There was no significant difference between the amount of compensation expense recognized by the Company during the years ended December 31, 1998, 1997 and 1996 and the amount that would have been recognized had compensation expense been determined under the provisions of SFAS No. 123.</w:t>
      </w:r>
    </w:p>
    <w:p>
      <w:pPr>
        <w:spacing w:after="0" w:line="16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and QVC established SAR plans during 1996 and 1995 for certain employees, officers, directors and other persons (the "QVC SAR Plans"). Under the QVC SAR Plans, eligible participants are entitled to receive a cash payment from the Company or QVC equal to 100% of the excess, if any, of the fair value of a share of QVC Common Stock at the exercise date over the fair value of such a share at the grant date. The SARs have a term of ten years from the date of grant and become exercisable over four to five years from the date of grant. During the years ended December 31, 1998, 1997 and 1996, 5,000, 4,000 and 11,000 SARs were awarded, respectively, and 20,000 SARs were outstanding at December 31, 1998, of which 6,000 were exercisable. Compensation expense related to the QVC SAR Plans of $3.2 million, $3.4 million and $4.5 million was recorded during the years ended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19"/>
          </w:cols>
          <w:pgMar w:left="240" w:top="799" w:right="1440" w:bottom="1440" w:gutter="0" w:footer="0" w:header="0"/>
        </w:sectPr>
      </w:pPr>
    </w:p>
    <w:bookmarkStart w:id="60" w:name="page61"/>
    <w:bookmarkEnd w:id="60"/>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December 31, 1998, 1997 and 1996, respectively. There was no significant difference between the amount of compensation expense recognized and the amount that would have been recognized had compensation expense been determined under the provisions of SFAS No. 123.</w:t>
      </w:r>
    </w:p>
    <w:p>
      <w:pPr>
        <w:spacing w:after="0" w:line="176" w:lineRule="exact"/>
        <w:rPr>
          <w:sz w:val="20"/>
          <w:szCs w:val="20"/>
          <w:color w:val="auto"/>
        </w:rPr>
      </w:pPr>
    </w:p>
    <w:p>
      <w:pPr>
        <w:jc w:val="both"/>
        <w:ind w:left="449" w:right="3119"/>
        <w:spacing w:after="0" w:line="259" w:lineRule="auto"/>
        <w:rPr>
          <w:sz w:val="20"/>
          <w:szCs w:val="20"/>
          <w:color w:val="auto"/>
        </w:rPr>
      </w:pPr>
      <w:r>
        <w:rPr>
          <w:rFonts w:ascii="Courier New" w:cs="Courier New" w:eastAsia="Courier New" w:hAnsi="Courier New"/>
          <w:sz w:val="14"/>
          <w:szCs w:val="14"/>
          <w:color w:val="auto"/>
        </w:rPr>
        <w:t>E! Entertainment established a SAR plan in 1995 for certain of its employees and officers (the "E! SAR Plan"). By written agreement between the participants and E! Entertainment, the E! SAR Plan was terminated effective December 31, 1998 in exchange for a lump-sum payment of a negotiated amount which was paid in February 1999. Terms of the agreement also included the complete and full release of E! Entertainment from any further liability associated with the E! SAR Plan. Compensation expense related to the E! SAR Plan was $11.6 million and $7.0 million during the years ended December 31, 1998 and 1997, respectively. There was no significant difference between the amount of compensation expense recognized and the amount that would have been recognized had compensation expense been determined under the provisions of SFAS No. 123.</w:t>
      </w:r>
    </w:p>
    <w:p>
      <w:pPr>
        <w:spacing w:after="0" w:line="333" w:lineRule="exact"/>
        <w:rPr>
          <w:sz w:val="20"/>
          <w:szCs w:val="20"/>
          <w:color w:val="auto"/>
        </w:rPr>
      </w:pPr>
    </w:p>
    <w:p>
      <w:pPr>
        <w:ind w:left="449" w:hanging="449"/>
        <w:spacing w:after="0"/>
        <w:tabs>
          <w:tab w:leader="none" w:pos="4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E! Entertainment and Comcast Communications Properties, Inc., an indirect majority owned subsidiary of the Company, each file separate consolidated federal income tax returns. Income tax expense consists of the following components:</w:t>
      </w:r>
    </w:p>
    <w:p>
      <w:pPr>
        <w:spacing w:after="0" w:line="200" w:lineRule="exact"/>
        <w:rPr>
          <w:sz w:val="20"/>
          <w:szCs w:val="20"/>
          <w:color w:val="auto"/>
        </w:rPr>
      </w:pPr>
    </w:p>
    <w:p>
      <w:pPr>
        <w:spacing w:after="0" w:line="314"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3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1998</w:t>
            </w:r>
          </w:p>
        </w:tc>
        <w:tc>
          <w:tcPr>
            <w:tcW w:w="22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(Dollars in millions)</w:t>
            </w:r>
          </w:p>
        </w:tc>
        <w:tc>
          <w:tcPr>
            <w:tcW w:w="880" w:type="dxa"/>
            <w:vAlign w:val="bottom"/>
          </w:tcPr>
          <w:p>
            <w:pPr>
              <w:spacing w:after="0"/>
              <w:rPr>
                <w:sz w:val="14"/>
                <w:szCs w:val="14"/>
                <w:color w:val="auto"/>
              </w:rPr>
            </w:pP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1"/>
                <w:szCs w:val="11"/>
                <w:color w:val="auto"/>
                <w:w w:val="72"/>
              </w:rPr>
              <w:t>Federal....................................................</w:t>
            </w: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$135.5</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$94.4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1"/>
                <w:szCs w:val="11"/>
                <w:color w:val="auto"/>
                <w:w w:val="72"/>
              </w:rPr>
              <w:t>State......................................................</w:t>
            </w: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163.0</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105.0</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3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1"/>
                <w:szCs w:val="11"/>
                <w:color w:val="auto"/>
                <w:w w:val="72"/>
              </w:rPr>
              <w:t>Federal....................................................</w:t>
            </w: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424.6</w:t>
            </w:r>
          </w:p>
        </w:tc>
        <w:tc>
          <w:tcPr>
            <w:tcW w:w="22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(47.5)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1"/>
                <w:szCs w:val="11"/>
                <w:color w:val="auto"/>
                <w:w w:val="72"/>
              </w:rPr>
              <w:t>State......................................................</w:t>
            </w: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w:t>
            </w:r>
          </w:p>
        </w:tc>
        <w:tc>
          <w:tcPr>
            <w:tcW w:w="22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431.0</w:t>
            </w:r>
          </w:p>
        </w:tc>
        <w:tc>
          <w:tcPr>
            <w:tcW w:w="22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1"/>
                <w:szCs w:val="11"/>
                <w:color w:val="auto"/>
                <w:w w:val="72"/>
              </w:rPr>
              <w:t>Income tax expense.........................................</w:t>
            </w: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$594.0</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w:t>
            </w:r>
          </w:p>
        </w:tc>
      </w:tr>
      <w:tr>
        <w:trPr>
          <w:trHeight w:val="171"/>
        </w:trPr>
        <w:tc>
          <w:tcPr>
            <w:tcW w:w="2840" w:type="dxa"/>
            <w:vAlign w:val="bottom"/>
          </w:tcPr>
          <w:p>
            <w:pPr>
              <w:spacing w:after="0"/>
              <w:rPr>
                <w:sz w:val="14"/>
                <w:szCs w:val="14"/>
                <w:color w:val="auto"/>
              </w:rPr>
            </w:pPr>
          </w:p>
        </w:tc>
        <w:tc>
          <w:tcPr>
            <w:tcW w:w="3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2840" w:type="dxa"/>
            <w:vAlign w:val="bottom"/>
          </w:tcPr>
          <w:p>
            <w:pPr>
              <w:spacing w:after="0"/>
              <w:rPr>
                <w:sz w:val="24"/>
                <w:szCs w:val="24"/>
                <w:color w:val="auto"/>
              </w:rPr>
            </w:pPr>
          </w:p>
        </w:tc>
        <w:tc>
          <w:tcPr>
            <w:tcW w:w="3420" w:type="dxa"/>
            <w:vAlign w:val="bottom"/>
          </w:tcPr>
          <w:p>
            <w:pPr>
              <w:jc w:val="right"/>
              <w:ind w:right="2826"/>
              <w:spacing w:after="0"/>
              <w:rPr>
                <w:sz w:val="20"/>
                <w:szCs w:val="20"/>
                <w:color w:val="auto"/>
              </w:rPr>
            </w:pPr>
            <w:r>
              <w:rPr>
                <w:rFonts w:ascii="Courier New" w:cs="Courier New" w:eastAsia="Courier New" w:hAnsi="Courier New"/>
                <w:sz w:val="15"/>
                <w:szCs w:val="15"/>
                <w:color w:val="auto"/>
                <w:w w:val="92"/>
              </w:rPr>
              <w:t>- 54 -</w:t>
            </w: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ind w:left="440" w:right="3119"/>
        <w:spacing w:after="0" w:line="238" w:lineRule="auto"/>
        <w:rPr>
          <w:sz w:val="20"/>
          <w:szCs w:val="20"/>
          <w:color w:val="auto"/>
        </w:rPr>
      </w:pPr>
      <w:r>
        <w:rPr>
          <w:rFonts w:ascii="Courier New" w:cs="Courier New" w:eastAsia="Courier New" w:hAnsi="Courier New"/>
          <w:sz w:val="15"/>
          <w:szCs w:val="15"/>
          <w:color w:val="auto"/>
        </w:rPr>
        <w:t>The effective income tax expense of the Company differs from the statutory amount because of the effect of the following items: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Year Ended December 31,</w:t>
            </w:r>
          </w:p>
        </w:tc>
        <w:tc>
          <w:tcPr>
            <w:tcW w:w="80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(Dollars in millions)</w:t>
            </w:r>
          </w:p>
        </w:tc>
        <w:tc>
          <w:tcPr>
            <w:tcW w:w="800" w:type="dxa"/>
            <w:vAlign w:val="bottom"/>
          </w:tcPr>
          <w:p>
            <w:pPr>
              <w:spacing w:after="0"/>
              <w:rPr>
                <w:sz w:val="14"/>
                <w:szCs w:val="14"/>
                <w:color w:val="auto"/>
              </w:rPr>
            </w:pPr>
          </w:p>
        </w:tc>
      </w:tr>
      <w:tr>
        <w:trPr>
          <w:trHeight w:val="512"/>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Federal tax at statutory rate..............................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$545.1</w:t>
            </w:r>
          </w:p>
        </w:tc>
        <w:tc>
          <w:tcPr>
            <w:tcW w:w="23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$19.1</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Non-deductible depreciation and amortization...............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42.6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State income taxes, net of federal benefit.................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Non-deductible (deductible) foreign (income) losses</w:t>
            </w:r>
          </w:p>
        </w:tc>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and equity in net losses of affiliates...................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53.1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27.5</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Additions to valuation allowance...........................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16.3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 expense.........................................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$594.0</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$70.4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Deferred  income  tax  expense   (benefit)</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resulted  from</w:t>
            </w:r>
          </w:p>
        </w:tc>
        <w:tc>
          <w:tcPr>
            <w:tcW w:w="3280" w:type="dxa"/>
            <w:vAlign w:val="bottom"/>
            <w:gridSpan w:val="2"/>
          </w:tcPr>
          <w:p>
            <w:pPr>
              <w:jc w:val="right"/>
              <w:ind w:right="1866"/>
              <w:spacing w:after="0"/>
              <w:rPr>
                <w:sz w:val="20"/>
                <w:szCs w:val="20"/>
                <w:color w:val="auto"/>
              </w:rPr>
            </w:pPr>
            <w:r>
              <w:rPr>
                <w:rFonts w:ascii="Courier New" w:cs="Courier New" w:eastAsia="Courier New" w:hAnsi="Courier New"/>
                <w:sz w:val="15"/>
                <w:szCs w:val="15"/>
                <w:color w:val="auto"/>
              </w:rPr>
              <w:t>the  following</w:t>
            </w:r>
          </w:p>
        </w:tc>
        <w:tc>
          <w:tcPr>
            <w:tcW w:w="800" w:type="dxa"/>
            <w:vAlign w:val="bottom"/>
          </w:tcPr>
          <w:p>
            <w:pPr>
              <w:spacing w:after="0"/>
              <w:rPr>
                <w:sz w:val="24"/>
                <w:szCs w:val="24"/>
                <w:color w:val="auto"/>
              </w:rPr>
            </w:pP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differences between financial and income tax reporting:</w:t>
            </w:r>
          </w:p>
        </w:tc>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3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Year Ended December 31,</w:t>
            </w:r>
          </w:p>
        </w:tc>
        <w:tc>
          <w:tcPr>
            <w:tcW w:w="80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(Dollars in millions)</w:t>
            </w:r>
          </w:p>
        </w:tc>
        <w:tc>
          <w:tcPr>
            <w:tcW w:w="800" w:type="dxa"/>
            <w:vAlign w:val="bottom"/>
          </w:tcPr>
          <w:p>
            <w:pPr>
              <w:spacing w:after="0"/>
              <w:rPr>
                <w:sz w:val="14"/>
                <w:szCs w:val="14"/>
                <w:color w:val="auto"/>
              </w:rPr>
            </w:pPr>
          </w:p>
        </w:tc>
      </w:tr>
      <w:tr>
        <w:trPr>
          <w:trHeight w:val="512"/>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w:t>
            </w:r>
          </w:p>
        </w:tc>
        <w:tc>
          <w:tcPr>
            <w:tcW w:w="23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Accrued expenses not currently deductible.............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w:t>
            </w:r>
          </w:p>
        </w:tc>
        <w:tc>
          <w:tcPr>
            <w:tcW w:w="23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Non-deductible reserves for bad debts,</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obsolete inventory and sales returns................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w:t>
            </w:r>
          </w:p>
        </w:tc>
        <w:tc>
          <w:tcPr>
            <w:tcW w:w="23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Temporary differences associated with sale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exchange of securities...........................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508.8</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Losses from affiliated partnerships...................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45.9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Change in net operating loss carryforwards............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Change in valuation allowance and other...............</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 expense (benefit).................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$431.0</w:t>
            </w:r>
          </w:p>
        </w:tc>
        <w:tc>
          <w:tcPr>
            <w:tcW w:w="23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980" w:type="dxa"/>
            <w:vAlign w:val="bottom"/>
          </w:tcPr>
          <w:p>
            <w:pPr>
              <w:ind w:left="2840"/>
              <w:spacing w:after="0"/>
              <w:rPr>
                <w:sz w:val="20"/>
                <w:szCs w:val="20"/>
                <w:color w:val="auto"/>
              </w:rPr>
            </w:pPr>
            <w:r>
              <w:rPr>
                <w:rFonts w:ascii="Courier New" w:cs="Courier New" w:eastAsia="Courier New" w:hAnsi="Courier New"/>
                <w:sz w:val="15"/>
                <w:szCs w:val="15"/>
                <w:color w:val="auto"/>
              </w:rPr>
              <w:t>- 55 -</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62" w:name="page63"/>
    <w:bookmarkEnd w:id="62"/>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p>
      <w:pPr>
        <w:ind w:left="449"/>
        <w:spacing w:after="0"/>
        <w:tabs>
          <w:tab w:leader="none" w:pos="1569" w:val="left"/>
          <w:tab w:leader="none" w:pos="2649" w:val="left"/>
        </w:tabs>
        <w:rPr>
          <w:sz w:val="20"/>
          <w:szCs w:val="20"/>
          <w:color w:val="auto"/>
        </w:rPr>
      </w:pPr>
      <w:r>
        <w:rPr>
          <w:rFonts w:ascii="Courier New" w:cs="Courier New" w:eastAsia="Courier New" w:hAnsi="Courier New"/>
          <w:sz w:val="15"/>
          <w:szCs w:val="15"/>
          <w:color w:val="auto"/>
        </w:rPr>
        <w:t>Significant</w:t>
        <w:tab/>
        <w:t>components</w:t>
      </w:r>
      <w:r>
        <w:rPr>
          <w:sz w:val="20"/>
          <w:szCs w:val="20"/>
          <w:color w:val="auto"/>
        </w:rPr>
        <w:tab/>
      </w:r>
      <w:r>
        <w:rPr>
          <w:rFonts w:ascii="Courier New" w:cs="Courier New" w:eastAsia="Courier New" w:hAnsi="Courier New"/>
          <w:sz w:val="14"/>
          <w:szCs w:val="14"/>
          <w:color w:val="auto"/>
        </w:rPr>
        <w:t>of the Company's net deferred tax liability are as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5540" w:type="dxa"/>
            <w:vAlign w:val="bottom"/>
          </w:tcPr>
          <w:p>
            <w:pPr>
              <w:spacing w:after="0"/>
              <w:rPr>
                <w:sz w:val="24"/>
                <w:szCs w:val="24"/>
                <w:color w:val="auto"/>
              </w:rPr>
            </w:pPr>
          </w:p>
        </w:tc>
        <w:tc>
          <w:tcPr>
            <w:tcW w:w="2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540" w:type="dxa"/>
            <w:vAlign w:val="bottom"/>
          </w:tcPr>
          <w:p>
            <w:pPr>
              <w:spacing w:after="0"/>
              <w:rPr>
                <w:sz w:val="14"/>
                <w:szCs w:val="14"/>
                <w:color w:val="auto"/>
              </w:rPr>
            </w:pPr>
          </w:p>
        </w:tc>
        <w:tc>
          <w:tcPr>
            <w:tcW w:w="27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Net operating loss carryforwards....................</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$324.7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$343.8</w:t>
            </w: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Differences between book and</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tax basis of property and equipment</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and deferred charges..............................</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24.5</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w:t>
            </w: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Reserves for bad debts, obsolete inventory</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and sales returns.................................</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94.4</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w:t>
            </w: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62.9</w:t>
            </w: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Less: Valuation allowance...........................</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(279.5)</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$236.5</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Deferred tax liabilities:</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Temporary differences, principally book and</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tax basis of property and equipment and</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deferred charges....................................</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1,582.6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1,785.6</w:t>
            </w:r>
          </w:p>
        </w:tc>
      </w:tr>
      <w:tr>
        <w:trPr>
          <w:trHeight w:val="171"/>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Differences between book and tax basis</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in investments....................................</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1,201.4</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207.9</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2,784.0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1,993.5</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Net deferred tax liability............................</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$2,533.3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$1,757.0</w:t>
            </w:r>
          </w:p>
        </w:tc>
      </w:tr>
      <w:tr>
        <w:trPr>
          <w:trHeight w:val="171"/>
        </w:trPr>
        <w:tc>
          <w:tcPr>
            <w:tcW w:w="554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The Company recorded approximately $489.4 million of deferred income taxes in 1998 in connection with unrealized gains on marketable securities which are included in other comprehensive income.</w:t>
      </w:r>
    </w:p>
    <w:p>
      <w:pPr>
        <w:spacing w:after="0" w:line="17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deferred tax liability is net of deferred tax assets of $106.9 million and $92.5 million as of December 31, 1998 and 1997, respectively, which are included in other current assets in the Company's consolidated balance sheet. Further, the Company has recorded deferred tax liabilities of $1.140 billion related to current investments which have been included in current liabilities. The Company's valuation allowance against deferred tax assets includes approximately $120.0 million for which any subsequent tax benefits recognized will be allocated to reduce goodwill and other noncurrent intangible assets. For income tax reporting purposes, the Consolidated Group and Comcast Communications Properties, Inc. have net operating loss carryforwards for which deferred tax assets have been recorded of approximately $150.0 million and $45.0 million, respectively, which expire primarily in periods through 2018.</w:t>
      </w:r>
    </w:p>
    <w:p>
      <w:pPr>
        <w:spacing w:after="0" w:line="180"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During the year ended December 31, 1998, the Company settled all issues primarily related to the deductibility of amortization of cable television distribution rights raised by the Internal Revenue Service in its examination of QVC, through fiscal tax year 1993. Such settlement resulted in a reversal of previously recorded deferred tax liabilities of $135.5 million. As a result of the settlement, the Company recorded an adjustment to reduce goodwill by $119.7 million during 1998. Such adjustment has been excluded from the Company's consolidated statement of cash flows due to its noncash nature.</w:t>
      </w:r>
    </w:p>
    <w:p>
      <w:pPr>
        <w:spacing w:after="0" w:line="175" w:lineRule="exact"/>
        <w:rPr>
          <w:sz w:val="20"/>
          <w:szCs w:val="20"/>
          <w:color w:val="auto"/>
        </w:rPr>
      </w:pPr>
    </w:p>
    <w:p>
      <w:pPr>
        <w:ind w:left="44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$418.9 million, $467.2 million and $408.1 million during the years ended December 31, 1998, 1997 and 1996, respectively.</w:t>
      </w:r>
    </w:p>
    <w:p>
      <w:pPr>
        <w:spacing w:after="0" w:line="17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56 -</w:t>
      </w:r>
    </w:p>
    <w:p>
      <w:pPr>
        <w:sectPr>
          <w:pgSz w:w="11900" w:h="16838" w:orient="portrait"/>
          <w:cols w:equalWidth="0" w:num="1">
            <w:col w:w="10228"/>
          </w:cols>
          <w:pgMar w:left="231" w:top="457" w:right="1440" w:bottom="1440" w:gutter="0" w:footer="0" w:header="0"/>
        </w:sectPr>
      </w:pPr>
    </w:p>
    <w:bookmarkStart w:id="63" w:name="page64"/>
    <w:bookmarkEnd w:id="63"/>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The Company made cash payments for income taxes of $129.2 million, $113.7 million and $101.3 million during the years ended December 31, 1998, 1997 and 1996, respectively.</w:t>
      </w:r>
    </w:p>
    <w:p>
      <w:pPr>
        <w:spacing w:after="0" w:line="172" w:lineRule="exact"/>
        <w:rPr>
          <w:sz w:val="20"/>
          <w:szCs w:val="20"/>
          <w:color w:val="auto"/>
        </w:rPr>
      </w:pPr>
    </w:p>
    <w:p>
      <w:pPr>
        <w:ind w:left="449" w:hanging="449"/>
        <w:spacing w:after="0"/>
        <w:tabs>
          <w:tab w:leader="none" w:pos="4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right to purchase the minority interests in Comcast-Spectacor from the Minority Group for the Minority Group's pro rata portion of the fair market value (on a going concern basis as determined by an appraisal process) of Comcast-Spectacor. The Minority Group also has the right to require the Company to purchase its interests under the same terms. The Company may pay the Minority Group for such interests in shares of the Company's Class A Special Common Stock, subject to certain restrictions. If the Minority Group exercises its exit rights and the Company elects not to purchase their interest, the Company and the Minority Group will use their best efforts to sell Comcast-Spectacor.</w:t>
      </w:r>
    </w:p>
    <w:p>
      <w:pPr>
        <w:spacing w:after="0" w:line="178"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Disney, in certain circumstances, is entitled to cause the LLC to purchase Disney's entire interest in the LLC at its then fair market value (as determined by an appraisal process). If the LLC elects not to purchase Disney's interests,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(see Notes 3 and 5) may be replaced with a three year note due to Disney.</w:t>
      </w:r>
    </w:p>
    <w:p>
      <w:pPr>
        <w:spacing w:after="0" w:line="177"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81"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December 18, 2001, the California Public Employees Retirement System ("CalPERS") may elect to liquidate its interest in MHCP Holdings, L.L.C. ("MHCP Holdings"), a 55% owned indirect subsidiary of the Company (which holds cable communications systems serving approximately 644,000 subscribers as of December 31, 1998) in which CalPERS owns the remaining 45% interest, at a price based upon the fair value of CalPERS' interest in MHCP Holdings, adjusted, under certain circumstances, for certain performance criteria relating to the fair value of MHCP Holdings or to the Company's common stock. Except in certain limited circumstances, the Company, at its option, may satisfy this liquidity arrangement by purchasing CalPERS' interest for cash, through the issuance of the Company's common stock (subject to certain limitations) or by selling MHCP Holdings.</w:t>
      </w:r>
    </w:p>
    <w:p>
      <w:pPr>
        <w:spacing w:after="0" w:line="177"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w:t>
      </w:r>
    </w:p>
    <w:p>
      <w:pPr>
        <w:sectPr>
          <w:pgSz w:w="11900" w:h="16838" w:orient="portrait"/>
          <w:cols w:equalWidth="0" w:num="1">
            <w:col w:w="10228"/>
          </w:cols>
          <w:pgMar w:left="231" w:top="45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Minimum annual rental commitments for office space, equipment and transponder service agreements under noncancellable operating leases as of December 31, 1998 are as follows:</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(Dollars</w:t>
            </w:r>
          </w:p>
        </w:tc>
      </w:tr>
      <w:tr>
        <w:trPr>
          <w:trHeight w:val="171"/>
        </w:trPr>
        <w:tc>
          <w:tcPr>
            <w:tcW w:w="3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in millions)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1999........................................</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$45.1</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2000........................................</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47.6</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2001........................................</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2002........................................</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40.5</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2003........................................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Thereafter..................................</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202.0</w:t>
            </w:r>
          </w:p>
        </w:tc>
      </w:tr>
    </w:tbl>
    <w:p>
      <w:pPr>
        <w:spacing w:after="0" w:line="174"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Rental expense of $64.8 million, $65.8 million and $44.2 million for 1998, 1997 and 1996, respectively, has been charged to operations.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19"/>
          </w:cols>
          <w:pgMar w:left="240" w:top="457" w:right="1440" w:bottom="1440" w:gutter="0" w:footer="0" w:header="0"/>
        </w:sectPr>
      </w:pPr>
    </w:p>
    <w:bookmarkStart w:id="65" w:name="page66"/>
    <w:bookmarkEnd w:id="65"/>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342" w:lineRule="exact"/>
        <w:rPr>
          <w:sz w:val="20"/>
          <w:szCs w:val="20"/>
          <w:color w:val="auto"/>
        </w:rPr>
      </w:pPr>
    </w:p>
    <w:p>
      <w:pPr>
        <w:ind w:left="449" w:hanging="449"/>
        <w:spacing w:after="0"/>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4" w:lineRule="exact"/>
        <w:rPr>
          <w:rFonts w:ascii="Courier New" w:cs="Courier New" w:eastAsia="Courier New" w:hAnsi="Courier New"/>
          <w:sz w:val="15"/>
          <w:szCs w:val="15"/>
          <w:color w:val="auto"/>
        </w:rPr>
      </w:pPr>
    </w:p>
    <w:p>
      <w:pPr>
        <w:jc w:val="both"/>
        <w:ind w:left="449" w:right="3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"Cable Communications" and "Electronic Retailing." The components of net income (loss) below operating income (loss) are not separately evaluated by the Company's management on a segment basis (see the Company's consolidated statement of operations) (dollars in millions).</w:t>
      </w:r>
    </w:p>
    <w:p>
      <w:pPr>
        <w:spacing w:after="0" w:line="34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Cable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Electronic</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Corporate</w:t>
            </w:r>
          </w:p>
        </w:tc>
        <w:tc>
          <w:tcPr>
            <w:tcW w:w="9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Communications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Retailing</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and Other(1)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$2,277.4</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$2,402.7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$5,145.3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ind w:right="1526"/>
              <w:spacing w:after="0"/>
              <w:rPr>
                <w:sz w:val="20"/>
                <w:szCs w:val="20"/>
                <w:color w:val="auto"/>
              </w:rPr>
            </w:pPr>
            <w:r>
              <w:rPr>
                <w:rFonts w:ascii="Courier New" w:cs="Courier New" w:eastAsia="Courier New" w:hAnsi="Courier New"/>
                <w:sz w:val="15"/>
                <w:szCs w:val="15"/>
                <w:color w:val="auto"/>
                <w:w w:val="98"/>
              </w:rPr>
              <w:t>(loss) before depreciation</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amortization (2).......................................</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1,096.6</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434.2</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1,496.7</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amortization................................</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674.2</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126.1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939.6</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(loss)......................................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422.4</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308.1</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557.1</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223.6</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51.1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466.7</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Assets.......................................................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6,449.4</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2,208.7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14,817.4</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Long-term debt...............................................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3,462.1</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626.8</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1,375.3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5,464.2</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711.1</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67.2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898.9</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$2,073.0</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$2,082.5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$4,467.7</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ind w:right="1526"/>
              <w:spacing w:after="0"/>
              <w:rPr>
                <w:sz w:val="20"/>
                <w:szCs w:val="20"/>
                <w:color w:val="auto"/>
              </w:rPr>
            </w:pPr>
            <w:r>
              <w:rPr>
                <w:rFonts w:ascii="Courier New" w:cs="Courier New" w:eastAsia="Courier New" w:hAnsi="Courier New"/>
                <w:sz w:val="15"/>
                <w:szCs w:val="15"/>
                <w:color w:val="auto"/>
                <w:w w:val="98"/>
              </w:rPr>
              <w:t>(loss) before depreciation</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amortization (2).......................................</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987.7</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337.7</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1,293.1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amortization................................</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626.1</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115.0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826.5</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(loss)......................................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361.6</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222.7</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466.6</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227.9</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56.3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458.9</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Assets.......................................................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6,057.8</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2,268.3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11,326.8</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Long-term debt...............................................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2,554.9</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768.8</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2,010.4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5,334.1</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497.8</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795.5</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$1,641.0</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$1,835.8</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$3,612.3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ind w:right="1526"/>
              <w:spacing w:after="0"/>
              <w:rPr>
                <w:sz w:val="20"/>
                <w:szCs w:val="20"/>
                <w:color w:val="auto"/>
              </w:rPr>
            </w:pPr>
            <w:r>
              <w:rPr>
                <w:rFonts w:ascii="Courier New" w:cs="Courier New" w:eastAsia="Courier New" w:hAnsi="Courier New"/>
                <w:sz w:val="15"/>
                <w:szCs w:val="15"/>
                <w:color w:val="auto"/>
                <w:w w:val="98"/>
              </w:rPr>
              <w:t>(loss) before depreciation</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amortization (2).......................................</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803.8</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300.3</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1,047.0</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amortization................................</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420.3</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581.1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(loss)......................................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383.5</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192.6</w:t>
            </w:r>
          </w:p>
        </w:tc>
        <w:tc>
          <w:tcPr>
            <w:tcW w:w="1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465.9</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228.3</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65.2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448.4</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Assets.......................................................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6,938.3</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2,162.7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10,660.4</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Long-term debt...............................................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3,078.1</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842.6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5,998.3</w:t>
            </w:r>
          </w:p>
        </w:tc>
      </w:tr>
      <w:tr>
        <w:trPr>
          <w:trHeight w:val="171"/>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290.9</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554.4</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280" w:hanging="449"/>
        <w:spacing w:after="0"/>
        <w:tabs>
          <w:tab w:leader="none" w:pos="4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Other includes certain operating businesses, including Comcast-Spectacor (effective January 1, 1998), E! Entertainment (effective March 31, 1997), the Company's consolidated UK cable and telecommunications operations (prior to October 29, 1998), the Company's DBS operations (prior to April 1, 1998) and elimination entries related to the segments presented. Corporate and other assets consist primarily of the Company's investments (see Note 4).</w:t>
      </w:r>
    </w:p>
    <w:p>
      <w:pPr>
        <w:spacing w:after="0" w:line="5" w:lineRule="exact"/>
        <w:rPr>
          <w:rFonts w:ascii="Courier New" w:cs="Courier New" w:eastAsia="Courier New" w:hAnsi="Courier New"/>
          <w:sz w:val="15"/>
          <w:szCs w:val="15"/>
          <w:color w:val="auto"/>
        </w:rPr>
      </w:pPr>
    </w:p>
    <w:p>
      <w:pPr>
        <w:jc w:val="both"/>
        <w:ind w:left="449" w:right="3280" w:hanging="449"/>
        <w:spacing w:after="0" w:line="259" w:lineRule="auto"/>
        <w:tabs>
          <w:tab w:leader="none" w:pos="44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3469" w:hanging="185"/>
        <w:spacing w:after="0"/>
        <w:tabs>
          <w:tab w:leader="none" w:pos="346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59 -</w:t>
      </w:r>
    </w:p>
    <w:p>
      <w:pPr>
        <w:sectPr>
          <w:pgSz w:w="11900" w:h="16838" w:orient="portrait"/>
          <w:cols w:equalWidth="0" w:num="1">
            <w:col w:w="10389"/>
          </w:cols>
          <w:pgMar w:left="231" w:top="457" w:right="1279" w:bottom="1440" w:gutter="0" w:footer="0" w:header="0"/>
        </w:sectPr>
      </w:pPr>
    </w:p>
    <w:bookmarkStart w:id="66" w:name="page67"/>
    <w:bookmarkEnd w:id="66"/>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(Concluded)</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11.</w:t>
        <w:tab/>
        <w:t>QUARTERLY FINANCIAL INFORMATION (UNAUDITED)</w:t>
      </w:r>
    </w:p>
    <w:p>
      <w:pPr>
        <w:spacing w:after="0" w:line="34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First</w:t>
            </w: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Second</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Third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Fourth</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Quarter</w:t>
            </w: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Quarter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Quarter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 (5)</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(Dollars in millions, except per share data)</w:t>
            </w:r>
          </w:p>
        </w:tc>
        <w:tc>
          <w:tcPr>
            <w:tcW w:w="840" w:type="dxa"/>
            <w:vAlign w:val="bottom"/>
          </w:tcPr>
          <w:p>
            <w:pPr>
              <w:spacing w:after="0"/>
              <w:rPr>
                <w:sz w:val="14"/>
                <w:szCs w:val="14"/>
                <w:color w:val="auto"/>
              </w:rPr>
            </w:pPr>
          </w:p>
        </w:tc>
      </w:tr>
      <w:tr>
        <w:trPr>
          <w:trHeight w:val="34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1998</w:t>
            </w: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$1,254.5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$1,205.9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$1,238.0</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$1,446.9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$5,145.3</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and amortization (1)........................</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348.8</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353.4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373.2</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421.3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1,496.7</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132.9</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557.1</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before extraordinary items (3)..............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723.7</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432.8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1,007.7</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w w:val="98"/>
              </w:rPr>
              <w:t>before extraordinary items................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1.96</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w:t>
            </w: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Net income (loss)...........................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(0.24)</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1.93</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w w:val="98"/>
              </w:rPr>
              <w:t>before extraordinary items................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1.80</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w:t>
            </w: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Net income (loss)...........................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(0.24)</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1.78</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dividends per common share...............</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.0233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.0233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.0233</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.0233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.0933</w:t>
            </w:r>
          </w:p>
        </w:tc>
      </w:tr>
      <w:tr>
        <w:trPr>
          <w:trHeight w:val="34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1997</w:t>
            </w: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$1,026.9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$1,068.3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$1,089.0</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$1,283.5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$4,467.7</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and amortization (1)........................</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296.0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316.6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313.6</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366.9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1,293.1</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99.5</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163.4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466.6</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Loss from continuing operations before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extraordinary items.........................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(49.3)</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Basic loss for common stockholders per</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share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 from continuing operations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w w:val="98"/>
              </w:rPr>
              <w:t>before extraordinary items................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(0.04)</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(0.17)</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Net loss....................................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(0.19)</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Diluted loss for common stockholders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per common share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 from continuing operations before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w w:val="98"/>
              </w:rPr>
              <w:t>extraordinary items.......................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(0.04)</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(0.17)</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1"/>
        </w:trPr>
        <w:tc>
          <w:tcPr>
            <w:tcW w:w="4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Net loss....................................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(0.19)</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dividends per common share...............</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.0233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.0233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.0233</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.0233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.0933</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49" w:hanging="449"/>
        <w:spacing w:after="0"/>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10, note 2.</w:t>
      </w:r>
    </w:p>
    <w:p>
      <w:pPr>
        <w:spacing w:after="0" w:line="3" w:lineRule="exact"/>
        <w:rPr>
          <w:rFonts w:ascii="Courier New" w:cs="Courier New" w:eastAsia="Courier New" w:hAnsi="Courier New"/>
          <w:sz w:val="15"/>
          <w:szCs w:val="15"/>
          <w:color w:val="auto"/>
        </w:rPr>
      </w:pPr>
    </w:p>
    <w:p>
      <w:pPr>
        <w:jc w:val="both"/>
        <w:ind w:left="449" w:right="3360" w:hanging="449"/>
        <w:spacing w:after="0" w:line="239" w:lineRule="auto"/>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1998 include the results of Comcast-Spectacor which was consolidated effective January 1, 1998 and the results of Comcast UK Cable through October 29, 1998 (see Note 3).</w:t>
      </w:r>
    </w:p>
    <w:p>
      <w:pPr>
        <w:spacing w:after="0" w:line="4" w:lineRule="exact"/>
        <w:rPr>
          <w:rFonts w:ascii="Courier New" w:cs="Courier New" w:eastAsia="Courier New" w:hAnsi="Courier New"/>
          <w:sz w:val="15"/>
          <w:szCs w:val="15"/>
          <w:color w:val="auto"/>
        </w:rPr>
      </w:pPr>
    </w:p>
    <w:p>
      <w:pPr>
        <w:jc w:val="both"/>
        <w:ind w:left="449" w:right="3360" w:hanging="449"/>
        <w:spacing w:after="0" w:line="239" w:lineRule="auto"/>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gain on the AT&amp;T Transaction in the third quarter of 1998 and the gains on the NTL Transaction and the Sprint PCS restructuring in the fourth quarter of 1998 (see Note 3).</w:t>
      </w:r>
    </w:p>
    <w:p>
      <w:pPr>
        <w:spacing w:after="0" w:line="4" w:lineRule="exact"/>
        <w:rPr>
          <w:rFonts w:ascii="Courier New" w:cs="Courier New" w:eastAsia="Courier New" w:hAnsi="Courier New"/>
          <w:sz w:val="15"/>
          <w:szCs w:val="15"/>
          <w:color w:val="auto"/>
        </w:rPr>
      </w:pPr>
    </w:p>
    <w:p>
      <w:pPr>
        <w:jc w:val="both"/>
        <w:ind w:left="449" w:right="3360" w:hanging="449"/>
        <w:spacing w:after="0" w:line="239" w:lineRule="auto"/>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second quarter of 1997 include the results of E! Entertainment, which have been consolidated effective March 31, 1997 (see Note 3).</w:t>
      </w:r>
    </w:p>
    <w:p>
      <w:pPr>
        <w:spacing w:after="0" w:line="4" w:lineRule="exact"/>
        <w:rPr>
          <w:rFonts w:ascii="Courier New" w:cs="Courier New" w:eastAsia="Courier New" w:hAnsi="Courier New"/>
          <w:sz w:val="15"/>
          <w:szCs w:val="15"/>
          <w:color w:val="auto"/>
        </w:rPr>
      </w:pPr>
    </w:p>
    <w:p>
      <w:pPr>
        <w:jc w:val="both"/>
        <w:ind w:left="449" w:right="3360" w:hanging="449"/>
        <w:spacing w:after="0" w:line="239" w:lineRule="auto"/>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consolidated results of operations for the fourth quarter of 1998 and 1997 are also affected by the seasonality of the Company's electronic retailing operations.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w:t>
      </w:r>
    </w:p>
    <w:p>
      <w:pPr>
        <w:sectPr>
          <w:pgSz w:w="11900" w:h="16838" w:orient="portrait"/>
          <w:cols w:equalWidth="0" w:num="1">
            <w:col w:w="10469"/>
          </w:cols>
          <w:pgMar w:left="231" w:top="457" w:right="1199" w:bottom="1440" w:gutter="0" w:footer="0" w:header="0"/>
        </w:sectPr>
      </w:pPr>
    </w:p>
    <w:bookmarkStart w:id="67" w:name="page68"/>
    <w:bookmarkEnd w:id="67"/>
    <w:p>
      <w:pPr>
        <w:ind w:left="1140" w:right="3479" w:hanging="1153"/>
        <w:spacing w:after="0" w:line="238" w:lineRule="auto"/>
        <w:tabs>
          <w:tab w:leader="none" w:pos="11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our definitive Proxy Statement for our Annual Meeting of Shareholders presently scheduled to be held in June 1999, which shall be filed with the Securities and Exchange Commission within 120 days of the end of our latest fiscal year.</w:t>
      </w:r>
    </w:p>
    <w:p>
      <w:pPr>
        <w:spacing w:after="0" w:line="200" w:lineRule="exact"/>
        <w:rPr>
          <w:sz w:val="20"/>
          <w:szCs w:val="20"/>
          <w:color w:val="auto"/>
        </w:rPr>
      </w:pPr>
    </w:p>
    <w:p>
      <w:pPr>
        <w:spacing w:after="0" w:line="31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19"/>
          </w:cols>
          <w:pgMar w:left="240" w:top="460" w:right="1440" w:bottom="1440" w:gutter="0" w:footer="0" w:header="0"/>
        </w:sectPr>
      </w:pPr>
    </w:p>
    <w:bookmarkStart w:id="68" w:name="page69"/>
    <w:bookmarkEnd w:id="68"/>
    <w:p>
      <w:pPr>
        <w:ind w:left="32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4" w:lineRule="exact"/>
        <w:rPr>
          <w:sz w:val="20"/>
          <w:szCs w:val="20"/>
          <w:color w:val="auto"/>
        </w:rPr>
      </w:pPr>
    </w:p>
    <w:p>
      <w:pPr>
        <w:ind w:right="3119" w:firstLine="435"/>
        <w:spacing w:after="0" w:line="238" w:lineRule="auto"/>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ours are included in Part II, Item 8:</w:t>
      </w:r>
    </w:p>
    <w:p>
      <w:pPr>
        <w:spacing w:after="0" w:line="172" w:lineRule="exact"/>
        <w:rPr>
          <w:sz w:val="20"/>
          <w:szCs w:val="20"/>
          <w:color w:val="auto"/>
        </w:rPr>
      </w:pPr>
    </w:p>
    <w:p>
      <w:pPr>
        <w:ind w:left="1240"/>
        <w:spacing w:after="0"/>
        <w:tabs>
          <w:tab w:leader="dot" w:pos="680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ind w:left="1240"/>
        <w:spacing w:after="0"/>
        <w:tabs>
          <w:tab w:leader="dot" w:pos="6800" w:val="left"/>
        </w:tabs>
        <w:rPr>
          <w:sz w:val="20"/>
          <w:szCs w:val="20"/>
          <w:color w:val="auto"/>
        </w:rPr>
      </w:pPr>
      <w:r>
        <w:rPr>
          <w:rFonts w:ascii="Courier New" w:cs="Courier New" w:eastAsia="Courier New" w:hAnsi="Courier New"/>
          <w:sz w:val="15"/>
          <w:szCs w:val="15"/>
          <w:color w:val="auto"/>
        </w:rPr>
        <w:t>Consolidated Balance Sheet--December 31, 1998 and 1997</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Operations--Years</w:t>
      </w:r>
    </w:p>
    <w:p>
      <w:pPr>
        <w:spacing w:after="0" w:line="1" w:lineRule="exact"/>
        <w:rPr>
          <w:sz w:val="20"/>
          <w:szCs w:val="20"/>
          <w:color w:val="auto"/>
        </w:rPr>
      </w:pPr>
    </w:p>
    <w:p>
      <w:pPr>
        <w:ind w:left="1420"/>
        <w:spacing w:after="0"/>
        <w:tabs>
          <w:tab w:leader="dot" w:pos="6800" w:val="left"/>
        </w:tabs>
        <w:rPr>
          <w:sz w:val="20"/>
          <w:szCs w:val="20"/>
          <w:color w:val="auto"/>
        </w:rPr>
      </w:pPr>
      <w:r>
        <w:rPr>
          <w:rFonts w:ascii="Courier New" w:cs="Courier New" w:eastAsia="Courier New" w:hAnsi="Courier New"/>
          <w:sz w:val="15"/>
          <w:szCs w:val="15"/>
          <w:color w:val="auto"/>
        </w:rPr>
        <w:t>Ended December 31, 1998, 1997 and 1996</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Cash Flows--Years</w:t>
      </w:r>
    </w:p>
    <w:p>
      <w:pPr>
        <w:spacing w:after="0" w:line="1" w:lineRule="exact"/>
        <w:rPr>
          <w:sz w:val="20"/>
          <w:szCs w:val="20"/>
          <w:color w:val="auto"/>
        </w:rPr>
      </w:pPr>
    </w:p>
    <w:p>
      <w:pPr>
        <w:ind w:left="1420"/>
        <w:spacing w:after="0"/>
        <w:tabs>
          <w:tab w:leader="dot" w:pos="6800" w:val="left"/>
        </w:tabs>
        <w:rPr>
          <w:sz w:val="20"/>
          <w:szCs w:val="20"/>
          <w:color w:val="auto"/>
        </w:rPr>
      </w:pPr>
      <w:r>
        <w:rPr>
          <w:rFonts w:ascii="Courier New" w:cs="Courier New" w:eastAsia="Courier New" w:hAnsi="Courier New"/>
          <w:sz w:val="15"/>
          <w:szCs w:val="15"/>
          <w:color w:val="auto"/>
        </w:rPr>
        <w:t>Ended December 31, 1998, 1997 and 1996</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 w:lineRule="exact"/>
        <w:rPr>
          <w:sz w:val="20"/>
          <w:szCs w:val="20"/>
          <w:color w:val="auto"/>
        </w:rPr>
      </w:pPr>
    </w:p>
    <w:p>
      <w:pPr>
        <w:ind w:left="1420"/>
        <w:spacing w:after="0"/>
        <w:tabs>
          <w:tab w:leader="dot" w:pos="6800" w:val="left"/>
        </w:tabs>
        <w:rPr>
          <w:sz w:val="20"/>
          <w:szCs w:val="20"/>
          <w:color w:val="auto"/>
        </w:rPr>
      </w:pPr>
      <w:r>
        <w:rPr>
          <w:rFonts w:ascii="Courier New" w:cs="Courier New" w:eastAsia="Courier New" w:hAnsi="Courier New"/>
          <w:sz w:val="15"/>
          <w:szCs w:val="15"/>
          <w:color w:val="auto"/>
        </w:rPr>
        <w:t>(Deficiency)--Years Ended December 31, 1998, 1997 and 1996</w:t>
        <w:tab/>
        <w:t>33</w:t>
      </w:r>
    </w:p>
    <w:p>
      <w:pPr>
        <w:spacing w:after="0" w:line="1" w:lineRule="exact"/>
        <w:rPr>
          <w:sz w:val="20"/>
          <w:szCs w:val="20"/>
          <w:color w:val="auto"/>
        </w:rPr>
      </w:pPr>
    </w:p>
    <w:p>
      <w:pPr>
        <w:ind w:left="1240"/>
        <w:spacing w:after="0"/>
        <w:tabs>
          <w:tab w:leader="dot" w:pos="680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34</w:t>
      </w:r>
    </w:p>
    <w:p>
      <w:pPr>
        <w:spacing w:after="0" w:line="171" w:lineRule="exact"/>
        <w:rPr>
          <w:sz w:val="20"/>
          <w:szCs w:val="20"/>
          <w:color w:val="auto"/>
        </w:rPr>
      </w:pPr>
    </w:p>
    <w:p>
      <w:pPr>
        <w:ind w:left="440"/>
        <w:spacing w:after="0"/>
        <w:tabs>
          <w:tab w:leader="none" w:pos="1220" w:val="left"/>
          <w:tab w:leader="none" w:pos="2540" w:val="left"/>
          <w:tab w:leader="none" w:pos="3520" w:val="left"/>
          <w:tab w:leader="none" w:pos="4500" w:val="left"/>
          <w:tab w:leader="none" w:pos="5480" w:val="left"/>
        </w:tabs>
        <w:rPr>
          <w:sz w:val="20"/>
          <w:szCs w:val="20"/>
          <w:color w:val="auto"/>
        </w:rPr>
      </w:pPr>
      <w:r>
        <w:rPr>
          <w:rFonts w:ascii="Courier New" w:cs="Courier New" w:eastAsia="Courier New" w:hAnsi="Courier New"/>
          <w:sz w:val="15"/>
          <w:szCs w:val="15"/>
          <w:color w:val="auto"/>
        </w:rPr>
        <w:t>(b)(i)</w:t>
      </w:r>
      <w:r>
        <w:rPr>
          <w:sz w:val="20"/>
          <w:szCs w:val="20"/>
          <w:color w:val="auto"/>
        </w:rPr>
        <w:tab/>
      </w:r>
      <w:r>
        <w:rPr>
          <w:rFonts w:ascii="Courier New" w:cs="Courier New" w:eastAsia="Courier New" w:hAnsi="Courier New"/>
          <w:sz w:val="15"/>
          <w:szCs w:val="15"/>
          <w:color w:val="auto"/>
        </w:rPr>
        <w:t>The following</w:t>
        <w:tab/>
        <w:t>financial</w:t>
        <w:tab/>
        <w:t>statement</w:t>
        <w:tab/>
        <w:t>schedules</w:t>
      </w:r>
      <w:r>
        <w:rPr>
          <w:sz w:val="20"/>
          <w:szCs w:val="20"/>
          <w:color w:val="auto"/>
        </w:rPr>
        <w:tab/>
      </w:r>
      <w:r>
        <w:rPr>
          <w:rFonts w:ascii="Courier New" w:cs="Courier New" w:eastAsia="Courier New" w:hAnsi="Courier New"/>
          <w:sz w:val="14"/>
          <w:szCs w:val="14"/>
          <w:color w:val="auto"/>
        </w:rPr>
        <w:t>required to be</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filed by Items 8 and 14(d) of Form 10-K are included in Part IV:</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Schedule I - Condensed Financial Information of Registrant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Unconsolidated (Parent Only)</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4" w:lineRule="exact"/>
        <w:rPr>
          <w:sz w:val="20"/>
          <w:szCs w:val="20"/>
          <w:color w:val="auto"/>
        </w:rPr>
      </w:pPr>
    </w:p>
    <w:p>
      <w:pPr>
        <w:jc w:val="both"/>
        <w:ind w:left="1240" w:right="3119"/>
        <w:spacing w:after="0" w:line="239"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consolidated financial statements or notes thereto.</w:t>
      </w:r>
    </w:p>
    <w:p>
      <w:pPr>
        <w:spacing w:after="0" w:line="175" w:lineRule="exact"/>
        <w:rPr>
          <w:sz w:val="20"/>
          <w:szCs w:val="20"/>
          <w:color w:val="auto"/>
        </w:rPr>
      </w:pPr>
    </w:p>
    <w:p>
      <w:pPr>
        <w:ind w:left="780" w:right="7659" w:hanging="345"/>
        <w:spacing w:after="0" w:line="238" w:lineRule="auto"/>
        <w:tabs>
          <w:tab w:leader="none" w:pos="7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4" w:lineRule="exact"/>
        <w:rPr>
          <w:sz w:val="20"/>
          <w:szCs w:val="20"/>
          <w:color w:val="auto"/>
        </w:rPr>
      </w:pPr>
    </w:p>
    <w:p>
      <w:pPr>
        <w:jc w:val="both"/>
        <w:ind w:left="1940" w:right="3119" w:hanging="1064"/>
        <w:spacing w:after="0" w:line="239" w:lineRule="auto"/>
        <w:tabs>
          <w:tab w:leader="none" w:pos="192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5"/>
          <w:szCs w:val="15"/>
          <w:color w:val="auto"/>
        </w:rPr>
        <w:t>Amended and Restated Articles of Incorporation filed on July 24, 1990 (incorporated by reference to Exhibit 3.1(a) to our Annual Report on Form 10-K for the year ended December 31, 1995).</w:t>
      </w:r>
    </w:p>
    <w:p>
      <w:pPr>
        <w:spacing w:after="0" w:line="6" w:lineRule="exact"/>
        <w:rPr>
          <w:sz w:val="20"/>
          <w:szCs w:val="20"/>
          <w:color w:val="auto"/>
        </w:rPr>
      </w:pPr>
    </w:p>
    <w:p>
      <w:pPr>
        <w:jc w:val="both"/>
        <w:ind w:left="1940" w:right="3119" w:hanging="1064"/>
        <w:spacing w:after="0" w:line="239" w:lineRule="auto"/>
        <w:tabs>
          <w:tab w:leader="none" w:pos="1920" w:val="left"/>
        </w:tabs>
        <w:rPr>
          <w:sz w:val="20"/>
          <w:szCs w:val="20"/>
          <w:color w:val="auto"/>
        </w:rPr>
      </w:pPr>
      <w:r>
        <w:rPr>
          <w:rFonts w:ascii="Courier New" w:cs="Courier New" w:eastAsia="Courier New" w:hAnsi="Courier New"/>
          <w:sz w:val="15"/>
          <w:szCs w:val="15"/>
          <w:color w:val="auto"/>
        </w:rPr>
        <w:t>3.1(b)</w:t>
      </w:r>
      <w:r>
        <w:rPr>
          <w:sz w:val="20"/>
          <w:szCs w:val="20"/>
          <w:color w:val="auto"/>
        </w:rPr>
        <w:tab/>
      </w:r>
      <w:r>
        <w:rPr>
          <w:rFonts w:ascii="Courier New" w:cs="Courier New" w:eastAsia="Courier New" w:hAnsi="Courier New"/>
          <w:sz w:val="15"/>
          <w:szCs w:val="15"/>
          <w:color w:val="auto"/>
        </w:rPr>
        <w:t>Amendment to Restated Articles of Incorporation filed on July 14, 1994 (incorporated by reference to Exhibit 3.1(b) to our Annual Report on Form 10-K for the year ended December 31, 1995).</w:t>
      </w:r>
    </w:p>
    <w:p>
      <w:pPr>
        <w:spacing w:after="0" w:line="6" w:lineRule="exact"/>
        <w:rPr>
          <w:sz w:val="20"/>
          <w:szCs w:val="20"/>
          <w:color w:val="auto"/>
        </w:rPr>
      </w:pPr>
    </w:p>
    <w:p>
      <w:pPr>
        <w:jc w:val="both"/>
        <w:ind w:left="1940" w:right="3119" w:hanging="1064"/>
        <w:spacing w:after="0" w:line="239" w:lineRule="auto"/>
        <w:tabs>
          <w:tab w:leader="none" w:pos="1920" w:val="left"/>
        </w:tabs>
        <w:rPr>
          <w:sz w:val="20"/>
          <w:szCs w:val="20"/>
          <w:color w:val="auto"/>
        </w:rPr>
      </w:pPr>
      <w:r>
        <w:rPr>
          <w:rFonts w:ascii="Courier New" w:cs="Courier New" w:eastAsia="Courier New" w:hAnsi="Courier New"/>
          <w:sz w:val="15"/>
          <w:szCs w:val="15"/>
          <w:color w:val="auto"/>
        </w:rPr>
        <w:t>3.1(c)</w:t>
      </w:r>
      <w:r>
        <w:rPr>
          <w:sz w:val="20"/>
          <w:szCs w:val="20"/>
          <w:color w:val="auto"/>
        </w:rPr>
        <w:tab/>
      </w:r>
      <w:r>
        <w:rPr>
          <w:rFonts w:ascii="Courier New" w:cs="Courier New" w:eastAsia="Courier New" w:hAnsi="Courier New"/>
          <w:sz w:val="15"/>
          <w:szCs w:val="15"/>
          <w:color w:val="auto"/>
        </w:rPr>
        <w:t>Amendment to Restated Articles of Incorporation filed on July 12, 1995 (incorporated by reference to Exhibit 3.1(c) to our Annual Report on Form 10-K for the year ended December 31, 1995).</w:t>
      </w:r>
    </w:p>
    <w:p>
      <w:pPr>
        <w:spacing w:after="0" w:line="6" w:lineRule="exact"/>
        <w:rPr>
          <w:sz w:val="20"/>
          <w:szCs w:val="20"/>
          <w:color w:val="auto"/>
        </w:rPr>
      </w:pPr>
    </w:p>
    <w:p>
      <w:pPr>
        <w:jc w:val="both"/>
        <w:ind w:left="1940" w:right="3119" w:hanging="1064"/>
        <w:spacing w:after="0" w:line="239" w:lineRule="auto"/>
        <w:tabs>
          <w:tab w:leader="none" w:pos="1920" w:val="left"/>
        </w:tabs>
        <w:rPr>
          <w:sz w:val="20"/>
          <w:szCs w:val="20"/>
          <w:color w:val="auto"/>
        </w:rPr>
      </w:pPr>
      <w:r>
        <w:rPr>
          <w:rFonts w:ascii="Courier New" w:cs="Courier New" w:eastAsia="Courier New" w:hAnsi="Courier New"/>
          <w:sz w:val="15"/>
          <w:szCs w:val="15"/>
          <w:color w:val="auto"/>
        </w:rPr>
        <w:t>3.1(d)</w:t>
      </w:r>
      <w:r>
        <w:rPr>
          <w:sz w:val="20"/>
          <w:szCs w:val="20"/>
          <w:color w:val="auto"/>
        </w:rPr>
        <w:tab/>
      </w:r>
      <w:r>
        <w:rPr>
          <w:rFonts w:ascii="Courier New" w:cs="Courier New" w:eastAsia="Courier New" w:hAnsi="Courier New"/>
          <w:sz w:val="15"/>
          <w:szCs w:val="15"/>
          <w:color w:val="auto"/>
        </w:rPr>
        <w:t>Amendment to Restated Articles of Incorporation filed on June 24, 1996 (incorporated by reference to Exhibit 4.1(d) to our Registration Statement on Form S-3, as amended, filed on July 16, 1996).</w:t>
      </w:r>
    </w:p>
    <w:p>
      <w:pPr>
        <w:spacing w:after="0" w:line="6" w:lineRule="exact"/>
        <w:rPr>
          <w:sz w:val="20"/>
          <w:szCs w:val="20"/>
          <w:color w:val="auto"/>
        </w:rPr>
      </w:pPr>
    </w:p>
    <w:p>
      <w:pPr>
        <w:jc w:val="both"/>
        <w:ind w:left="1940" w:right="3119" w:hanging="1064"/>
        <w:spacing w:after="0"/>
        <w:tabs>
          <w:tab w:leader="none" w:pos="1920" w:val="left"/>
        </w:tabs>
        <w:rPr>
          <w:sz w:val="20"/>
          <w:szCs w:val="20"/>
          <w:color w:val="auto"/>
        </w:rPr>
      </w:pPr>
      <w:r>
        <w:rPr>
          <w:rFonts w:ascii="Courier New" w:cs="Courier New" w:eastAsia="Courier New" w:hAnsi="Courier New"/>
          <w:sz w:val="15"/>
          <w:szCs w:val="15"/>
          <w:color w:val="auto"/>
        </w:rPr>
        <w:t>3.1(e)</w:t>
      </w:r>
      <w:r>
        <w:rPr>
          <w:sz w:val="20"/>
          <w:szCs w:val="20"/>
          <w:color w:val="auto"/>
        </w:rPr>
        <w:tab/>
      </w:r>
      <w:r>
        <w:rPr>
          <w:rFonts w:ascii="Courier New" w:cs="Courier New" w:eastAsia="Courier New" w:hAnsi="Courier New"/>
          <w:sz w:val="15"/>
          <w:szCs w:val="15"/>
          <w:color w:val="auto"/>
        </w:rPr>
        <w:t>Form of Statement of Designations, Preferences and Rights of 5% Series A Convertible Preferred Stock of the Company (incorporated by reference to Exhibit 4.1(e) to our Registration Statement on Form S-3 filed on July 16, 1996).</w:t>
      </w:r>
    </w:p>
    <w:p>
      <w:pPr>
        <w:spacing w:after="0" w:line="4" w:lineRule="exact"/>
        <w:rPr>
          <w:sz w:val="20"/>
          <w:szCs w:val="20"/>
          <w:color w:val="auto"/>
        </w:rPr>
      </w:pPr>
    </w:p>
    <w:p>
      <w:pPr>
        <w:jc w:val="both"/>
        <w:ind w:left="1940" w:right="3119" w:hanging="1064"/>
        <w:spacing w:after="0" w:line="258" w:lineRule="auto"/>
        <w:tabs>
          <w:tab w:leader="none" w:pos="1920" w:val="left"/>
        </w:tabs>
        <w:rPr>
          <w:sz w:val="20"/>
          <w:szCs w:val="20"/>
          <w:color w:val="auto"/>
        </w:rPr>
      </w:pPr>
      <w:r>
        <w:rPr>
          <w:rFonts w:ascii="Courier New" w:cs="Courier New" w:eastAsia="Courier New" w:hAnsi="Courier New"/>
          <w:sz w:val="15"/>
          <w:szCs w:val="15"/>
          <w:color w:val="auto"/>
        </w:rPr>
        <w:t>3.1(f)</w:t>
      </w:r>
      <w:r>
        <w:rPr>
          <w:sz w:val="20"/>
          <w:szCs w:val="20"/>
          <w:color w:val="auto"/>
        </w:rPr>
        <w:tab/>
      </w:r>
      <w:r>
        <w:rPr>
          <w:rFonts w:ascii="Courier New" w:cs="Courier New" w:eastAsia="Courier New" w:hAnsi="Courier New"/>
          <w:sz w:val="14"/>
          <w:szCs w:val="14"/>
          <w:color w:val="auto"/>
        </w:rPr>
        <w:t>Form of Statement of Designations, Preferences and Rights of Series B Convertible Preferred Stock of the Company (incorporated by reference to Exhibit 3.1 to our Quarterly Report on Form 10-Q for the quarter ended June 30, 1997).</w:t>
      </w:r>
    </w:p>
    <w:p>
      <w:pPr>
        <w:spacing w:after="0" w:line="1" w:lineRule="exact"/>
        <w:rPr>
          <w:sz w:val="20"/>
          <w:szCs w:val="20"/>
          <w:color w:val="auto"/>
        </w:rPr>
      </w:pPr>
    </w:p>
    <w:p>
      <w:pPr>
        <w:jc w:val="both"/>
        <w:ind w:left="1940" w:right="3119" w:hanging="1064"/>
        <w:spacing w:after="0" w:line="239" w:lineRule="auto"/>
        <w:tabs>
          <w:tab w:leader="none" w:pos="19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(incorporated by reference to Exhibit 3(ii) to our Annual Report on Form 10-K for the year ended December 31, 1993).</w:t>
      </w:r>
    </w:p>
    <w:p>
      <w:pPr>
        <w:spacing w:after="0" w:line="4" w:lineRule="exact"/>
        <w:rPr>
          <w:sz w:val="20"/>
          <w:szCs w:val="20"/>
          <w:color w:val="auto"/>
        </w:rPr>
      </w:pPr>
    </w:p>
    <w:p>
      <w:pPr>
        <w:jc w:val="both"/>
        <w:ind w:left="1940" w:right="3119" w:hanging="1064"/>
        <w:spacing w:after="0" w:line="258" w:lineRule="auto"/>
        <w:tabs>
          <w:tab w:leader="none" w:pos="19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Class A Common Stock Certificate (incorporated by reference to Exhibit 2(a) to our Registration Statement on Form S-7 filed on September 17, 1980, File No. 2-69178).</w:t>
      </w:r>
    </w:p>
    <w:p>
      <w:pPr>
        <w:spacing w:after="0" w:line="1" w:lineRule="exact"/>
        <w:rPr>
          <w:sz w:val="20"/>
          <w:szCs w:val="20"/>
          <w:color w:val="auto"/>
        </w:rPr>
      </w:pPr>
    </w:p>
    <w:p>
      <w:pPr>
        <w:jc w:val="both"/>
        <w:ind w:left="1940" w:right="3119" w:hanging="1064"/>
        <w:spacing w:after="0" w:line="264" w:lineRule="auto"/>
        <w:tabs>
          <w:tab w:leader="none" w:pos="19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Class A Special Common Stock Certificate (incorporated by reference to Exhibit 4(2) to our Annual Report on Form 10-K for the year ended December 31, 1986).</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- 62 -</w:t>
      </w:r>
    </w:p>
    <w:p>
      <w:pPr>
        <w:sectPr>
          <w:pgSz w:w="11900" w:h="16838" w:orient="portrait"/>
          <w:cols w:equalWidth="0" w:num="1">
            <w:col w:w="10219"/>
          </w:cols>
          <w:pgMar w:left="240" w:top="457" w:right="1440" w:bottom="1440" w:gutter="0" w:footer="0" w:header="0"/>
        </w:sectPr>
      </w:pPr>
    </w:p>
    <w:bookmarkStart w:id="69" w:name="page70"/>
    <w:bookmarkEnd w:id="69"/>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Indenture, dated as of October 17, 1991, between the Company and Bank of Montreal/Harris Trust (successor to Morgan Guaranty Trust Company of New York), as Trustee (incorporated by reference to Exhibit 2 to our Current Report on Form 8-K filed on October 31, 1991).</w:t>
      </w:r>
    </w:p>
    <w:p>
      <w:pPr>
        <w:spacing w:after="0" w:line="4"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Form of Debenture relating to our 10-1/4% Senior Subordinated Debentures due 2001 (incorporated by reference to Exhibit 4(19) to our Annual Report on Form 10-K for the year ended December 31, 1991).</w:t>
      </w:r>
    </w:p>
    <w:p>
      <w:pPr>
        <w:spacing w:after="0" w:line="6"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Debenture relating to our $300,000,000 10-5/8% Senior Subordinated Debentures due 2012 (incorporated by reference to Exhibit 4(17) to our Annual Report on Form 10-K for the year ended December 31, 1992).</w:t>
      </w:r>
    </w:p>
    <w:p>
      <w:pPr>
        <w:spacing w:after="0" w:line="6"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Debenture relating to our $200,000,000 9-1/2% Senior Subordinated Debentures due 2008 (incorporated by reference to Exhibit 4(18) to our Annual Report on Form 10-K for the year ended December 31, 1992).</w:t>
      </w:r>
    </w:p>
    <w:p>
      <w:pPr>
        <w:spacing w:after="0" w:line="6"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Indenture, dated as of February 20, 1991, between us and Bankers Trust Company, as Trustee (incorporated by reference to Exhibit 4.3 to our Registration Statement on Form S-3 (File No. 33-32830), filed on January 11, 1990).</w:t>
      </w:r>
    </w:p>
    <w:p>
      <w:pPr>
        <w:spacing w:after="0" w:line="6"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Form of Debenture relating to our $250.0 million 9-3/8% Senior Subordinated Debentures due 2005 (incorporated by reference to Exhibit 4.1 to our Quarterly Report on Form 10-Q for the quarter ended June 30, 1995).</w:t>
      </w:r>
    </w:p>
    <w:p>
      <w:pPr>
        <w:spacing w:after="0" w:line="6"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Form of Debenture relating to our $250.0 million 9-1/8% Senior Subordinated Debentures due 2006 (incorporated by reference to Exhibit 4.13 to our Annual Report on Form 10-K for the year ended December 31, 1995).</w:t>
      </w:r>
    </w:p>
    <w:p>
      <w:pPr>
        <w:spacing w:after="0" w:line="6" w:lineRule="exact"/>
        <w:rPr>
          <w:sz w:val="20"/>
          <w:szCs w:val="20"/>
          <w:color w:val="auto"/>
        </w:rPr>
      </w:pPr>
    </w:p>
    <w:p>
      <w:pPr>
        <w:jc w:val="both"/>
        <w:ind w:left="1949" w:right="3119" w:hanging="1064"/>
        <w:spacing w:after="0" w:line="258" w:lineRule="auto"/>
        <w:tabs>
          <w:tab w:leader="none" w:pos="192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Comcast Corporation 1986 Non-Qualified Stock Option Plan, as amended and restated, effective December 10, 1996 (incorporated by reference to Exhibit 10.3 to our Annual Report on Form 10-K for the year ended December 31, 1996).</w:t>
      </w:r>
    </w:p>
    <w:p>
      <w:pPr>
        <w:spacing w:after="0" w:line="1" w:lineRule="exact"/>
        <w:rPr>
          <w:sz w:val="20"/>
          <w:szCs w:val="20"/>
          <w:color w:val="auto"/>
        </w:rPr>
      </w:pPr>
    </w:p>
    <w:p>
      <w:pPr>
        <w:jc w:val="both"/>
        <w:ind w:left="1949" w:right="3119" w:hanging="1064"/>
        <w:spacing w:after="0" w:line="238" w:lineRule="auto"/>
        <w:tabs>
          <w:tab w:leader="none" w:pos="192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Comcast Corporation 1987 Stock Option Plan, as amended and restated, effective December 15, 1998.</w:t>
      </w:r>
    </w:p>
    <w:p>
      <w:pPr>
        <w:spacing w:after="0" w:line="4" w:lineRule="exact"/>
        <w:rPr>
          <w:sz w:val="20"/>
          <w:szCs w:val="20"/>
          <w:color w:val="auto"/>
        </w:rPr>
      </w:pPr>
    </w:p>
    <w:p>
      <w:pPr>
        <w:jc w:val="both"/>
        <w:ind w:left="1949" w:right="3119" w:hanging="1064"/>
        <w:spacing w:after="0" w:line="238" w:lineRule="auto"/>
        <w:tabs>
          <w:tab w:leader="none" w:pos="192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Comcast Corporation 1996 Stock Option Plan, as amended and restated, effective December 15, 1998.</w:t>
      </w:r>
    </w:p>
    <w:p>
      <w:pPr>
        <w:spacing w:after="0" w:line="4" w:lineRule="exact"/>
        <w:rPr>
          <w:sz w:val="20"/>
          <w:szCs w:val="20"/>
          <w:color w:val="auto"/>
        </w:rPr>
      </w:pPr>
    </w:p>
    <w:p>
      <w:pPr>
        <w:jc w:val="both"/>
        <w:ind w:left="1949" w:right="3119" w:hanging="1064"/>
        <w:spacing w:after="0" w:line="238" w:lineRule="auto"/>
        <w:tabs>
          <w:tab w:leader="none" w:pos="192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Comcast Corporation 1996 Deferred Compensation Plan, as amended and restated, effective December 15, 1998.</w:t>
      </w:r>
    </w:p>
    <w:p>
      <w:pPr>
        <w:spacing w:after="0" w:line="4" w:lineRule="exact"/>
        <w:rPr>
          <w:sz w:val="20"/>
          <w:szCs w:val="20"/>
          <w:color w:val="auto"/>
        </w:rPr>
      </w:pPr>
    </w:p>
    <w:p>
      <w:pPr>
        <w:jc w:val="both"/>
        <w:ind w:left="1949" w:right="3119" w:hanging="1064"/>
        <w:spacing w:after="0" w:line="238" w:lineRule="auto"/>
        <w:tabs>
          <w:tab w:leader="none" w:pos="192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Comcast Corporation 1990 Restricted Stock Plan, as amended and restated, effective December 15, 1998.</w:t>
      </w:r>
    </w:p>
    <w:p>
      <w:pPr>
        <w:spacing w:after="0" w:line="4"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1992 Executive Split Dollar Insurance Plan (incorporated by reference to Exhibit 10(12) to our Annual Report on Form 10-K for the year ended December 31, 1992).</w:t>
      </w:r>
    </w:p>
    <w:p>
      <w:pPr>
        <w:spacing w:after="0" w:line="4" w:lineRule="exact"/>
        <w:rPr>
          <w:sz w:val="20"/>
          <w:szCs w:val="20"/>
          <w:color w:val="auto"/>
        </w:rPr>
      </w:pPr>
    </w:p>
    <w:p>
      <w:pPr>
        <w:jc w:val="both"/>
        <w:ind w:left="1949" w:right="3119" w:hanging="1064"/>
        <w:spacing w:after="0" w:line="238" w:lineRule="auto"/>
        <w:tabs>
          <w:tab w:leader="none" w:pos="192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Comcast Corporation 1996 Cash Bonus Plan, as amended and restated, effective December 15, 1998.</w:t>
      </w:r>
    </w:p>
    <w:p>
      <w:pPr>
        <w:spacing w:after="0" w:line="4" w:lineRule="exact"/>
        <w:rPr>
          <w:sz w:val="20"/>
          <w:szCs w:val="20"/>
          <w:color w:val="auto"/>
        </w:rPr>
      </w:pPr>
    </w:p>
    <w:p>
      <w:pPr>
        <w:jc w:val="both"/>
        <w:ind w:left="1949" w:right="3119" w:hanging="1064"/>
        <w:spacing w:after="0" w:line="239" w:lineRule="auto"/>
        <w:tabs>
          <w:tab w:leader="none" w:pos="192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Comcast Corporation 1996 Executive Cash Bonus Plan, dated August 15, 1996 (incorporated by reference to Exhibit 10.10 to our Annual Report on Form 10-K for the year ended December 31, 1996).</w:t>
      </w:r>
    </w:p>
    <w:p>
      <w:pPr>
        <w:spacing w:after="0" w:line="6"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Compensation and Deferred Compensation Agreement by and between Comcast Corporation and Ralph J. Roberts, as amended and restated, effective August 31, 1998 (incorporated by reference to Exhibit 10.1 to our Quarterly Report on Form 10-Q for the quarter ended September 30, 1998).</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The Comcast Corporation Retirement-Investment Plan, as amended and restated effective January 1, 1993 (revised through September 30, 1995) (incorporated by reference to Exhibit 10.1 to our Registration Statement on Form S-8 filed on October 5, 1995).</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Defined Contribution Plans Master Trust Agreement, between Comcast Corporation and State Street Bank and Trust Company (incorporated by reference to Exhibit 10.2 to our Registration Statement on Form S-8 filed on October 5, 1995).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7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63 -</w:t>
      </w:r>
    </w:p>
    <w:p>
      <w:pPr>
        <w:sectPr>
          <w:pgSz w:w="11900" w:h="16838" w:orient="portrait"/>
          <w:cols w:equalWidth="0" w:num="1">
            <w:col w:w="10228"/>
          </w:cols>
          <w:pgMar w:left="231" w:top="460" w:right="1440" w:bottom="1440" w:gutter="0" w:footer="0" w:header="0"/>
        </w:sectPr>
      </w:pPr>
    </w:p>
    <w:bookmarkStart w:id="70" w:name="page71"/>
    <w:bookmarkEnd w:id="70"/>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Tele-Communications, Inc., the Company and each of the Departing Subsidiaries that are signatories thereto (incorporated by reference to Exhibit 4 to our Current Report on Form 8-K filed on December 17, 1992, as amended by Form 8 filed January 8, 1993).</w:t>
      </w:r>
    </w:p>
    <w:p>
      <w:pPr>
        <w:spacing w:after="0" w:line="6" w:lineRule="exact"/>
        <w:rPr>
          <w:sz w:val="20"/>
          <w:szCs w:val="20"/>
          <w:color w:val="auto"/>
        </w:rPr>
      </w:pPr>
    </w:p>
    <w:p>
      <w:pPr>
        <w:jc w:val="both"/>
        <w:ind w:left="1949" w:right="3119" w:hanging="1064"/>
        <w:spacing w:after="0" w:line="258" w:lineRule="auto"/>
        <w:tabs>
          <w:tab w:leader="none" w:pos="1929"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Comcast Corporation 1997 Deferred Stock Option Plan, as amended and restated, effective December 18, 1997 (incorporated by reference to Exhibit 10.13 to our Annual Report on Form 10-K for the year ended December 31, 1997).</w:t>
      </w:r>
    </w:p>
    <w:p>
      <w:pPr>
        <w:spacing w:after="0" w:line="1"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Note Purchase Agreement, dated as of November 15, 1992, among Comcast Storer, Inc., Storer Communications, Inc., Comcast Storer Finance Sub, Inc. and each of the respective purchasers named therein (incorporated by reference to Exhibit 6 to our Current Report on Form 8-K filed on December 17, 1992, as amended by Form 8 filed January 8, 1993).</w:t>
      </w:r>
    </w:p>
    <w:p>
      <w:pPr>
        <w:spacing w:after="0" w:line="5"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Payment Agreement, dated December 2, 1992, among the Company, Comcast Storer, Inc., SCI Holdings, Inc., Storer Communications, Inc. and each of the Remaining Subsidiaries that are signatories thereto (incorporated by reference to Exhibit 7 to our Current Report on Form 8-K filed on December 17, 1992, as amended by Form 8 filed January 8, 1993).</w:t>
      </w:r>
    </w:p>
    <w:p>
      <w:pPr>
        <w:spacing w:after="0" w:line="5"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Intercreditor and Collateral Agency Agreement, dated as of December 2, 1992, among Comcast Storer, Inc., Comcast Cable Communications, Inc., Storer Communications, Inc., the banks party to the Credit Agreement dated as of December 2, 1992, the purchasers of the Senior Notes under the separate Note Purchase Agreements each dated as of November 15, 1992, the Senior Lenders (as defined therein) and The Bank of New York as collateral agent for the Senior Lenders (incorporated by reference to Exhibit 8 to our Current Report on Form 8-K filed on December 17, 1992, as amended by Form 8 filed January 8, 1993).</w:t>
      </w:r>
    </w:p>
    <w:p>
      <w:pPr>
        <w:spacing w:after="0" w:line="8"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Tax Sharing Agreement, dated December 2, 1992, between the Company and Comcast Storer, Inc. (incorporated by reference to Exhibit 9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Pledge Agreement, dated as of December 2, 1992, between Comcast Cable Communications, Inc. and The Bank of New York (incorporated by reference to Exhibit 10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Pledge Agreement, dated as of December 2, 1992, between Comcast Storer, Inc. and The Bank of New York (incorporated by reference to Exhibit 11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Pledge Agreement, dated as of December 2, 1992, between Storer Communications, Inc. and The Bank of New York (incorporated by reference to Exhibit 12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Note Pledge Agreement, dated as of December 2, 1992, between Comcast Storer, Inc. and The Bank of New York (incorporated by reference to Exhibit 13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Guaranty Agreement, dated as of December 2, 1992, between Storer Communications, Inc. and The Bank of New York (incorporated by reference to Exhibit 14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tabs>
          <w:tab w:leader="none" w:pos="1929"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Guaranty Agreement, dated as of December 2, 1992, between Comcast Storer Finance Sub, Inc. and The Bank of New York (incorporated by reference to Exhibit 15 to our Current Report on Form 8-K filed on December 17, 1992, as amended by Form 8 filed January 8, 1993).</w:t>
      </w:r>
    </w:p>
    <w:p>
      <w:pPr>
        <w:spacing w:after="0" w:line="4" w:lineRule="exact"/>
        <w:rPr>
          <w:sz w:val="20"/>
          <w:szCs w:val="20"/>
          <w:color w:val="auto"/>
        </w:rPr>
      </w:pPr>
    </w:p>
    <w:p>
      <w:pPr>
        <w:jc w:val="both"/>
        <w:ind w:left="1949" w:right="3119" w:hanging="1064"/>
        <w:spacing w:after="0" w:line="258" w:lineRule="auto"/>
        <w:tabs>
          <w:tab w:leader="none" w:pos="1929"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4"/>
          <w:szCs w:val="14"/>
          <w:color w:val="auto"/>
        </w:rPr>
        <w:t>Amended and Restated Stockholders Agreement, dated as of February 9, 1995, among the Company, Comcast QVC, Inc., QVC Programming Holdings, Inc., Liberty Media Corporation, QVC Investment, Inc. and Liberty QVC, Inc. (incorporated by reference to Exhibit 10.5 to our Quarterly Report on Form 10-Q for the quarter ended March 31, 1995).</w:t>
      </w:r>
    </w:p>
    <w:p>
      <w:pPr>
        <w:ind w:left="9"/>
        <w:spacing w:after="0" w:line="237" w:lineRule="auto"/>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7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64 -</w:t>
      </w:r>
    </w:p>
    <w:p>
      <w:pPr>
        <w:sectPr>
          <w:pgSz w:w="11900" w:h="16838" w:orient="portrait"/>
          <w:cols w:equalWidth="0" w:num="1">
            <w:col w:w="10228"/>
          </w:cols>
          <w:pgMar w:left="231" w:top="460" w:right="1440" w:bottom="1440" w:gutter="0" w:footer="0" w:header="0"/>
        </w:sectPr>
      </w:pPr>
    </w:p>
    <w:bookmarkStart w:id="71" w:name="page72"/>
    <w:bookmarkEnd w:id="71"/>
    <w:tbl>
      <w:tblPr>
        <w:tblLayout w:type="fixed"/>
        <w:tblInd w:w="889"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10.25(a)</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Credit</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10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6"/>
              </w:rPr>
              <w:t>dated as of</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among</w:t>
            </w:r>
          </w:p>
        </w:tc>
      </w:tr>
      <w:tr>
        <w:trPr>
          <w:trHeight w:val="171"/>
        </w:trPr>
        <w:tc>
          <w:tcPr>
            <w:tcW w:w="980" w:type="dxa"/>
            <w:vAlign w:val="bottom"/>
          </w:tcPr>
          <w:p>
            <w:pPr>
              <w:spacing w:after="0"/>
              <w:rPr>
                <w:sz w:val="14"/>
                <w:szCs w:val="14"/>
                <w:color w:val="auto"/>
              </w:rPr>
            </w:pPr>
          </w:p>
        </w:tc>
        <w:tc>
          <w:tcPr>
            <w:tcW w:w="284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QVC, Inc. and the Banks listed</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therein</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7"/>
              </w:rPr>
              <w:t>(incorporated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reference</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to Exhibit</w:t>
            </w:r>
          </w:p>
        </w:tc>
        <w:tc>
          <w:tcPr>
            <w:tcW w:w="8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(b)(6) to</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Amendment</w:t>
            </w: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No. 21 to the</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Tender Offer Statement on Schedule 14D-1 filed on February</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17, 1995 by QVC</w:t>
            </w:r>
          </w:p>
        </w:tc>
        <w:tc>
          <w:tcPr>
            <w:tcW w:w="12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Programming</w:t>
            </w: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Holdings,</w:t>
            </w:r>
          </w:p>
        </w:tc>
        <w:tc>
          <w:tcPr>
            <w:tcW w:w="15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Inc., the Company</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1880" w:type="dxa"/>
            <w:vAlign w:val="bottom"/>
            <w:gridSpan w:val="8"/>
          </w:tcPr>
          <w:p>
            <w:pPr>
              <w:spacing w:after="0"/>
              <w:rPr>
                <w:sz w:val="20"/>
                <w:szCs w:val="20"/>
                <w:color w:val="auto"/>
              </w:rPr>
            </w:pPr>
            <w:r>
              <w:rPr>
                <w:rFonts w:ascii="Courier New" w:cs="Courier New" w:eastAsia="Courier New" w:hAnsi="Courier New"/>
                <w:sz w:val="15"/>
                <w:szCs w:val="15"/>
                <w:color w:val="auto"/>
              </w:rPr>
              <w:t>Tele-Communications,</w:t>
            </w:r>
          </w:p>
        </w:tc>
        <w:tc>
          <w:tcPr>
            <w:tcW w:w="284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Inc. with respect to the tender</w:t>
            </w:r>
          </w:p>
        </w:tc>
      </w:tr>
      <w:tr>
        <w:trPr>
          <w:trHeight w:val="171"/>
        </w:trPr>
        <w:tc>
          <w:tcPr>
            <w:tcW w:w="980" w:type="dxa"/>
            <w:vAlign w:val="bottom"/>
          </w:tcPr>
          <w:p>
            <w:pPr>
              <w:spacing w:after="0"/>
              <w:rPr>
                <w:sz w:val="14"/>
                <w:szCs w:val="14"/>
                <w:color w:val="auto"/>
              </w:rPr>
            </w:pPr>
          </w:p>
        </w:tc>
        <w:tc>
          <w:tcPr>
            <w:tcW w:w="4340" w:type="dxa"/>
            <w:vAlign w:val="bottom"/>
            <w:gridSpan w:val="17"/>
          </w:tcPr>
          <w:p>
            <w:pPr>
              <w:ind w:left="80"/>
              <w:spacing w:after="0"/>
              <w:rPr>
                <w:sz w:val="20"/>
                <w:szCs w:val="20"/>
                <w:color w:val="auto"/>
              </w:rPr>
            </w:pPr>
            <w:r>
              <w:rPr>
                <w:rFonts w:ascii="Courier New" w:cs="Courier New" w:eastAsia="Courier New" w:hAnsi="Courier New"/>
                <w:sz w:val="15"/>
                <w:szCs w:val="15"/>
                <w:color w:val="auto"/>
              </w:rPr>
              <w:t>offer for all outstanding shares of QVC, Inc.).</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10.25(b)**</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Amendment</w:t>
            </w:r>
          </w:p>
        </w:tc>
        <w:tc>
          <w:tcPr>
            <w:tcW w:w="180" w:type="dxa"/>
            <w:vAlign w:val="bottom"/>
          </w:tcPr>
          <w:p>
            <w:pPr>
              <w:spacing w:after="0"/>
              <w:rPr>
                <w:sz w:val="14"/>
                <w:szCs w:val="14"/>
                <w:color w:val="auto"/>
              </w:rPr>
            </w:pPr>
          </w:p>
        </w:tc>
        <w:tc>
          <w:tcPr>
            <w:tcW w:w="4180" w:type="dxa"/>
            <w:vAlign w:val="bottom"/>
            <w:gridSpan w:val="16"/>
          </w:tcPr>
          <w:p>
            <w:pPr>
              <w:spacing w:after="0"/>
              <w:rPr>
                <w:sz w:val="20"/>
                <w:szCs w:val="20"/>
                <w:color w:val="auto"/>
              </w:rPr>
            </w:pPr>
            <w:r>
              <w:rPr>
                <w:rFonts w:ascii="Courier New" w:cs="Courier New" w:eastAsia="Courier New" w:hAnsi="Courier New"/>
                <w:sz w:val="15"/>
                <w:szCs w:val="15"/>
                <w:color w:val="auto"/>
                <w:w w:val="98"/>
              </w:rPr>
              <w:t>No. 3, dated as of July 19, 1996, to the Credit</w:t>
            </w:r>
          </w:p>
        </w:tc>
      </w:tr>
      <w:tr>
        <w:trPr>
          <w:trHeight w:val="171"/>
        </w:trPr>
        <w:tc>
          <w:tcPr>
            <w:tcW w:w="98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Agreement,</w:t>
            </w:r>
          </w:p>
        </w:tc>
        <w:tc>
          <w:tcPr>
            <w:tcW w:w="4180" w:type="dxa"/>
            <w:vAlign w:val="bottom"/>
            <w:gridSpan w:val="16"/>
          </w:tcPr>
          <w:p>
            <w:pPr>
              <w:jc w:val="right"/>
              <w:spacing w:after="0"/>
              <w:rPr>
                <w:sz w:val="20"/>
                <w:szCs w:val="20"/>
                <w:color w:val="auto"/>
              </w:rPr>
            </w:pPr>
            <w:r>
              <w:rPr>
                <w:rFonts w:ascii="Courier New" w:cs="Courier New" w:eastAsia="Courier New" w:hAnsi="Courier New"/>
                <w:sz w:val="15"/>
                <w:szCs w:val="15"/>
                <w:color w:val="auto"/>
              </w:rPr>
              <w:t>dated as of February 15, 1995, among QVC, Inc.</w:t>
            </w:r>
          </w:p>
        </w:tc>
      </w:tr>
      <w:tr>
        <w:trPr>
          <w:trHeight w:val="171"/>
        </w:trPr>
        <w:tc>
          <w:tcPr>
            <w:tcW w:w="980" w:type="dxa"/>
            <w:vAlign w:val="bottom"/>
          </w:tcPr>
          <w:p>
            <w:pPr>
              <w:spacing w:after="0"/>
              <w:rPr>
                <w:sz w:val="14"/>
                <w:szCs w:val="14"/>
                <w:color w:val="auto"/>
              </w:rPr>
            </w:pPr>
          </w:p>
        </w:tc>
        <w:tc>
          <w:tcPr>
            <w:tcW w:w="266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8"/>
              </w:rPr>
              <w:t>and the Banks listed therein.</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Comcast MHCP Holdings, L.L.C. Amended and Restated Limited</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Liability</w:t>
            </w:r>
          </w:p>
        </w:tc>
        <w:tc>
          <w:tcPr>
            <w:tcW w:w="1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10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Agreement,</w:t>
            </w:r>
          </w:p>
        </w:tc>
        <w:tc>
          <w:tcPr>
            <w:tcW w:w="11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dated as of</w:t>
            </w:r>
          </w:p>
        </w:tc>
        <w:tc>
          <w:tcPr>
            <w:tcW w:w="100" w:type="dxa"/>
            <w:vAlign w:val="bottom"/>
          </w:tcPr>
          <w:p>
            <w:pPr>
              <w:spacing w:after="0"/>
              <w:rPr>
                <w:sz w:val="14"/>
                <w:szCs w:val="14"/>
                <w:color w:val="auto"/>
              </w:rPr>
            </w:pPr>
          </w:p>
        </w:tc>
        <w:tc>
          <w:tcPr>
            <w:tcW w:w="8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4"/>
              </w:rPr>
              <w:t>December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r>
      <w:tr>
        <w:trPr>
          <w:trHeight w:val="171"/>
        </w:trPr>
        <w:tc>
          <w:tcPr>
            <w:tcW w:w="980" w:type="dxa"/>
            <w:vAlign w:val="bottom"/>
          </w:tcPr>
          <w:p>
            <w:pPr>
              <w:spacing w:after="0"/>
              <w:rPr>
                <w:sz w:val="14"/>
                <w:szCs w:val="14"/>
                <w:color w:val="auto"/>
              </w:rPr>
            </w:pPr>
          </w:p>
        </w:tc>
        <w:tc>
          <w:tcPr>
            <w:tcW w:w="4080" w:type="dxa"/>
            <w:vAlign w:val="bottom"/>
            <w:gridSpan w:val="16"/>
          </w:tcPr>
          <w:p>
            <w:pPr>
              <w:ind w:left="80"/>
              <w:spacing w:after="0"/>
              <w:rPr>
                <w:sz w:val="20"/>
                <w:szCs w:val="20"/>
                <w:color w:val="auto"/>
              </w:rPr>
            </w:pPr>
            <w:r>
              <w:rPr>
                <w:rFonts w:ascii="Courier New" w:cs="Courier New" w:eastAsia="Courier New" w:hAnsi="Courier New"/>
                <w:sz w:val="15"/>
                <w:szCs w:val="15"/>
                <w:color w:val="auto"/>
                <w:w w:val="98"/>
              </w:rPr>
              <w:t>1994,  among  Comcast  Cable  Communications,</w:t>
            </w:r>
          </w:p>
        </w:tc>
        <w:tc>
          <w:tcPr>
            <w:tcW w:w="260" w:type="dxa"/>
            <w:vAlign w:val="bottom"/>
          </w:tcPr>
          <w:p>
            <w:pPr>
              <w:spacing w:after="0"/>
              <w:rPr>
                <w:sz w:val="14"/>
                <w:szCs w:val="14"/>
                <w:color w:val="auto"/>
              </w:rPr>
            </w:pPr>
          </w:p>
        </w:tc>
        <w:tc>
          <w:tcPr>
            <w:tcW w:w="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3"/>
              </w:rPr>
              <w:t>Inc.,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171"/>
        </w:trPr>
        <w:tc>
          <w:tcPr>
            <w:tcW w:w="98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California</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Public</w:t>
            </w:r>
          </w:p>
        </w:tc>
        <w:tc>
          <w:tcPr>
            <w:tcW w:w="10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Employees'</w:t>
            </w:r>
          </w:p>
        </w:tc>
        <w:tc>
          <w:tcPr>
            <w:tcW w:w="240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Retirement System and, for</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certain limited</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purposes,</w:t>
            </w:r>
          </w:p>
        </w:tc>
        <w:tc>
          <w:tcPr>
            <w:tcW w:w="13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the Company</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7"/>
              </w:rPr>
              <w:t>(incorporated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reference</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to Exhibit</w:t>
            </w:r>
          </w:p>
        </w:tc>
        <w:tc>
          <w:tcPr>
            <w:tcW w:w="8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Courier New" w:cs="Courier New" w:eastAsia="Courier New" w:hAnsi="Courier New"/>
                <w:sz w:val="15"/>
                <w:szCs w:val="15"/>
                <w:color w:val="auto"/>
              </w:rPr>
              <w:t>10.1 to our Current</w:t>
            </w:r>
          </w:p>
        </w:tc>
        <w:tc>
          <w:tcPr>
            <w:tcW w:w="1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Report on Form</w:t>
            </w:r>
          </w:p>
        </w:tc>
      </w:tr>
      <w:tr>
        <w:trPr>
          <w:trHeight w:val="171"/>
        </w:trPr>
        <w:tc>
          <w:tcPr>
            <w:tcW w:w="980" w:type="dxa"/>
            <w:vAlign w:val="bottom"/>
          </w:tcPr>
          <w:p>
            <w:pPr>
              <w:spacing w:after="0"/>
              <w:rPr>
                <w:sz w:val="14"/>
                <w:szCs w:val="14"/>
                <w:color w:val="auto"/>
              </w:rPr>
            </w:pPr>
          </w:p>
        </w:tc>
        <w:tc>
          <w:tcPr>
            <w:tcW w:w="284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8-K filed on January 6, 1995).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Credit</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222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7"/>
              </w:rPr>
              <w:t>dated as of December 22,</w:t>
            </w: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among</w:t>
            </w:r>
          </w:p>
        </w:tc>
      </w:tr>
      <w:tr>
        <w:trPr>
          <w:trHeight w:val="171"/>
        </w:trPr>
        <w:tc>
          <w:tcPr>
            <w:tcW w:w="980" w:type="dxa"/>
            <w:vAlign w:val="bottom"/>
          </w:tcPr>
          <w:p>
            <w:pPr>
              <w:spacing w:after="0"/>
              <w:rPr>
                <w:sz w:val="14"/>
                <w:szCs w:val="14"/>
                <w:color w:val="auto"/>
              </w:rPr>
            </w:pPr>
          </w:p>
        </w:tc>
        <w:tc>
          <w:tcPr>
            <w:tcW w:w="20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Comcast MH Holdings,</w:t>
            </w:r>
          </w:p>
        </w:tc>
        <w:tc>
          <w:tcPr>
            <w:tcW w:w="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Inc., the</w:t>
            </w:r>
          </w:p>
        </w:tc>
        <w:tc>
          <w:tcPr>
            <w:tcW w:w="2120" w:type="dxa"/>
            <w:vAlign w:val="bottom"/>
            <w:gridSpan w:val="8"/>
          </w:tcPr>
          <w:p>
            <w:pPr>
              <w:ind w:left="80"/>
              <w:spacing w:after="0"/>
              <w:rPr>
                <w:sz w:val="20"/>
                <w:szCs w:val="20"/>
                <w:color w:val="auto"/>
              </w:rPr>
            </w:pPr>
            <w:r>
              <w:rPr>
                <w:rFonts w:ascii="Courier New" w:cs="Courier New" w:eastAsia="Courier New" w:hAnsi="Courier New"/>
                <w:sz w:val="15"/>
                <w:szCs w:val="15"/>
                <w:color w:val="auto"/>
              </w:rPr>
              <w:t>banks listed therein,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171"/>
        </w:trPr>
        <w:tc>
          <w:tcPr>
            <w:tcW w:w="980" w:type="dxa"/>
            <w:vAlign w:val="bottom"/>
          </w:tcPr>
          <w:p>
            <w:pPr>
              <w:spacing w:after="0"/>
              <w:rPr>
                <w:sz w:val="14"/>
                <w:szCs w:val="14"/>
                <w:color w:val="auto"/>
              </w:rPr>
            </w:pPr>
          </w:p>
        </w:tc>
        <w:tc>
          <w:tcPr>
            <w:tcW w:w="284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Chase Manhattan Bank (National</w:t>
            </w:r>
          </w:p>
        </w:tc>
        <w:tc>
          <w:tcPr>
            <w:tcW w:w="12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Association),</w:t>
            </w:r>
          </w:p>
        </w:tc>
        <w:tc>
          <w:tcPr>
            <w:tcW w:w="1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NationsBank</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of Texas, N.A. and the Toronto-Dominion Bank, as Arranging</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Agents,</w:t>
            </w:r>
          </w:p>
        </w:tc>
        <w:tc>
          <w:tcPr>
            <w:tcW w:w="18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Courier New" w:cs="Courier New" w:eastAsia="Courier New" w:hAnsi="Courier New"/>
                <w:sz w:val="15"/>
                <w:szCs w:val="15"/>
                <w:color w:val="auto"/>
              </w:rPr>
              <w:t>The Bank of New</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York,</w:t>
            </w:r>
          </w:p>
        </w:tc>
        <w:tc>
          <w:tcPr>
            <w:tcW w:w="176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The Bank of Nova</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Scotia,</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Canadian</w:t>
            </w:r>
          </w:p>
        </w:tc>
        <w:tc>
          <w:tcPr>
            <w:tcW w:w="8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Imperial</w:t>
            </w:r>
          </w:p>
        </w:tc>
        <w:tc>
          <w:tcPr>
            <w:tcW w:w="160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Bank of Commerce</w:t>
            </w:r>
          </w:p>
        </w:tc>
        <w:tc>
          <w:tcPr>
            <w:tcW w:w="9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5"/>
              </w:rPr>
              <w:t>and Morgan</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Guaranty</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Trust</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5"/>
                <w:szCs w:val="15"/>
                <w:color w:val="auto"/>
              </w:rPr>
              <w:t>Company</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3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88"/>
              </w:rPr>
              <w:t>New</w:t>
            </w:r>
          </w:p>
        </w:tc>
        <w:tc>
          <w:tcPr>
            <w:tcW w:w="7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York,</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as</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4"/>
              </w:rPr>
              <w:t>Managing</w:t>
            </w:r>
          </w:p>
        </w:tc>
        <w:tc>
          <w:tcPr>
            <w:tcW w:w="100" w:type="dxa"/>
            <w:vAlign w:val="bottom"/>
          </w:tcPr>
          <w:p>
            <w:pPr>
              <w:spacing w:after="0"/>
              <w:rPr>
                <w:sz w:val="14"/>
                <w:szCs w:val="14"/>
                <w:color w:val="auto"/>
              </w:rPr>
            </w:pPr>
          </w:p>
        </w:tc>
        <w:tc>
          <w:tcPr>
            <w:tcW w:w="8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Agents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and</w:t>
            </w:r>
          </w:p>
        </w:tc>
      </w:tr>
      <w:tr>
        <w:trPr>
          <w:trHeight w:val="171"/>
        </w:trPr>
        <w:tc>
          <w:tcPr>
            <w:tcW w:w="98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NationsBank</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of</w:t>
            </w:r>
          </w:p>
        </w:tc>
        <w:tc>
          <w:tcPr>
            <w:tcW w:w="7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2"/>
              </w:rPr>
              <w:t>Texas,</w:t>
            </w:r>
          </w:p>
        </w:tc>
        <w:tc>
          <w:tcPr>
            <w:tcW w:w="7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as</w:t>
            </w:r>
          </w:p>
        </w:tc>
        <w:tc>
          <w:tcPr>
            <w:tcW w:w="15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Agent</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(incorporated</w:t>
            </w:r>
          </w:p>
        </w:tc>
        <w:tc>
          <w:tcPr>
            <w:tcW w:w="38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8"/>
              </w:rPr>
              <w:t>by reference to Exhibit 10.2 to our Current</w:t>
            </w:r>
          </w:p>
        </w:tc>
      </w:tr>
      <w:tr>
        <w:trPr>
          <w:trHeight w:val="171"/>
        </w:trPr>
        <w:tc>
          <w:tcPr>
            <w:tcW w:w="980" w:type="dxa"/>
            <w:vAlign w:val="bottom"/>
          </w:tcPr>
          <w:p>
            <w:pPr>
              <w:spacing w:after="0"/>
              <w:rPr>
                <w:sz w:val="14"/>
                <w:szCs w:val="14"/>
                <w:color w:val="auto"/>
              </w:rPr>
            </w:pPr>
          </w:p>
        </w:tc>
        <w:tc>
          <w:tcPr>
            <w:tcW w:w="4080" w:type="dxa"/>
            <w:vAlign w:val="bottom"/>
            <w:gridSpan w:val="16"/>
          </w:tcPr>
          <w:p>
            <w:pPr>
              <w:ind w:left="80"/>
              <w:spacing w:after="0"/>
              <w:rPr>
                <w:sz w:val="20"/>
                <w:szCs w:val="20"/>
                <w:color w:val="auto"/>
              </w:rPr>
            </w:pPr>
            <w:r>
              <w:rPr>
                <w:rFonts w:ascii="Courier New" w:cs="Courier New" w:eastAsia="Courier New" w:hAnsi="Courier New"/>
                <w:sz w:val="15"/>
                <w:szCs w:val="15"/>
                <w:color w:val="auto"/>
                <w:w w:val="98"/>
              </w:rPr>
              <w:t>Report on Form 8-K filed on January 6, 1995).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1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Pledge Agreement,</w:t>
            </w:r>
          </w:p>
        </w:tc>
        <w:tc>
          <w:tcPr>
            <w:tcW w:w="2840" w:type="dxa"/>
            <w:vAlign w:val="bottom"/>
            <w:gridSpan w:val="12"/>
          </w:tcPr>
          <w:p>
            <w:pPr>
              <w:spacing w:after="0"/>
              <w:rPr>
                <w:sz w:val="20"/>
                <w:szCs w:val="20"/>
                <w:color w:val="auto"/>
              </w:rPr>
            </w:pPr>
            <w:r>
              <w:rPr>
                <w:rFonts w:ascii="Courier New" w:cs="Courier New" w:eastAsia="Courier New" w:hAnsi="Courier New"/>
                <w:sz w:val="15"/>
                <w:szCs w:val="15"/>
                <w:color w:val="auto"/>
              </w:rPr>
              <w:t>dated as of December 22, 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between</w:t>
            </w:r>
          </w:p>
        </w:tc>
      </w:tr>
      <w:tr>
        <w:trPr>
          <w:trHeight w:val="171"/>
        </w:trPr>
        <w:tc>
          <w:tcPr>
            <w:tcW w:w="980" w:type="dxa"/>
            <w:vAlign w:val="bottom"/>
          </w:tcPr>
          <w:p>
            <w:pPr>
              <w:spacing w:after="0"/>
              <w:rPr>
                <w:sz w:val="14"/>
                <w:szCs w:val="14"/>
                <w:color w:val="auto"/>
              </w:rPr>
            </w:pPr>
          </w:p>
        </w:tc>
        <w:tc>
          <w:tcPr>
            <w:tcW w:w="20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Comcast MH Holdings,</w:t>
            </w:r>
          </w:p>
        </w:tc>
        <w:tc>
          <w:tcPr>
            <w:tcW w:w="320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8"/>
              </w:rPr>
              <w:t>Inc. and NationsBank of Texas, N.A.,</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as the secured party (incorporated by reference to Exhibit</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10.3 to our Current Report on Form 8-K filed on January 6,</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1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Pledge Agreement,</w:t>
            </w:r>
          </w:p>
        </w:tc>
        <w:tc>
          <w:tcPr>
            <w:tcW w:w="2840" w:type="dxa"/>
            <w:vAlign w:val="bottom"/>
            <w:gridSpan w:val="12"/>
          </w:tcPr>
          <w:p>
            <w:pPr>
              <w:spacing w:after="0"/>
              <w:rPr>
                <w:sz w:val="20"/>
                <w:szCs w:val="20"/>
                <w:color w:val="auto"/>
              </w:rPr>
            </w:pPr>
            <w:r>
              <w:rPr>
                <w:rFonts w:ascii="Courier New" w:cs="Courier New" w:eastAsia="Courier New" w:hAnsi="Courier New"/>
                <w:sz w:val="15"/>
                <w:szCs w:val="15"/>
                <w:color w:val="auto"/>
              </w:rPr>
              <w:t>dated as of December 22, 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between</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Comcast</w:t>
            </w:r>
          </w:p>
        </w:tc>
        <w:tc>
          <w:tcPr>
            <w:tcW w:w="4260" w:type="dxa"/>
            <w:vAlign w:val="bottom"/>
            <w:gridSpan w:val="17"/>
          </w:tcPr>
          <w:p>
            <w:pPr>
              <w:ind w:left="100"/>
              <w:spacing w:after="0"/>
              <w:rPr>
                <w:sz w:val="20"/>
                <w:szCs w:val="20"/>
                <w:color w:val="auto"/>
              </w:rPr>
            </w:pPr>
            <w:r>
              <w:rPr>
                <w:rFonts w:ascii="Courier New" w:cs="Courier New" w:eastAsia="Courier New" w:hAnsi="Courier New"/>
                <w:sz w:val="15"/>
                <w:szCs w:val="15"/>
                <w:color w:val="auto"/>
                <w:w w:val="97"/>
              </w:rPr>
              <w:t>Communications Properties, Inc. and NationsBank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Texas,</w:t>
            </w:r>
          </w:p>
        </w:tc>
        <w:tc>
          <w:tcPr>
            <w:tcW w:w="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the</w:t>
            </w:r>
          </w:p>
        </w:tc>
        <w:tc>
          <w:tcPr>
            <w:tcW w:w="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Secured</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Party</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7"/>
              </w:rPr>
              <w:t>(incorporated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reference</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to Exhibit</w:t>
            </w:r>
          </w:p>
        </w:tc>
        <w:tc>
          <w:tcPr>
            <w:tcW w:w="8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Courier New" w:cs="Courier New" w:eastAsia="Courier New" w:hAnsi="Courier New"/>
                <w:sz w:val="15"/>
                <w:szCs w:val="15"/>
                <w:color w:val="auto"/>
              </w:rPr>
              <w:t>10.4 to our Current</w:t>
            </w:r>
          </w:p>
        </w:tc>
        <w:tc>
          <w:tcPr>
            <w:tcW w:w="1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Report on Form</w:t>
            </w:r>
          </w:p>
        </w:tc>
      </w:tr>
      <w:tr>
        <w:trPr>
          <w:trHeight w:val="171"/>
        </w:trPr>
        <w:tc>
          <w:tcPr>
            <w:tcW w:w="980" w:type="dxa"/>
            <w:vAlign w:val="bottom"/>
          </w:tcPr>
          <w:p>
            <w:pPr>
              <w:spacing w:after="0"/>
              <w:rPr>
                <w:sz w:val="14"/>
                <w:szCs w:val="14"/>
                <w:color w:val="auto"/>
              </w:rPr>
            </w:pPr>
          </w:p>
        </w:tc>
        <w:tc>
          <w:tcPr>
            <w:tcW w:w="284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8-K filed on January 6, 1995).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Affiliate</w:t>
            </w:r>
          </w:p>
        </w:tc>
        <w:tc>
          <w:tcPr>
            <w:tcW w:w="18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Courier New" w:cs="Courier New" w:eastAsia="Courier New" w:hAnsi="Courier New"/>
                <w:sz w:val="15"/>
                <w:szCs w:val="15"/>
                <w:color w:val="auto"/>
              </w:rPr>
              <w:t>Subordination</w:t>
            </w:r>
          </w:p>
        </w:tc>
        <w:tc>
          <w:tcPr>
            <w:tcW w:w="960" w:type="dxa"/>
            <w:vAlign w:val="bottom"/>
            <w:gridSpan w:val="4"/>
          </w:tcPr>
          <w:p>
            <w:pPr>
              <w:spacing w:after="0"/>
              <w:rPr>
                <w:sz w:val="20"/>
                <w:szCs w:val="20"/>
                <w:color w:val="auto"/>
              </w:rPr>
            </w:pPr>
            <w:r>
              <w:rPr>
                <w:rFonts w:ascii="Courier New" w:cs="Courier New" w:eastAsia="Courier New" w:hAnsi="Courier New"/>
                <w:sz w:val="15"/>
                <w:szCs w:val="15"/>
                <w:color w:val="auto"/>
              </w:rPr>
              <w:t>Agreement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(as the</w:t>
            </w: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may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amended,</w:t>
            </w:r>
          </w:p>
        </w:tc>
        <w:tc>
          <w:tcPr>
            <w:tcW w:w="8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3"/>
              </w:rPr>
              <w:t>modified,</w:t>
            </w:r>
          </w:p>
        </w:tc>
        <w:tc>
          <w:tcPr>
            <w:tcW w:w="134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7"/>
              </w:rPr>
              <w:t>supplemented,</w:t>
            </w: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waived,</w:t>
            </w:r>
          </w:p>
        </w:tc>
        <w:tc>
          <w:tcPr>
            <w:tcW w:w="100" w:type="dxa"/>
            <w:vAlign w:val="bottom"/>
          </w:tcPr>
          <w:p>
            <w:pPr>
              <w:spacing w:after="0"/>
              <w:rPr>
                <w:sz w:val="14"/>
                <w:szCs w:val="14"/>
                <w:color w:val="auto"/>
              </w:rPr>
            </w:pPr>
          </w:p>
        </w:tc>
        <w:tc>
          <w:tcPr>
            <w:tcW w:w="8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extended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restated from time to time, this "Agreement"), dated as of</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December 22, 1994, among the Company, Comcast MH Holdings,</w:t>
            </w:r>
          </w:p>
        </w:tc>
      </w:tr>
      <w:tr>
        <w:trPr>
          <w:trHeight w:val="171"/>
        </w:trPr>
        <w:tc>
          <w:tcPr>
            <w:tcW w:w="980" w:type="dxa"/>
            <w:vAlign w:val="bottom"/>
          </w:tcPr>
          <w:p>
            <w:pPr>
              <w:spacing w:after="0"/>
              <w:rPr>
                <w:sz w:val="14"/>
                <w:szCs w:val="14"/>
                <w:color w:val="auto"/>
              </w:rPr>
            </w:pPr>
          </w:p>
        </w:tc>
        <w:tc>
          <w:tcPr>
            <w:tcW w:w="3360" w:type="dxa"/>
            <w:vAlign w:val="bottom"/>
            <w:gridSpan w:val="13"/>
          </w:tcPr>
          <w:p>
            <w:pPr>
              <w:ind w:left="80"/>
              <w:spacing w:after="0"/>
              <w:rPr>
                <w:sz w:val="20"/>
                <w:szCs w:val="20"/>
                <w:color w:val="auto"/>
              </w:rPr>
            </w:pPr>
            <w:r>
              <w:rPr>
                <w:rFonts w:ascii="Courier New" w:cs="Courier New" w:eastAsia="Courier New" w:hAnsi="Courier New"/>
                <w:sz w:val="15"/>
                <w:szCs w:val="15"/>
                <w:color w:val="auto"/>
                <w:w w:val="97"/>
              </w:rPr>
              <w:t>Inc., (the "Borrower"), any affiliate</w:t>
            </w:r>
          </w:p>
        </w:tc>
        <w:tc>
          <w:tcPr>
            <w:tcW w:w="18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of the Borrower that</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shall</w:t>
            </w:r>
          </w:p>
        </w:tc>
        <w:tc>
          <w:tcPr>
            <w:tcW w:w="18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5"/>
                <w:szCs w:val="15"/>
                <w:color w:val="auto"/>
                <w:w w:val="94"/>
              </w:rPr>
              <w:t>have</w:t>
            </w:r>
          </w:p>
        </w:tc>
        <w:tc>
          <w:tcPr>
            <w:tcW w:w="16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become a party</w:t>
            </w:r>
          </w:p>
        </w:tc>
        <w:tc>
          <w:tcPr>
            <w:tcW w:w="7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5"/>
              </w:rPr>
              <w:t>thereto</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and</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NationsBank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Texas,</w:t>
            </w:r>
          </w:p>
        </w:tc>
        <w:tc>
          <w:tcPr>
            <w:tcW w:w="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1340" w:type="dxa"/>
            <w:vAlign w:val="bottom"/>
            <w:gridSpan w:val="6"/>
          </w:tcPr>
          <w:p>
            <w:pPr>
              <w:spacing w:after="0"/>
              <w:rPr>
                <w:sz w:val="20"/>
                <w:szCs w:val="20"/>
                <w:color w:val="auto"/>
              </w:rPr>
            </w:pPr>
            <w:r>
              <w:rPr>
                <w:rFonts w:ascii="Courier New" w:cs="Courier New" w:eastAsia="Courier New" w:hAnsi="Courier New"/>
                <w:sz w:val="15"/>
                <w:szCs w:val="15"/>
                <w:color w:val="auto"/>
              </w:rPr>
              <w:t>Administrative</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Agent</w:t>
            </w:r>
          </w:p>
        </w:tc>
        <w:tc>
          <w:tcPr>
            <w:tcW w:w="15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under the Credit</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Agreement  dated  as  of  December  22,  1994,  among  the</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Borrower,</w:t>
            </w:r>
          </w:p>
        </w:tc>
        <w:tc>
          <w:tcPr>
            <w:tcW w:w="180" w:type="dxa"/>
            <w:vAlign w:val="bottom"/>
          </w:tcPr>
          <w:p>
            <w:pPr>
              <w:spacing w:after="0"/>
              <w:rPr>
                <w:sz w:val="14"/>
                <w:szCs w:val="14"/>
                <w:color w:val="auto"/>
              </w:rPr>
            </w:pPr>
          </w:p>
        </w:tc>
        <w:tc>
          <w:tcPr>
            <w:tcW w:w="1600" w:type="dxa"/>
            <w:vAlign w:val="bottom"/>
            <w:gridSpan w:val="6"/>
          </w:tcPr>
          <w:p>
            <w:pPr>
              <w:spacing w:after="0"/>
              <w:rPr>
                <w:sz w:val="20"/>
                <w:szCs w:val="20"/>
                <w:color w:val="auto"/>
              </w:rPr>
            </w:pPr>
            <w:r>
              <w:rPr>
                <w:rFonts w:ascii="Courier New" w:cs="Courier New" w:eastAsia="Courier New" w:hAnsi="Courier New"/>
                <w:sz w:val="15"/>
                <w:szCs w:val="15"/>
                <w:color w:val="auto"/>
              </w:rPr>
              <w:t>the Banks listed</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therein,</w:t>
            </w:r>
          </w:p>
        </w:tc>
        <w:tc>
          <w:tcPr>
            <w:tcW w:w="18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The Chase Manhattan</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Bank (National</w:t>
            </w:r>
          </w:p>
        </w:tc>
        <w:tc>
          <w:tcPr>
            <w:tcW w:w="12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Association),</w:t>
            </w:r>
          </w:p>
        </w:tc>
        <w:tc>
          <w:tcPr>
            <w:tcW w:w="180" w:type="dxa"/>
            <w:vAlign w:val="bottom"/>
          </w:tcPr>
          <w:p>
            <w:pPr>
              <w:spacing w:after="0"/>
              <w:rPr>
                <w:sz w:val="14"/>
                <w:szCs w:val="14"/>
                <w:color w:val="auto"/>
              </w:rPr>
            </w:pPr>
          </w:p>
        </w:tc>
        <w:tc>
          <w:tcPr>
            <w:tcW w:w="240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NationsBank of Texas,  N.A.</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and The</w:t>
            </w:r>
          </w:p>
        </w:tc>
        <w:tc>
          <w:tcPr>
            <w:tcW w:w="18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Courier New" w:cs="Courier New" w:eastAsia="Courier New" w:hAnsi="Courier New"/>
                <w:sz w:val="15"/>
                <w:szCs w:val="15"/>
                <w:color w:val="auto"/>
              </w:rPr>
              <w:t>Toronto-Dominion</w:t>
            </w:r>
          </w:p>
        </w:tc>
        <w:tc>
          <w:tcPr>
            <w:tcW w:w="2560" w:type="dxa"/>
            <w:vAlign w:val="bottom"/>
            <w:gridSpan w:val="10"/>
          </w:tcPr>
          <w:p>
            <w:pPr>
              <w:jc w:val="right"/>
              <w:ind w:right="106"/>
              <w:spacing w:after="0"/>
              <w:rPr>
                <w:sz w:val="20"/>
                <w:szCs w:val="20"/>
                <w:color w:val="auto"/>
              </w:rPr>
            </w:pPr>
            <w:r>
              <w:rPr>
                <w:rFonts w:ascii="Courier New" w:cs="Courier New" w:eastAsia="Courier New" w:hAnsi="Courier New"/>
                <w:sz w:val="15"/>
                <w:szCs w:val="15"/>
                <w:color w:val="auto"/>
              </w:rPr>
              <w:t>Bank, as Arranging Agents,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Bank  of New  York,  The  Bank of  Nova  Scotia,  Canadian</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Imperial</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Bank</w:t>
            </w:r>
          </w:p>
        </w:tc>
        <w:tc>
          <w:tcPr>
            <w:tcW w:w="3820" w:type="dxa"/>
            <w:vAlign w:val="bottom"/>
            <w:gridSpan w:val="15"/>
          </w:tcPr>
          <w:p>
            <w:pPr>
              <w:jc w:val="right"/>
              <w:spacing w:after="0"/>
              <w:rPr>
                <w:sz w:val="20"/>
                <w:szCs w:val="20"/>
                <w:color w:val="auto"/>
              </w:rPr>
            </w:pPr>
            <w:r>
              <w:rPr>
                <w:rFonts w:ascii="Courier New" w:cs="Courier New" w:eastAsia="Courier New" w:hAnsi="Courier New"/>
                <w:sz w:val="15"/>
                <w:szCs w:val="15"/>
                <w:color w:val="auto"/>
              </w:rPr>
              <w:t>of  Commerce  and  Morgan  Guaranty  Trust</w:t>
            </w:r>
          </w:p>
        </w:tc>
      </w:tr>
      <w:tr>
        <w:trPr>
          <w:trHeight w:val="171"/>
        </w:trPr>
        <w:tc>
          <w:tcPr>
            <w:tcW w:w="980" w:type="dxa"/>
            <w:vAlign w:val="bottom"/>
          </w:tcPr>
          <w:p>
            <w:pPr>
              <w:spacing w:after="0"/>
              <w:rPr>
                <w:sz w:val="14"/>
                <w:szCs w:val="14"/>
                <w:color w:val="auto"/>
              </w:rPr>
            </w:pPr>
          </w:p>
        </w:tc>
        <w:tc>
          <w:tcPr>
            <w:tcW w:w="3360" w:type="dxa"/>
            <w:vAlign w:val="bottom"/>
            <w:gridSpan w:val="13"/>
          </w:tcPr>
          <w:p>
            <w:pPr>
              <w:ind w:left="80"/>
              <w:spacing w:after="0"/>
              <w:rPr>
                <w:sz w:val="20"/>
                <w:szCs w:val="20"/>
                <w:color w:val="auto"/>
              </w:rPr>
            </w:pPr>
            <w:r>
              <w:rPr>
                <w:rFonts w:ascii="Courier New" w:cs="Courier New" w:eastAsia="Courier New" w:hAnsi="Courier New"/>
                <w:sz w:val="15"/>
                <w:szCs w:val="15"/>
                <w:color w:val="auto"/>
                <w:w w:val="97"/>
              </w:rPr>
              <w:t>Company  of  New  York,  as  Managing</w:t>
            </w:r>
          </w:p>
        </w:tc>
        <w:tc>
          <w:tcPr>
            <w:tcW w:w="98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Agents,</w:t>
            </w:r>
          </w:p>
        </w:tc>
        <w:tc>
          <w:tcPr>
            <w:tcW w:w="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and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Administrative Agent (incorporated by reference to Exhibit</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10.5 to our Current Report on Form 8-K filed on January 6,</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4600" w:type="dxa"/>
            <w:vAlign w:val="bottom"/>
            <w:gridSpan w:val="18"/>
          </w:tcPr>
          <w:p>
            <w:pPr>
              <w:ind w:left="80"/>
              <w:spacing w:after="0"/>
              <w:rPr>
                <w:sz w:val="20"/>
                <w:szCs w:val="20"/>
                <w:color w:val="auto"/>
              </w:rPr>
            </w:pPr>
            <w:r>
              <w:rPr>
                <w:rFonts w:ascii="Courier New" w:cs="Courier New" w:eastAsia="Courier New" w:hAnsi="Courier New"/>
                <w:sz w:val="15"/>
                <w:szCs w:val="15"/>
                <w:color w:val="auto"/>
                <w:w w:val="98"/>
              </w:rPr>
              <w:t>Registration Rights and Price Protection Agreement,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as of December</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22,</w:t>
            </w:r>
          </w:p>
        </w:tc>
        <w:tc>
          <w:tcPr>
            <w:tcW w:w="348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1994,  by and between the Company and</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900" w:type="dxa"/>
            <w:vAlign w:val="bottom"/>
            <w:gridSpan w:val="4"/>
          </w:tcPr>
          <w:p>
            <w:pPr>
              <w:spacing w:after="0"/>
              <w:rPr>
                <w:sz w:val="20"/>
                <w:szCs w:val="20"/>
                <w:color w:val="auto"/>
              </w:rPr>
            </w:pPr>
            <w:r>
              <w:rPr>
                <w:rFonts w:ascii="Courier New" w:cs="Courier New" w:eastAsia="Courier New" w:hAnsi="Courier New"/>
                <w:sz w:val="15"/>
                <w:szCs w:val="15"/>
                <w:color w:val="auto"/>
                <w:w w:val="97"/>
              </w:rPr>
              <w:t>California</w:t>
            </w:r>
          </w:p>
        </w:tc>
        <w:tc>
          <w:tcPr>
            <w:tcW w:w="9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Public</w:t>
            </w:r>
          </w:p>
        </w:tc>
        <w:tc>
          <w:tcPr>
            <w:tcW w:w="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Employees'</w:t>
            </w:r>
          </w:p>
        </w:tc>
        <w:tc>
          <w:tcPr>
            <w:tcW w:w="124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Retirement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System</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(incorporated</w:t>
            </w:r>
          </w:p>
        </w:tc>
        <w:tc>
          <w:tcPr>
            <w:tcW w:w="38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8"/>
              </w:rPr>
              <w:t>by reference to Exhibit 10.8 to our Current</w:t>
            </w:r>
          </w:p>
        </w:tc>
      </w:tr>
      <w:tr>
        <w:trPr>
          <w:trHeight w:val="171"/>
        </w:trPr>
        <w:tc>
          <w:tcPr>
            <w:tcW w:w="980" w:type="dxa"/>
            <w:vAlign w:val="bottom"/>
          </w:tcPr>
          <w:p>
            <w:pPr>
              <w:spacing w:after="0"/>
              <w:rPr>
                <w:sz w:val="14"/>
                <w:szCs w:val="14"/>
                <w:color w:val="auto"/>
              </w:rPr>
            </w:pPr>
          </w:p>
        </w:tc>
        <w:tc>
          <w:tcPr>
            <w:tcW w:w="4080" w:type="dxa"/>
            <w:vAlign w:val="bottom"/>
            <w:gridSpan w:val="16"/>
          </w:tcPr>
          <w:p>
            <w:pPr>
              <w:ind w:left="80"/>
              <w:spacing w:after="0"/>
              <w:rPr>
                <w:sz w:val="20"/>
                <w:szCs w:val="20"/>
                <w:color w:val="auto"/>
              </w:rPr>
            </w:pPr>
            <w:r>
              <w:rPr>
                <w:rFonts w:ascii="Courier New" w:cs="Courier New" w:eastAsia="Courier New" w:hAnsi="Courier New"/>
                <w:sz w:val="15"/>
                <w:szCs w:val="15"/>
                <w:color w:val="auto"/>
                <w:w w:val="98"/>
              </w:rPr>
              <w:t>Report on Form 8-K filed on January 6, 1995).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Credit</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222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7"/>
              </w:rPr>
              <w:t>dated as of November 15,</w:t>
            </w: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1996,</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among</w:t>
            </w:r>
          </w:p>
        </w:tc>
      </w:tr>
      <w:tr>
        <w:trPr>
          <w:trHeight w:val="171"/>
        </w:trPr>
        <w:tc>
          <w:tcPr>
            <w:tcW w:w="98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Comcast SCH</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Holdings,</w:t>
            </w:r>
          </w:p>
        </w:tc>
        <w:tc>
          <w:tcPr>
            <w:tcW w:w="8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Inc.,</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the banks</w:t>
            </w:r>
          </w:p>
        </w:tc>
        <w:tc>
          <w:tcPr>
            <w:tcW w:w="6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2"/>
              </w:rPr>
              <w:t>listed</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therein,</w:t>
            </w:r>
          </w:p>
        </w:tc>
      </w:tr>
      <w:tr>
        <w:trPr>
          <w:trHeight w:val="171"/>
        </w:trPr>
        <w:tc>
          <w:tcPr>
            <w:tcW w:w="980" w:type="dxa"/>
            <w:vAlign w:val="bottom"/>
          </w:tcPr>
          <w:p>
            <w:pPr>
              <w:spacing w:after="0"/>
              <w:rPr>
                <w:sz w:val="14"/>
                <w:szCs w:val="14"/>
                <w:color w:val="auto"/>
              </w:rPr>
            </w:pPr>
          </w:p>
        </w:tc>
        <w:tc>
          <w:tcPr>
            <w:tcW w:w="20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Nationsbank of Texas,</w:t>
            </w:r>
          </w:p>
        </w:tc>
        <w:tc>
          <w:tcPr>
            <w:tcW w:w="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N.A., as</w:t>
            </w:r>
          </w:p>
        </w:tc>
        <w:tc>
          <w:tcPr>
            <w:tcW w:w="15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Documentation</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Agent, The</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Chase</w:t>
            </w:r>
          </w:p>
        </w:tc>
        <w:tc>
          <w:tcPr>
            <w:tcW w:w="180" w:type="dxa"/>
            <w:vAlign w:val="bottom"/>
          </w:tcPr>
          <w:p>
            <w:pPr>
              <w:spacing w:after="0"/>
              <w:rPr>
                <w:sz w:val="14"/>
                <w:szCs w:val="14"/>
                <w:color w:val="auto"/>
              </w:rPr>
            </w:pPr>
          </w:p>
        </w:tc>
        <w:tc>
          <w:tcPr>
            <w:tcW w:w="2660" w:type="dxa"/>
            <w:vAlign w:val="bottom"/>
            <w:gridSpan w:val="11"/>
          </w:tcPr>
          <w:p>
            <w:pPr>
              <w:spacing w:after="0"/>
              <w:rPr>
                <w:sz w:val="20"/>
                <w:szCs w:val="20"/>
                <w:color w:val="auto"/>
              </w:rPr>
            </w:pPr>
            <w:r>
              <w:rPr>
                <w:rFonts w:ascii="Courier New" w:cs="Courier New" w:eastAsia="Courier New" w:hAnsi="Courier New"/>
                <w:sz w:val="15"/>
                <w:szCs w:val="15"/>
                <w:color w:val="auto"/>
                <w:w w:val="97"/>
              </w:rPr>
              <w:t>Manhattan Bank, as Syndication</w:t>
            </w:r>
          </w:p>
        </w:tc>
        <w:tc>
          <w:tcPr>
            <w:tcW w:w="7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Agent,</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Bank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1"/>
        </w:trPr>
        <w:tc>
          <w:tcPr>
            <w:tcW w:w="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New York,</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The Chase</w:t>
            </w:r>
          </w:p>
        </w:tc>
        <w:tc>
          <w:tcPr>
            <w:tcW w:w="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Manhattan</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4"/>
              </w:rPr>
              <w:t>Bank and</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Nationsbank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1"/>
        </w:trPr>
        <w:tc>
          <w:tcPr>
            <w:tcW w:w="980" w:type="dxa"/>
            <w:vAlign w:val="bottom"/>
          </w:tcPr>
          <w:p>
            <w:pPr>
              <w:spacing w:after="0"/>
              <w:rPr>
                <w:sz w:val="14"/>
                <w:szCs w:val="14"/>
                <w:color w:val="auto"/>
              </w:rPr>
            </w:pPr>
          </w:p>
        </w:tc>
        <w:tc>
          <w:tcPr>
            <w:tcW w:w="3360" w:type="dxa"/>
            <w:vAlign w:val="bottom"/>
            <w:gridSpan w:val="13"/>
          </w:tcPr>
          <w:p>
            <w:pPr>
              <w:ind w:left="80"/>
              <w:spacing w:after="0"/>
              <w:rPr>
                <w:sz w:val="20"/>
                <w:szCs w:val="20"/>
                <w:color w:val="auto"/>
              </w:rPr>
            </w:pPr>
            <w:r>
              <w:rPr>
                <w:rFonts w:ascii="Courier New" w:cs="Courier New" w:eastAsia="Courier New" w:hAnsi="Courier New"/>
                <w:sz w:val="15"/>
                <w:szCs w:val="15"/>
                <w:color w:val="auto"/>
              </w:rPr>
              <w:t>Texas, N.A., as Managing Agents, and</w:t>
            </w:r>
          </w:p>
        </w:tc>
        <w:tc>
          <w:tcPr>
            <w:tcW w:w="18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The Bank of New York,</w:t>
            </w:r>
          </w:p>
        </w:tc>
      </w:tr>
      <w:tr>
        <w:trPr>
          <w:trHeight w:val="171"/>
        </w:trPr>
        <w:tc>
          <w:tcPr>
            <w:tcW w:w="980" w:type="dxa"/>
            <w:vAlign w:val="bottom"/>
          </w:tcPr>
          <w:p>
            <w:pPr>
              <w:spacing w:after="0"/>
              <w:rPr>
                <w:sz w:val="14"/>
                <w:szCs w:val="14"/>
                <w:color w:val="auto"/>
              </w:rPr>
            </w:pPr>
          </w:p>
        </w:tc>
        <w:tc>
          <w:tcPr>
            <w:tcW w:w="240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as Administrative Agent.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Indenture</w:t>
            </w:r>
          </w:p>
        </w:tc>
        <w:tc>
          <w:tcPr>
            <w:tcW w:w="18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Courier New" w:cs="Courier New" w:eastAsia="Courier New" w:hAnsi="Courier New"/>
                <w:sz w:val="15"/>
                <w:szCs w:val="15"/>
                <w:color w:val="auto"/>
              </w:rPr>
              <w:t>dated as of May 1, 1997,</w:t>
            </w:r>
          </w:p>
        </w:tc>
        <w:tc>
          <w:tcPr>
            <w:tcW w:w="18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between Comcast Cable</w:t>
            </w:r>
          </w:p>
        </w:tc>
      </w:tr>
      <w:tr>
        <w:trPr>
          <w:trHeight w:val="171"/>
        </w:trPr>
        <w:tc>
          <w:tcPr>
            <w:tcW w:w="9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Communications,</w:t>
            </w:r>
          </w:p>
        </w:tc>
        <w:tc>
          <w:tcPr>
            <w:tcW w:w="256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Inc. and Bank of Montreal</w:t>
            </w:r>
          </w:p>
        </w:tc>
        <w:tc>
          <w:tcPr>
            <w:tcW w:w="1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Trust Company,</w:t>
            </w:r>
          </w:p>
        </w:tc>
      </w:tr>
      <w:tr>
        <w:trPr>
          <w:trHeight w:val="171"/>
        </w:trPr>
        <w:tc>
          <w:tcPr>
            <w:tcW w:w="98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as Trustee,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in</w:t>
            </w:r>
          </w:p>
        </w:tc>
        <w:tc>
          <w:tcPr>
            <w:tcW w:w="168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7"/>
              </w:rPr>
              <w:t>respect of Comcast</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Cable</w:t>
            </w:r>
          </w:p>
        </w:tc>
        <w:tc>
          <w:tcPr>
            <w:tcW w:w="15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Communications,</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Inc.'s</w:t>
            </w:r>
          </w:p>
        </w:tc>
        <w:tc>
          <w:tcPr>
            <w:tcW w:w="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8-1/8%</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w:t>
            </w:r>
          </w:p>
        </w:tc>
        <w:tc>
          <w:tcPr>
            <w:tcW w:w="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due</w:t>
            </w:r>
          </w:p>
        </w:tc>
        <w:tc>
          <w:tcPr>
            <w:tcW w:w="7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2004,</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8-3/8%</w:t>
            </w:r>
          </w:p>
        </w:tc>
        <w:tc>
          <w:tcPr>
            <w:tcW w:w="15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Notes due 2007,</w:t>
            </w:r>
          </w:p>
        </w:tc>
      </w:tr>
      <w:tr>
        <w:trPr>
          <w:trHeight w:val="171"/>
        </w:trPr>
        <w:tc>
          <w:tcPr>
            <w:tcW w:w="9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8-7/8%</w:t>
            </w:r>
          </w:p>
        </w:tc>
        <w:tc>
          <w:tcPr>
            <w:tcW w:w="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w:t>
            </w: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due 2017,</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rPr>
              <w:t>8-1/2%</w:t>
            </w:r>
          </w:p>
        </w:tc>
        <w:tc>
          <w:tcPr>
            <w:tcW w:w="21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Notes due 2027 and 6.20%</w:t>
            </w:r>
          </w:p>
        </w:tc>
      </w:tr>
      <w:tr>
        <w:trPr>
          <w:trHeight w:val="171"/>
        </w:trPr>
        <w:tc>
          <w:tcPr>
            <w:tcW w:w="9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Notes</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5"/>
                <w:szCs w:val="15"/>
                <w:color w:val="auto"/>
                <w:w w:val="97"/>
              </w:rPr>
              <w:t>due 2008</w:t>
            </w:r>
          </w:p>
        </w:tc>
        <w:tc>
          <w:tcPr>
            <w:tcW w:w="142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(incorporated</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by</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reference</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Exhibit</w:t>
            </w:r>
          </w:p>
        </w:tc>
      </w:tr>
      <w:tr>
        <w:trPr>
          <w:trHeight w:val="171"/>
        </w:trPr>
        <w:tc>
          <w:tcPr>
            <w:tcW w:w="980" w:type="dxa"/>
            <w:vAlign w:val="bottom"/>
          </w:tcPr>
          <w:p>
            <w:pPr>
              <w:spacing w:after="0"/>
              <w:rPr>
                <w:sz w:val="14"/>
                <w:szCs w:val="14"/>
                <w:color w:val="auto"/>
              </w:rPr>
            </w:pPr>
          </w:p>
        </w:tc>
        <w:tc>
          <w:tcPr>
            <w:tcW w:w="5240" w:type="dxa"/>
            <w:vAlign w:val="bottom"/>
            <w:gridSpan w:val="20"/>
          </w:tcPr>
          <w:p>
            <w:pPr>
              <w:ind w:left="80"/>
              <w:spacing w:after="0"/>
              <w:rPr>
                <w:sz w:val="20"/>
                <w:szCs w:val="20"/>
                <w:color w:val="auto"/>
              </w:rPr>
            </w:pPr>
            <w:r>
              <w:rPr>
                <w:rFonts w:ascii="Courier New" w:cs="Courier New" w:eastAsia="Courier New" w:hAnsi="Courier New"/>
                <w:sz w:val="15"/>
                <w:szCs w:val="15"/>
                <w:color w:val="auto"/>
                <w:w w:val="98"/>
              </w:rPr>
              <w:t>4.1(a) to the Registration Statement on Form S-4 (File No.</w:t>
            </w:r>
          </w:p>
        </w:tc>
      </w:tr>
      <w:tr>
        <w:trPr>
          <w:trHeight w:val="171"/>
        </w:trPr>
        <w:tc>
          <w:tcPr>
            <w:tcW w:w="980" w:type="dxa"/>
            <w:vAlign w:val="bottom"/>
          </w:tcPr>
          <w:p>
            <w:pPr>
              <w:spacing w:after="0"/>
              <w:rPr>
                <w:sz w:val="14"/>
                <w:szCs w:val="14"/>
                <w:color w:val="auto"/>
              </w:rPr>
            </w:pPr>
          </w:p>
        </w:tc>
        <w:tc>
          <w:tcPr>
            <w:tcW w:w="266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333-30745) of Comcast Cable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204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7"/>
              </w:rPr>
              <w:t>Communications, Inc.).</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Constitutes a management contract or compensatory plan or arrangement.</w:t>
      </w:r>
    </w:p>
    <w:p>
      <w:pPr>
        <w:spacing w:after="0" w:line="3" w:lineRule="exact"/>
        <w:rPr>
          <w:sz w:val="20"/>
          <w:szCs w:val="20"/>
          <w:color w:val="auto"/>
        </w:rPr>
      </w:pPr>
    </w:p>
    <w:p>
      <w:pPr>
        <w:ind w:left="9" w:right="3119" w:hanging="9"/>
        <w:spacing w:after="0" w:line="238" w:lineRule="auto"/>
        <w:tabs>
          <w:tab w:leader="none" w:pos="2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7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65 -</w:t>
      </w:r>
    </w:p>
    <w:p>
      <w:pPr>
        <w:sectPr>
          <w:pgSz w:w="11900" w:h="16838" w:orient="portrait"/>
          <w:cols w:equalWidth="0" w:num="1">
            <w:col w:w="10228"/>
          </w:cols>
          <w:pgMar w:left="231" w:top="457" w:right="1440" w:bottom="1440" w:gutter="0" w:footer="0" w:header="0"/>
        </w:sectPr>
      </w:pPr>
    </w:p>
    <w:bookmarkStart w:id="72" w:name="page73"/>
    <w:bookmarkEnd w:id="72"/>
    <w:p>
      <w:pPr>
        <w:jc w:val="both"/>
        <w:ind w:left="1060" w:right="3119" w:hanging="1064"/>
        <w:spacing w:after="0" w:line="239" w:lineRule="auto"/>
        <w:tabs>
          <w:tab w:leader="none" w:pos="1040"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5"/>
          <w:szCs w:val="15"/>
          <w:color w:val="auto"/>
        </w:rPr>
        <w:t>Purchase and Sale Agreement dated as of January 19, 1999 among SBC Communications Inc., Comcast Cellular Holdings Corporation, Comcast Financial Corporation and Comcast Corporation.</w:t>
      </w: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3" w:lineRule="exact"/>
        <w:rPr>
          <w:sz w:val="20"/>
          <w:szCs w:val="20"/>
          <w:color w:val="auto"/>
        </w:rPr>
      </w:pPr>
    </w:p>
    <w:p>
      <w:pPr>
        <w:jc w:val="both"/>
        <w:ind w:left="1060" w:right="3119" w:hanging="1064"/>
        <w:spacing w:after="0" w:line="239" w:lineRule="auto"/>
        <w:tabs>
          <w:tab w:leader="none" w:pos="10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1998 and 1997 and for the years ended December 31, 1998, 1997 and 1996.</w:t>
      </w:r>
    </w:p>
    <w:p>
      <w:pPr>
        <w:spacing w:after="0" w:line="34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- 66 -</w:t>
      </w:r>
    </w:p>
    <w:p>
      <w:pPr>
        <w:sectPr>
          <w:pgSz w:w="11900" w:h="16838" w:orient="portrait"/>
          <w:cols w:equalWidth="0" w:num="1">
            <w:col w:w="9339"/>
          </w:cols>
          <w:pgMar w:left="1120" w:top="460" w:right="1440" w:bottom="1440" w:gutter="0" w:footer="0" w:header="0"/>
        </w:sectPr>
      </w:pPr>
    </w:p>
    <w:bookmarkStart w:id="73" w:name="page74"/>
    <w:bookmarkEnd w:id="73"/>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February 26, 1999.</w:t>
      </w:r>
    </w:p>
    <w:p>
      <w:pPr>
        <w:spacing w:after="0" w:line="174"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980"/>
        <w:spacing w:after="0"/>
        <w:tabs>
          <w:tab w:leader="none" w:pos="4400" w:val="left"/>
        </w:tabs>
        <w:rPr>
          <w:sz w:val="20"/>
          <w:szCs w:val="20"/>
          <w:color w:val="auto"/>
        </w:rPr>
      </w:pPr>
      <w:r>
        <w:rPr>
          <w:rFonts w:ascii="Courier New" w:cs="Courier New" w:eastAsia="Courier New" w:hAnsi="Courier New"/>
          <w:sz w:val="15"/>
          <w:szCs w:val="15"/>
          <w:color w:val="auto"/>
        </w:rPr>
        <w:t>By:</w:t>
        <w:tab/>
        <w:t>/s/ Brian L. Roberts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Brian L. Roberts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President and Director</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5020" w:type="dxa"/>
            <w:vAlign w:val="bottom"/>
          </w:tcPr>
          <w:p>
            <w:pPr>
              <w:jc w:val="right"/>
              <w:ind w:right="2286"/>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920"/>
              <w:spacing w:after="0"/>
              <w:rPr>
                <w:sz w:val="20"/>
                <w:szCs w:val="20"/>
                <w:color w:val="auto"/>
              </w:rPr>
            </w:pPr>
            <w:r>
              <w:rPr>
                <w:rFonts w:ascii="Courier New" w:cs="Courier New" w:eastAsia="Courier New" w:hAnsi="Courier New"/>
                <w:sz w:val="15"/>
                <w:szCs w:val="15"/>
                <w:color w:val="auto"/>
              </w:rPr>
              <w:t>Dated</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Chairman of the Board of Directors; 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Vice Chairman of the Board of Directors;</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w w:val="96"/>
              </w:rPr>
              <w:t>February 26, 1999</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President; Director (Principal Executive</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w w:val="96"/>
              </w:rPr>
              <w:t>February 26, 1999</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Officer)</w:t>
            </w:r>
          </w:p>
        </w:tc>
        <w:tc>
          <w:tcPr>
            <w:tcW w:w="198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Executive Vice President</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w w:val="96"/>
              </w:rPr>
              <w:t>February 26, 1999</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(Principal Accounting Officer)</w:t>
            </w:r>
          </w:p>
        </w:tc>
        <w:tc>
          <w:tcPr>
            <w:tcW w:w="198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Senior Vice President, Treasurer (Principal</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w w:val="96"/>
              </w:rPr>
              <w:t>February 26, 1999</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Financial Officer)</w:t>
            </w:r>
          </w:p>
        </w:tc>
        <w:tc>
          <w:tcPr>
            <w:tcW w:w="198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Gustave G. Amsterdam</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50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Director</w:t>
            </w:r>
          </w:p>
        </w:tc>
        <w:tc>
          <w:tcPr>
            <w:tcW w:w="1980" w:type="dxa"/>
            <w:vAlign w:val="bottom"/>
          </w:tcPr>
          <w:p>
            <w:pPr>
              <w:ind w:left="300"/>
              <w:spacing w:after="0"/>
              <w:rPr>
                <w:sz w:val="20"/>
                <w:szCs w:val="20"/>
                <w:color w:val="auto"/>
              </w:rPr>
            </w:pPr>
            <w:r>
              <w:rPr>
                <w:rFonts w:ascii="Courier New" w:cs="Courier New" w:eastAsia="Courier New" w:hAnsi="Courier New"/>
                <w:sz w:val="15"/>
                <w:szCs w:val="15"/>
                <w:color w:val="auto"/>
              </w:rPr>
              <w:t>February 26, 1999</w:t>
            </w:r>
          </w:p>
        </w:tc>
      </w:tr>
      <w:tr>
        <w:trPr>
          <w:trHeight w:val="683"/>
        </w:trPr>
        <w:tc>
          <w:tcPr>
            <w:tcW w:w="3100" w:type="dxa"/>
            <w:vAlign w:val="bottom"/>
          </w:tcPr>
          <w:p>
            <w:pPr>
              <w:spacing w:after="0"/>
              <w:rPr>
                <w:sz w:val="24"/>
                <w:szCs w:val="24"/>
                <w:color w:val="auto"/>
              </w:rPr>
            </w:pPr>
          </w:p>
        </w:tc>
        <w:tc>
          <w:tcPr>
            <w:tcW w:w="5020" w:type="dxa"/>
            <w:vAlign w:val="bottom"/>
          </w:tcPr>
          <w:p>
            <w:pPr>
              <w:jc w:val="right"/>
              <w:ind w:right="4246"/>
              <w:spacing w:after="0"/>
              <w:rPr>
                <w:sz w:val="20"/>
                <w:szCs w:val="20"/>
                <w:color w:val="auto"/>
              </w:rPr>
            </w:pPr>
            <w:r>
              <w:rPr>
                <w:rFonts w:ascii="Courier New" w:cs="Courier New" w:eastAsia="Courier New" w:hAnsi="Courier New"/>
                <w:sz w:val="15"/>
                <w:szCs w:val="15"/>
                <w:color w:val="auto"/>
              </w:rPr>
              <w:t>- 67 -</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4" w:name="page75"/>
    <w:bookmarkEnd w:id="74"/>
    <w:p>
      <w:pPr>
        <w:ind w:left="19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CONDENSED BALANCE SHEET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(In millions, except share data)</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83"/>
        </w:trPr>
        <w:tc>
          <w:tcPr>
            <w:tcW w:w="6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8"/>
              </w:rPr>
              <w:t>December 31,</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r>
      <w:tr>
        <w:trPr>
          <w:trHeight w:val="34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and amounts due from subsidiaries</w:t>
            </w: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eliminated upon consolidation.......................................</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5,679.6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3,487.0</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Property and equipment, net...........................................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assets, net.....................................................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$5,766.7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$3,589.7</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4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interest......................................................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286.3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108.1</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316.8</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143.1</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1,065.3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1,464.9</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 and other.......................................</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458.1</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303.8</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equity put options.............................................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111.2</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 authorized, 20,000,000 shares;</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5% series A convertible, no par value; issued,</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6,370 at redemption value.........................................</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5.25% series B mandatorily redeemable convertible,</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$1,000 par value; issued, 540,690 and 513,211</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at redemption value...............................................</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513.2</w:t>
            </w: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500,000,000 shares; issued, 328,630,366 and 317,025,969...........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317.0</w:t>
            </w: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A common stock, $1 par value - authorized,</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200,000,000 shares; issued, 31,690,063 and 31,793,487.............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w:t>
            </w: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B common stock, $1 par value - authorized,</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50,000,000 shares; issued, 9,444,375 and 8,786,250................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Additional capital..................................................</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3,311.5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3,030.6</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(2,415.9)</w:t>
            </w: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on marketable securities, including</w:t>
            </w: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securities held by subsidiaries...................................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1,049.5</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140.7</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Cumulative translation adjustments of subsidiaries..................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3,815.3</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1,646.5</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$5,766.7</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$3,589.7</w:t>
            </w:r>
          </w:p>
        </w:tc>
      </w:tr>
      <w:tr>
        <w:trPr>
          <w:trHeight w:val="171"/>
        </w:trPr>
        <w:tc>
          <w:tcPr>
            <w:tcW w:w="65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560" w:type="dxa"/>
            <w:vAlign w:val="bottom"/>
          </w:tcPr>
          <w:p>
            <w:pPr>
              <w:jc w:val="right"/>
              <w:ind w:right="2686"/>
              <w:spacing w:after="0"/>
              <w:rPr>
                <w:sz w:val="20"/>
                <w:szCs w:val="20"/>
                <w:color w:val="auto"/>
              </w:rPr>
            </w:pPr>
            <w:r>
              <w:rPr>
                <w:rFonts w:ascii="Courier New" w:cs="Courier New" w:eastAsia="Courier New" w:hAnsi="Courier New"/>
                <w:sz w:val="15"/>
                <w:szCs w:val="15"/>
                <w:color w:val="auto"/>
              </w:rPr>
              <w:t>- 68 -</w:t>
            </w: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5" w:name="page76"/>
    <w:bookmarkEnd w:id="75"/>
    <w:p>
      <w:pPr>
        <w:jc w:val="center"/>
        <w:ind w:right="320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7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7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CONDENSED STATEMENT OF OPERATIONS AND ACCUMULATED DEFICIT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1"/>
        </w:trPr>
        <w:tc>
          <w:tcPr>
            <w:tcW w:w="5900" w:type="dxa"/>
            <w:vAlign w:val="bottom"/>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21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REVENUES, principally intercompany fees eliminated</w:t>
            </w: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upon consolidation.........................................</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$286.8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$212.0</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GENERAL AND ADMINISTRATIVE EXPENSES...........................</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83.2</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69.5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OPERATING INCOME..............................................</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236.9</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217.3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156.4</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Interest expense, including intercompany interest, net.....</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239.1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231.2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263.6</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Equity in net (income) losses of affiliates and other......</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(976.2)</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(737.1)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469.8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247.3</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BENEFIT</w:t>
            </w: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AND EXTRAORDINARY ITEMS....................................</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974.0</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(90.9)</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INCOME TAX BENEFIT............................................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INCOME (LOSS) BEFORE EXTRAORDINARY ITEMS......................</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976.1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(235.9)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EXTRAORDINARY ITEMS...........................................</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spacing w:after="0"/>
              <w:rPr>
                <w:sz w:val="24"/>
                <w:szCs w:val="24"/>
                <w:color w:val="auto"/>
              </w:rPr>
            </w:pP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NET INCOME (LOSS).............................................</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972.1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(238.7)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(2,415.9)</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(2,127.1)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(1,914.3)</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Retirement of common stock.................................</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r>
      <w:tr>
        <w:trPr>
          <w:trHeight w:val="17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Cash dividends, $.0933 per share per year..................</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($1,488.2)</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($2,415.9)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($2,127.1)</w:t>
            </w:r>
          </w:p>
        </w:tc>
      </w:tr>
      <w:tr>
        <w:trPr>
          <w:trHeight w:val="171"/>
        </w:trPr>
        <w:tc>
          <w:tcPr>
            <w:tcW w:w="590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512"/>
        </w:trPr>
        <w:tc>
          <w:tcPr>
            <w:tcW w:w="5900" w:type="dxa"/>
            <w:vAlign w:val="bottom"/>
          </w:tcPr>
          <w:p>
            <w:pPr>
              <w:jc w:val="right"/>
              <w:ind w:right="2026"/>
              <w:spacing w:after="0"/>
              <w:rPr>
                <w:sz w:val="20"/>
                <w:szCs w:val="20"/>
                <w:color w:val="auto"/>
              </w:rPr>
            </w:pPr>
            <w:r>
              <w:rPr>
                <w:rFonts w:ascii="Courier New" w:cs="Courier New" w:eastAsia="Courier New" w:hAnsi="Courier New"/>
                <w:sz w:val="15"/>
                <w:szCs w:val="15"/>
                <w:color w:val="auto"/>
              </w:rPr>
              <w:t>- 69 -</w:t>
            </w: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80"/>
          </w:cols>
          <w:pgMar w:left="240" w:top="457" w:right="137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COMCAST</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CORPORATION AND SUBSIDIARIES</w:t>
            </w:r>
          </w:p>
        </w:tc>
        <w:tc>
          <w:tcPr>
            <w:tcW w:w="1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SCHEDULE I --</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CONDENSED FINANCIAL INFORMATION OF</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5980" w:type="dxa"/>
            <w:vAlign w:val="bottom"/>
            <w:gridSpan w:val="2"/>
          </w:tcPr>
          <w:p>
            <w:pPr>
              <w:jc w:val="center"/>
              <w:ind w:left="1126"/>
              <w:spacing w:after="0"/>
              <w:rPr>
                <w:sz w:val="20"/>
                <w:szCs w:val="20"/>
                <w:color w:val="auto"/>
              </w:rPr>
            </w:pPr>
            <w:r>
              <w:rPr>
                <w:rFonts w:ascii="Courier New" w:cs="Courier New" w:eastAsia="Courier New" w:hAnsi="Courier New"/>
                <w:sz w:val="15"/>
                <w:szCs w:val="15"/>
                <w:color w:val="auto"/>
                <w:w w:val="98"/>
              </w:rPr>
              <w:t>REGISTRANT UNCONSOLIDATED (PARENT ONLY)</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5980" w:type="dxa"/>
            <w:vAlign w:val="bottom"/>
            <w:gridSpan w:val="2"/>
          </w:tcPr>
          <w:p>
            <w:pPr>
              <w:jc w:val="center"/>
              <w:ind w:left="1106"/>
              <w:spacing w:after="0"/>
              <w:rPr>
                <w:sz w:val="20"/>
                <w:szCs w:val="20"/>
                <w:color w:val="auto"/>
              </w:rPr>
            </w:pPr>
            <w:r>
              <w:rPr>
                <w:rFonts w:ascii="Courier New" w:cs="Courier New" w:eastAsia="Courier New" w:hAnsi="Courier New"/>
                <w:sz w:val="15"/>
                <w:szCs w:val="15"/>
                <w:color w:val="auto"/>
                <w:w w:val="98"/>
              </w:rPr>
              <w:t>CONDENSED STATEMENT OF CASH FLOWS</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2660" w:type="dxa"/>
            <w:vAlign w:val="bottom"/>
          </w:tcPr>
          <w:p>
            <w:pPr>
              <w:spacing w:after="0"/>
              <w:rPr>
                <w:sz w:val="24"/>
                <w:szCs w:val="24"/>
                <w:color w:val="auto"/>
              </w:rPr>
            </w:pPr>
          </w:p>
        </w:tc>
        <w:tc>
          <w:tcPr>
            <w:tcW w:w="3320" w:type="dxa"/>
            <w:vAlign w:val="bottom"/>
          </w:tcPr>
          <w:p>
            <w:pPr>
              <w:jc w:val="center"/>
              <w:ind w:right="1406"/>
              <w:spacing w:after="0"/>
              <w:rPr>
                <w:sz w:val="20"/>
                <w:szCs w:val="20"/>
                <w:color w:val="auto"/>
              </w:rPr>
            </w:pPr>
            <w:r>
              <w:rPr>
                <w:rFonts w:ascii="Courier New" w:cs="Courier New" w:eastAsia="Courier New" w:hAnsi="Courier New"/>
                <w:sz w:val="15"/>
                <w:szCs w:val="15"/>
                <w:color w:val="auto"/>
                <w:w w:val="99"/>
              </w:rPr>
              <w:t>(In millions)</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83"/>
        </w:trPr>
        <w:tc>
          <w:tcPr>
            <w:tcW w:w="2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21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$972.1</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($238.7)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1"/>
        </w:trPr>
        <w:tc>
          <w:tcPr>
            <w:tcW w:w="5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80" w:type="dxa"/>
            <w:vAlign w:val="bottom"/>
            <w:gridSpan w:val="2"/>
          </w:tcPr>
          <w:p>
            <w:pPr>
              <w:jc w:val="right"/>
              <w:ind w:right="2626"/>
              <w:spacing w:after="0"/>
              <w:rPr>
                <w:sz w:val="20"/>
                <w:szCs w:val="20"/>
                <w:color w:val="auto"/>
              </w:rPr>
            </w:pPr>
            <w:r>
              <w:rPr>
                <w:rFonts w:ascii="Courier New" w:cs="Courier New" w:eastAsia="Courier New" w:hAnsi="Courier New"/>
                <w:sz w:val="15"/>
                <w:szCs w:val="15"/>
                <w:color w:val="auto"/>
              </w:rPr>
              <w:t>provided by operating activities:</w:t>
            </w:r>
          </w:p>
        </w:tc>
        <w:tc>
          <w:tcPr>
            <w:tcW w:w="1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13.2</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Non-cash interest expense, net...........................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106.8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136.2</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(976.6)</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275.2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Extraordinary items......................................</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spacing w:after="0"/>
              <w:rPr>
                <w:sz w:val="14"/>
                <w:szCs w:val="1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Deferred income taxes and other..........................</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104.2</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88.9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68.4</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120.6</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242.0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144.8</w:t>
            </w:r>
          </w:p>
        </w:tc>
      </w:tr>
      <w:tr>
        <w:trPr>
          <w:trHeight w:val="34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Changes in working capital...............................</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155.2</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(80.1)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275.8</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161.9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186.1</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Retirement and repayment of debt ..........................</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(59.5)</w:t>
            </w:r>
          </w:p>
        </w:tc>
        <w:tc>
          <w:tcPr>
            <w:tcW w:w="840" w:type="dxa"/>
            <w:vAlign w:val="bottom"/>
          </w:tcPr>
          <w:p>
            <w:pPr>
              <w:spacing w:after="0"/>
              <w:rPr>
                <w:sz w:val="14"/>
                <w:szCs w:val="14"/>
                <w:color w:val="auto"/>
              </w:rPr>
            </w:pPr>
          </w:p>
        </w:tc>
      </w:tr>
      <w:tr>
        <w:trPr>
          <w:trHeight w:val="171"/>
        </w:trPr>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w w:val="97"/>
              </w:rPr>
              <w:t>Issuance of preferred stock</w:t>
            </w:r>
          </w:p>
        </w:tc>
        <w:tc>
          <w:tcPr>
            <w:tcW w:w="33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spacing w:after="0"/>
              <w:rPr>
                <w:sz w:val="14"/>
                <w:szCs w:val="14"/>
                <w:color w:val="auto"/>
              </w:rPr>
            </w:pP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500.0</w:t>
            </w:r>
          </w:p>
        </w:tc>
        <w:tc>
          <w:tcPr>
            <w:tcW w:w="840" w:type="dxa"/>
            <w:vAlign w:val="bottom"/>
          </w:tcPr>
          <w:p>
            <w:pPr>
              <w:spacing w:after="0"/>
              <w:rPr>
                <w:sz w:val="14"/>
                <w:szCs w:val="1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Issuances (repurchases) of common stock, net...............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470.2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(175.9)</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Dividends..................................................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43.0</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(90.5)</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889.4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(159.7)</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Net transactions with affiliates...........................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(164.0)</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(1,026.4)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(166.9)</w:t>
            </w:r>
          </w:p>
        </w:tc>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(1,048.2)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w w:val="98"/>
              </w:rPr>
              <w:t>INCREASE IN CASH AND CASH EQUIVALENTS.........................</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18.4</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34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$31.2</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$12.8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w:t>
            </w:r>
          </w:p>
        </w:tc>
      </w:tr>
      <w:tr>
        <w:trPr>
          <w:trHeight w:val="171"/>
        </w:trPr>
        <w:tc>
          <w:tcPr>
            <w:tcW w:w="2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2660" w:type="dxa"/>
            <w:vAlign w:val="bottom"/>
          </w:tcPr>
          <w:p>
            <w:pPr>
              <w:spacing w:after="0"/>
              <w:rPr>
                <w:sz w:val="24"/>
                <w:szCs w:val="24"/>
                <w:color w:val="auto"/>
              </w:rPr>
            </w:pPr>
          </w:p>
        </w:tc>
        <w:tc>
          <w:tcPr>
            <w:tcW w:w="3320" w:type="dxa"/>
            <w:vAlign w:val="bottom"/>
          </w:tcPr>
          <w:p>
            <w:pPr>
              <w:jc w:val="right"/>
              <w:ind w:right="2106"/>
              <w:spacing w:after="0"/>
              <w:rPr>
                <w:sz w:val="20"/>
                <w:szCs w:val="20"/>
                <w:color w:val="auto"/>
              </w:rPr>
            </w:pPr>
            <w:r>
              <w:rPr>
                <w:rFonts w:ascii="Courier New" w:cs="Courier New" w:eastAsia="Courier New" w:hAnsi="Courier New"/>
                <w:sz w:val="15"/>
                <w:szCs w:val="15"/>
                <w:color w:val="auto"/>
              </w:rPr>
              <w:t>- 70 -</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80"/>
          </w:cols>
          <w:pgMar w:left="240" w:top="457" w:right="1379" w:bottom="1440" w:gutter="0" w:footer="0" w:header="0"/>
        </w:sectPr>
      </w:pPr>
    </w:p>
    <w:bookmarkStart w:id="77" w:name="page78"/>
    <w:bookmarkEnd w:id="77"/>
    <w:p>
      <w:pPr>
        <w:ind w:left="194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900" w:type="dxa"/>
            <w:vAlign w:val="bottom"/>
          </w:tcPr>
          <w:p>
            <w:pPr>
              <w:jc w:val="right"/>
              <w:ind w:right="1666"/>
              <w:spacing w:after="0"/>
              <w:rPr>
                <w:sz w:val="20"/>
                <w:szCs w:val="20"/>
                <w:color w:val="auto"/>
              </w:rPr>
            </w:pPr>
            <w:r>
              <w:rPr>
                <w:rFonts w:ascii="Courier New" w:cs="Courier New" w:eastAsia="Courier New" w:hAnsi="Courier New"/>
                <w:sz w:val="15"/>
                <w:szCs w:val="15"/>
                <w:color w:val="auto"/>
                <w:w w:val="97"/>
              </w:rPr>
              <w:t>(In millions)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53"/>
        </w:trPr>
        <w:tc>
          <w:tcPr>
            <w:tcW w:w="3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Additions</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3000" w:type="dxa"/>
            <w:vAlign w:val="bottom"/>
          </w:tcPr>
          <w:p>
            <w:pPr>
              <w:spacing w:after="0"/>
              <w:rPr>
                <w:sz w:val="14"/>
                <w:szCs w:val="14"/>
                <w:color w:val="auto"/>
              </w:rPr>
            </w:pPr>
          </w:p>
        </w:tc>
        <w:tc>
          <w:tcPr>
            <w:tcW w:w="2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Balance at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Charged to</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Deductions</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w w:val="95"/>
              </w:rPr>
              <w:t>Balance</w:t>
            </w:r>
          </w:p>
        </w:tc>
      </w:tr>
      <w:tr>
        <w:trPr>
          <w:trHeight w:val="171"/>
        </w:trPr>
        <w:tc>
          <w:tcPr>
            <w:tcW w:w="3000" w:type="dxa"/>
            <w:vAlign w:val="bottom"/>
          </w:tcPr>
          <w:p>
            <w:pPr>
              <w:spacing w:after="0"/>
              <w:rPr>
                <w:sz w:val="14"/>
                <w:szCs w:val="14"/>
                <w:color w:val="auto"/>
              </w:rPr>
            </w:pPr>
          </w:p>
        </w:tc>
        <w:tc>
          <w:tcPr>
            <w:tcW w:w="2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Beginning</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Costs and</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from</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at End</w:t>
            </w:r>
          </w:p>
        </w:tc>
      </w:tr>
      <w:tr>
        <w:trPr>
          <w:trHeight w:val="171"/>
        </w:trPr>
        <w:tc>
          <w:tcPr>
            <w:tcW w:w="3000" w:type="dxa"/>
            <w:vAlign w:val="bottom"/>
          </w:tcPr>
          <w:p>
            <w:pPr>
              <w:spacing w:after="0"/>
              <w:rPr>
                <w:sz w:val="14"/>
                <w:szCs w:val="14"/>
                <w:color w:val="auto"/>
              </w:rPr>
            </w:pPr>
          </w:p>
        </w:tc>
        <w:tc>
          <w:tcPr>
            <w:tcW w:w="2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of Year</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Reserves(A)</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w w:val="95"/>
              </w:rPr>
              <w:t>of Year</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1998.....................................</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$108.8</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$52.2</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$40.3</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$120.7</w:t>
            </w:r>
          </w:p>
        </w:tc>
      </w:tr>
      <w:tr>
        <w:trPr>
          <w:trHeight w:val="34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1997.....................................</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94.0</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55.1</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40.3</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108.8</w:t>
            </w:r>
          </w:p>
        </w:tc>
      </w:tr>
      <w:tr>
        <w:trPr>
          <w:trHeight w:val="34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1996.....................................</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78.0</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45.2</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29.2</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94.0</w:t>
            </w:r>
          </w:p>
        </w:tc>
      </w:tr>
      <w:tr>
        <w:trPr>
          <w:trHeight w:val="683"/>
        </w:trPr>
        <w:tc>
          <w:tcPr>
            <w:tcW w:w="3000" w:type="dxa"/>
            <w:vAlign w:val="bottom"/>
          </w:tcPr>
          <w:p>
            <w:pPr>
              <w:spacing w:after="0"/>
              <w:rPr>
                <w:sz w:val="20"/>
                <w:szCs w:val="20"/>
                <w:color w:val="auto"/>
              </w:rPr>
            </w:pPr>
            <w:r>
              <w:rPr>
                <w:rFonts w:ascii="Courier New" w:cs="Courier New" w:eastAsia="Courier New" w:hAnsi="Courier New"/>
                <w:sz w:val="15"/>
                <w:szCs w:val="15"/>
                <w:color w:val="auto"/>
              </w:rPr>
              <w:t>Allowance for Obsolete</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Electronic Retailing Inventories</w:t>
            </w:r>
          </w:p>
        </w:tc>
        <w:tc>
          <w:tcPr>
            <w:tcW w:w="2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1998.....................................</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$39.0</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$22.6</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w:t>
            </w:r>
          </w:p>
        </w:tc>
      </w:tr>
      <w:tr>
        <w:trPr>
          <w:trHeight w:val="34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1997.....................................</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37.0</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27.2</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w:t>
            </w:r>
          </w:p>
        </w:tc>
      </w:tr>
      <w:tr>
        <w:trPr>
          <w:trHeight w:val="34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80"/>
              </w:rPr>
              <w:t>1996.....................................</w:t>
            </w:r>
          </w:p>
        </w:tc>
        <w:tc>
          <w:tcPr>
            <w:tcW w:w="2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29.7</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23.5</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obsolete inventory written off.</w:t>
      </w:r>
    </w:p>
    <w:p>
      <w:pPr>
        <w:spacing w:after="0" w:line="17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w:t>
      </w:r>
    </w:p>
    <w:p>
      <w:pPr>
        <w:sectPr>
          <w:pgSz w:w="11900" w:h="16838" w:orient="portrait"/>
          <w:cols w:equalWidth="0" w:num="1">
            <w:col w:w="10228"/>
          </w:cols>
          <w:pgMar w:left="231" w:top="457" w:right="1440" w:bottom="1440" w:gutter="0" w:footer="0" w:header="0"/>
        </w:sectPr>
      </w:pPr>
    </w:p>
    <w:bookmarkStart w:id="78" w:name="page79"/>
    <w:bookmarkEnd w:id="78"/>
    <w:p>
      <w:pPr>
        <w:spacing w:after="0" w:line="4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1987 STOCK OPTION PLAN</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(As Amended and Restated, Effective December 15, 1998)</w:t>
      </w:r>
    </w:p>
    <w:p>
      <w:pPr>
        <w:spacing w:after="0" w:line="345" w:lineRule="exact"/>
        <w:rPr>
          <w:sz w:val="20"/>
          <w:szCs w:val="20"/>
          <w:color w:val="auto"/>
        </w:rPr>
      </w:pPr>
    </w:p>
    <w:p>
      <w:pPr>
        <w:jc w:val="both"/>
        <w:ind w:left="9" w:right="3119" w:firstLine="435"/>
        <w:spacing w:after="0"/>
        <w:tabs>
          <w:tab w:leader="none" w:pos="80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COMCAST CORPORATION, a Pennsylvania corporation (the "Company"), adopts the Comcast Corporation 1987 Stock Option Plan effective January 5, 1987 (the "Plan"). The Plan is intended as an additional incentive to employees and non-employee members of the Board of Directors (together the "Optionees") to enter into or remain in the employ of the Company or any Affiliate (as defined below) or to serve on the Board of Directors of the Company or any Affiliate and to devote themselves to the Company's success by providing them with an opportunity to acquire or increase their proprietary interest in the Company through receipt of rights (the "Options") to acquire the Company's Class A Special Common Stock, par value, $1.00 per share (except as otherwise provided in Section 12, the "Common Stock"). Each Option granted under the Plan to an employee of the Company or an Affiliate is intended to be an incentive stock option ("ISO") within the meaning of Section 422(b) of the Internal Revenue Code of 1986, as amended (the "Code") for federal income tax purposes, except to the extent any such ISO grant would exceed the limitation of subsection 6(a) and except for any Option specifically designated at the time of grant as not being an ISO. No Option granted to a person who is not an employee of the Company or any Affiliate on the date of grant shall be an ISO. For purposes of the Plan, except as otherwise provided in Section 14, the term "Affiliate" shall mean a corporation which is a parent corporation or a subsidiary corporation with respect to the Company within the meaning of Section 424(e) or (f) of the Code.</w:t>
      </w:r>
    </w:p>
    <w:p>
      <w:pPr>
        <w:spacing w:after="0" w:line="187" w:lineRule="exact"/>
        <w:rPr>
          <w:rFonts w:ascii="Courier New" w:cs="Courier New" w:eastAsia="Courier New" w:hAnsi="Courier New"/>
          <w:sz w:val="15"/>
          <w:szCs w:val="15"/>
          <w:color w:val="auto"/>
        </w:rPr>
      </w:pPr>
    </w:p>
    <w:p>
      <w:pPr>
        <w:jc w:val="both"/>
        <w:ind w:left="9" w:right="3119" w:firstLine="435"/>
        <w:spacing w:after="0" w:line="259" w:lineRule="auto"/>
        <w:tabs>
          <w:tab w:leader="none" w:pos="80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Subcommittee on Performance Based Compensation of the Compensation Committee or any other committee or subcommittee designated by the Board of Directors of the Company, provided it is composed of two or more non-employee members of the Board of Directors each of whom is an "outside director" within the meaning of Section 162(m)(4)(C) of the Code and applicable Treasury Regulations thereunder (the "Committee"). Notwithstanding the foregoing, in the case non-employee directors who are granted Options in accordance with the provisions of Section 8, the directors to whom such Options will be granted, the timing of grants of such Options, the Option Price (as such term is defined in subsection 6(b)) of such Options and the number of Option Shares (as such term is defined in Section 4) included in such Options shall be as specifically set forth in Section 8.</w:t>
      </w:r>
    </w:p>
    <w:p>
      <w:pPr>
        <w:spacing w:after="0" w:line="164" w:lineRule="exact"/>
        <w:rPr>
          <w:rFonts w:ascii="Courier New" w:cs="Courier New" w:eastAsia="Courier New" w:hAnsi="Courier New"/>
          <w:sz w:val="14"/>
          <w:szCs w:val="14"/>
          <w:color w:val="auto"/>
        </w:rPr>
      </w:pPr>
    </w:p>
    <w:p>
      <w:pPr>
        <w:jc w:val="both"/>
        <w:ind w:left="9" w:right="3119" w:firstLine="878"/>
        <w:spacing w:after="0" w:line="239" w:lineRule="auto"/>
        <w:tabs>
          <w:tab w:leader="none" w:pos="13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#54293 v6 (15W506!.WPD)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9" w:right="3119" w:firstLine="878"/>
        <w:spacing w:after="0"/>
        <w:tabs>
          <w:tab w:leader="none" w:pos="1251"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Except with respect to options granted to non-employee directors pursuant to Section 8, the Committee shall from time to time at its discretion direct the Company to grant Options pursuant to the terms of the Plan. The Committee shall have plenary authority to determine the Optionees to whom and the times at which Options shall be granted, the number of Option Shares (as defined in Section 4) to be granted and the price and other terms and conditions thereof, including a specification with respect to whether an Option is intended to be an ISO, subject, however, to the express provisions of the Plan. In making such determinations the Committee may take into account the nature of the Optionee's services and responsibilities, the Optionee's present and potential contribution to the Company's success and such other factors as it may deem relevant. Notwithstanding the foregoing, grants of Options to non-employee directors shall be made in accordance with Section 8. The interpretation and construction by the Committee of any provision of the Plan or of any Option granted under it shall be final, binding and conclusive.</w:t>
      </w:r>
    </w:p>
    <w:p>
      <w:pPr>
        <w:spacing w:after="0" w:line="181" w:lineRule="exact"/>
        <w:rPr>
          <w:rFonts w:ascii="Courier New" w:cs="Courier New" w:eastAsia="Courier New" w:hAnsi="Courier New"/>
          <w:sz w:val="15"/>
          <w:szCs w:val="15"/>
          <w:color w:val="auto"/>
        </w:rPr>
      </w:pPr>
    </w:p>
    <w:p>
      <w:pPr>
        <w:jc w:val="both"/>
        <w:ind w:left="9" w:right="3119" w:firstLine="878"/>
        <w:spacing w:after="0" w:line="258" w:lineRule="auto"/>
        <w:tabs>
          <w:tab w:leader="none" w:pos="1340" w:val="left"/>
        </w:tabs>
        <w:numPr>
          <w:ilvl w:val="2"/>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Board of Directors or of the Committee shall be personally liable for monetary damages as such for any action taken or any failure to take any action in connection with the administration of the Plan or the granting of Options under it unless (i) the director or member of the Committee has breached or failed to perform the duties of his office and</w:t>
      </w:r>
    </w:p>
    <w:p>
      <w:pPr>
        <w:jc w:val="both"/>
        <w:ind w:left="9" w:right="3119" w:hanging="9"/>
        <w:spacing w:after="0" w:line="239" w:lineRule="auto"/>
        <w:tabs>
          <w:tab w:leader="none" w:pos="54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failure to perform constitutes self-dealing, willful misconduct or recklessness; provided, however, that the provisions of this subsection 2(c) shall not apply to the responsibility or liability of a director or a member of the Committee pursuant to any criminal statute.</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Each member of the Board of Directors or of the Committee shall be entitled without further act on his part to indemnity from the Company to the fullest extent provided by applicable law and the Company's by-laws in connection with or arising out of any action, suit or proceeding with respect to the administration of the Plan or the granting of Options under it in which he may be involved by reason of his being or having been a member of the Board of Directors or the Committee, whether or not he continues to be such member of the Board or the Committee at the time of the action, suit or proceeding.</w:t>
      </w:r>
    </w:p>
    <w:p>
      <w:pPr>
        <w:spacing w:after="0" w:line="177" w:lineRule="exact"/>
        <w:rPr>
          <w:rFonts w:ascii="Courier New" w:cs="Courier New" w:eastAsia="Courier New" w:hAnsi="Courier New"/>
          <w:sz w:val="15"/>
          <w:szCs w:val="15"/>
          <w:color w:val="auto"/>
        </w:rPr>
      </w:pPr>
    </w:p>
    <w:p>
      <w:pPr>
        <w:jc w:val="both"/>
        <w:ind w:left="9" w:right="3119" w:firstLine="435"/>
        <w:spacing w:after="0" w:line="260" w:lineRule="auto"/>
        <w:tabs>
          <w:tab w:leader="none" w:pos="808"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employees of the Company or its Affiliates (who may also be directors of the Company or its Affiliates) shall be eligible to receive ISOs hereunder. All Optionees shall be eligible to receive Options hereunder. The Committee, in its sole discretion, shall determine whether an individual qualifies as an employee or as an Optionee. An Optionee may receive more than one Option, but only on the terms and subject to the restrictions of the Plan,</w:t>
      </w:r>
    </w:p>
    <w:p>
      <w:pPr>
        <w:sectPr>
          <w:pgSz w:w="11900" w:h="16881" w:orient="portrait"/>
          <w:cols w:equalWidth="0" w:num="1">
            <w:col w:w="10228"/>
          </w:cols>
          <w:pgMar w:left="231" w:top="139" w:right="1440" w:bottom="0" w:gutter="0" w:footer="0" w:header="0"/>
        </w:sectPr>
      </w:pPr>
    </w:p>
    <w:bookmarkStart w:id="79" w:name="page80"/>
    <w:bookmarkEnd w:id="79"/>
    <w:p>
      <w:pPr>
        <w:ind w:right="3119"/>
        <w:spacing w:after="0" w:line="238" w:lineRule="auto"/>
        <w:rPr>
          <w:sz w:val="20"/>
          <w:szCs w:val="20"/>
          <w:color w:val="auto"/>
        </w:rPr>
      </w:pPr>
      <w:r>
        <w:rPr>
          <w:rFonts w:ascii="Courier New" w:cs="Courier New" w:eastAsia="Courier New" w:hAnsi="Courier New"/>
          <w:sz w:val="15"/>
          <w:szCs w:val="15"/>
          <w:color w:val="auto"/>
        </w:rPr>
        <w:t>provided, however, that non-employee directors may receive Options only pursuant to Section 8.</w:t>
      </w:r>
    </w:p>
    <w:p>
      <w:pPr>
        <w:spacing w:after="0" w:line="175" w:lineRule="exact"/>
        <w:rPr>
          <w:sz w:val="20"/>
          <w:szCs w:val="20"/>
          <w:color w:val="auto"/>
        </w:rPr>
      </w:pPr>
    </w:p>
    <w:p>
      <w:pPr>
        <w:jc w:val="both"/>
        <w:ind w:right="3119" w:firstLine="435"/>
        <w:spacing w:after="0" w:line="239" w:lineRule="auto"/>
        <w:tabs>
          <w:tab w:leader="none" w:pos="7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 The aggregate maximum number of shares of the Common Stock for which Options may be issued under the Plan is 19,500,000 shares, adjusted as provided in Section 9 (the "Option Shares"). Option Shares shall be issued from authorized and unissued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141" w:right="1440" w:bottom="1440" w:gutter="0" w:footer="0" w:header="0"/>
        </w:sectPr>
      </w:pPr>
    </w:p>
    <w:bookmarkStart w:id="80" w:name="page81"/>
    <w:bookmarkEnd w:id="80"/>
    <w:p>
      <w:pPr>
        <w:jc w:val="both"/>
        <w:ind w:right="3119"/>
        <w:spacing w:after="0"/>
        <w:rPr>
          <w:sz w:val="20"/>
          <w:szCs w:val="20"/>
          <w:color w:val="auto"/>
        </w:rPr>
      </w:pPr>
      <w:r>
        <w:rPr>
          <w:rFonts w:ascii="Courier New" w:cs="Courier New" w:eastAsia="Courier New" w:hAnsi="Courier New"/>
          <w:sz w:val="15"/>
          <w:szCs w:val="15"/>
          <w:color w:val="auto"/>
        </w:rPr>
        <w:t>Common Stock or Common Stock held in or hereafter acquired for the treasury of the Company. If any outstanding Option granted under the Plan expires, lapses or is terminated for any reason, the Option Shares allocable to the unexercised portion of such Option may again by the subject of an Option granted pursuant to the Plan. The maximum number of shares of the Common Stock for which Options may be issued to any single employee of the Company or its Affiliates in any calendar year, adjusted as provided in Section 9, shall be, in 1994, 2,300,000 shares, and thereafter 500,000 shares.</w:t>
      </w:r>
    </w:p>
    <w:p>
      <w:pPr>
        <w:spacing w:after="0" w:line="177" w:lineRule="exact"/>
        <w:rPr>
          <w:sz w:val="20"/>
          <w:szCs w:val="20"/>
          <w:color w:val="auto"/>
        </w:rPr>
      </w:pPr>
    </w:p>
    <w:p>
      <w:pPr>
        <w:ind w:right="3119" w:firstLine="435"/>
        <w:spacing w:after="0" w:line="238" w:lineRule="auto"/>
        <w:tabs>
          <w:tab w:leader="none" w:pos="7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is effective as of January 5, 1987. No Option may be granted under the Plan after January 4, 1997.</w:t>
      </w:r>
    </w:p>
    <w:p>
      <w:pPr>
        <w:spacing w:after="0" w:line="174" w:lineRule="exact"/>
        <w:rPr>
          <w:rFonts w:ascii="Courier New" w:cs="Courier New" w:eastAsia="Courier New" w:hAnsi="Courier New"/>
          <w:sz w:val="15"/>
          <w:szCs w:val="15"/>
          <w:color w:val="auto"/>
        </w:rPr>
      </w:pPr>
    </w:p>
    <w:p>
      <w:pPr>
        <w:jc w:val="both"/>
        <w:ind w:right="3119" w:firstLine="435"/>
        <w:spacing w:after="0"/>
        <w:tabs>
          <w:tab w:leader="none" w:pos="7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 Options granted pursuant to the Plan shall be evidenced by written documents (the "Option Documents") in such form as the Committee shall from time to time approve, which Option Documents shall comply with and be subject to the following terms and conditions and such other terms and conditions which the Committee shall from time to time require which are not inconsistent with the terms of the Plan. However, the provisions of this Section 6 shall not be applicable to Options granted to non-employee directors, except as otherwise provided in subsection 8(c).</w:t>
      </w:r>
    </w:p>
    <w:p>
      <w:pPr>
        <w:spacing w:after="0" w:line="176"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Option Shares. Each Option Document shall state the number of Option Shares to which it pertains. Notwithstanding that any such Option is intended to be an ISO, such option shall not be an ISO to the extent that it would not be so treated under the rules contained in Section 422(d) of the Code, and the Regulations thereunder (dealing with the annual vesting limit).</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Each Option Document shall state the price at which Option Shares may be purchased (the "Option Price"), which shall be at least 100% of the fair market value of the Common Stock at the time the Option is granted as determined by the Committee; provided, however, that if an ISO is granted to an Optionee who then owns, directly or by attribution under Section 424(d) of the Code, shares possessing more than ten percent of the total combined voting power of all classes of stock of the Company or an Affiliate, then the Option Price shall be at least 110% of the fair market value of the Option Shares at the time the Option is granted.</w:t>
      </w:r>
    </w:p>
    <w:p>
      <w:pPr>
        <w:spacing w:after="0" w:line="177"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Medium of Payment. An Optionee shall pay for Option Shares (i) in cash, (ii) by certified check payable to the order of the company, or (iii) by a combination of the foregoing. In addition, the Committee may provide in an Option Document that payment may be made all or in part in Other Available Shares held by the Optionee (a) in the case of payment for ISOs outstanding as of March 28, 1990, for more than one year, or (b) in the case of payment for all other Options (unless otherwise provided in an Option Document), for more than six months or such shorter period of time as shall not, in the Committee's sole discretion, have an adverse effect on the Company's financial statements; provided, however, that Option Shares may not be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801" w:right="1440" w:bottom="1440" w:gutter="0" w:footer="0" w:header="0"/>
        </w:sectPr>
      </w:pPr>
    </w:p>
    <w:bookmarkStart w:id="81" w:name="page82"/>
    <w:bookmarkEnd w:id="81"/>
    <w:p>
      <w:pPr>
        <w:jc w:val="both"/>
        <w:ind w:right="3119"/>
        <w:spacing w:after="0"/>
        <w:rPr>
          <w:sz w:val="20"/>
          <w:szCs w:val="20"/>
          <w:color w:val="auto"/>
        </w:rPr>
      </w:pPr>
      <w:r>
        <w:rPr>
          <w:rFonts w:ascii="Courier New" w:cs="Courier New" w:eastAsia="Courier New" w:hAnsi="Courier New"/>
          <w:sz w:val="15"/>
          <w:szCs w:val="15"/>
          <w:color w:val="auto"/>
        </w:rPr>
        <w:t>paid for in shares of Class A Common Stock if such method of payment would result in liability under Section 16(b) of the Securities Exchange Act of 1934 to an Optionee. Except as otherwise provided by the Committee, if payment is made in whole or in part in shares of the Common Stock or Class A Common Stock of the Company, then the Optionee shall deliver to the Company certificates registered in the name of such Optionee representing shares of Common Stock or Class A Common Stock legally and beneficially owned by such Optionee, free of all liens, claims and encumbrances of every kind and having a fair market value on the date of delivery that is not greater than the Option Price of the Option Shares with respect to which such Option is to be exercised, accompanied by stock powers duly endorsed in blank by the record holder of the shares represented by such certificates. Notwithstanding the foregoing, the Committee, in its sole discretion, may refuse to accept shares of Common Stock or Class A Common Stock in payment of the Option Price. In that event, any certificates representing shares of Common Stock or Class A Common Stock which were delivered to the Company shall be returned to the Optionee with notice of the refusal of the Committee to accept such shares in payment of the Option Price. The Committee may impose such limitations and prohibitions on the use of shares of the Common Stock or Class A Common Stock to exercise an Option as it deems appropriate.</w:t>
      </w:r>
    </w:p>
    <w:p>
      <w:pPr>
        <w:spacing w:after="0" w:line="186" w:lineRule="exact"/>
        <w:rPr>
          <w:sz w:val="20"/>
          <w:szCs w:val="20"/>
          <w:color w:val="auto"/>
        </w:rPr>
      </w:pPr>
    </w:p>
    <w:p>
      <w:pPr>
        <w:ind w:right="3119" w:firstLine="878"/>
        <w:spacing w:after="0" w:line="238" w:lineRule="auto"/>
        <w:tabs>
          <w:tab w:leader="none" w:pos="12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Options. No Option shall be exercisable after the first to occur of the following:</w:t>
      </w:r>
    </w:p>
    <w:p>
      <w:pPr>
        <w:spacing w:after="0" w:line="174" w:lineRule="exact"/>
        <w:rPr>
          <w:rFonts w:ascii="Courier New" w:cs="Courier New" w:eastAsia="Courier New" w:hAnsi="Courier New"/>
          <w:sz w:val="15"/>
          <w:szCs w:val="15"/>
          <w:color w:val="auto"/>
        </w:rPr>
      </w:pPr>
    </w:p>
    <w:p>
      <w:pPr>
        <w:jc w:val="both"/>
        <w:ind w:right="3119" w:firstLine="1322"/>
        <w:spacing w:after="0"/>
        <w:tabs>
          <w:tab w:leader="none" w:pos="177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Option term specified in the Option Document, which for an ISO, shall not exceed (A) ten years from the date of grant, or (B) five years from the date of grant if the Optionee on the date of grant owns, directly or by attribution under Section 424(d) of the Code, shares possessing more than ten percent of the total combined voting power of all classes of stock of the Company or of an Affiliate, and which for any other Option shall not exceed ten years and six months from the date of grant;</w:t>
      </w:r>
    </w:p>
    <w:p>
      <w:pPr>
        <w:spacing w:after="0" w:line="175" w:lineRule="exact"/>
        <w:rPr>
          <w:rFonts w:ascii="Courier New" w:cs="Courier New" w:eastAsia="Courier New" w:hAnsi="Courier New"/>
          <w:sz w:val="15"/>
          <w:szCs w:val="15"/>
          <w:color w:val="auto"/>
        </w:rPr>
      </w:pPr>
    </w:p>
    <w:p>
      <w:pPr>
        <w:jc w:val="both"/>
        <w:ind w:right="3119" w:firstLine="1322"/>
        <w:spacing w:after="0"/>
        <w:tabs>
          <w:tab w:leader="none" w:pos="186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three months from the date the Optionee's employment with the Company or its Affiliates terminates for any reason other than disability (within the meaning of Section 22(e)(3) of the Code) ("Disability"), death or as specified in subsection 6(d)(iv) or (v) below, provided, however, that the Committee may specify in an Option Document that an Option may be exercisable during a longer period following the date the Optionee's employment with the Company or its Affiliates so terminates, but in no event later than the expiration of the Option Term specified in such Option Document;</w:t>
      </w:r>
    </w:p>
    <w:p>
      <w:pPr>
        <w:spacing w:after="0" w:line="177" w:lineRule="exact"/>
        <w:rPr>
          <w:rFonts w:ascii="Courier New" w:cs="Courier New" w:eastAsia="Courier New" w:hAnsi="Courier New"/>
          <w:sz w:val="15"/>
          <w:szCs w:val="15"/>
          <w:color w:val="auto"/>
        </w:rPr>
      </w:pPr>
    </w:p>
    <w:p>
      <w:pPr>
        <w:jc w:val="both"/>
        <w:ind w:right="3119" w:firstLine="1322"/>
        <w:spacing w:after="0" w:line="239" w:lineRule="auto"/>
        <w:tabs>
          <w:tab w:leader="none" w:pos="195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one year from the date the Optionee's employment with the Company or its Affiliates terminates by reason of the Optionee's Disability or death;</w:t>
      </w:r>
    </w:p>
    <w:p>
      <w:pPr>
        <w:spacing w:after="0" w:line="175" w:lineRule="exact"/>
        <w:rPr>
          <w:rFonts w:ascii="Courier New" w:cs="Courier New" w:eastAsia="Courier New" w:hAnsi="Courier New"/>
          <w:sz w:val="15"/>
          <w:szCs w:val="15"/>
          <w:color w:val="auto"/>
        </w:rPr>
      </w:pPr>
    </w:p>
    <w:p>
      <w:pPr>
        <w:ind w:right="3119" w:firstLine="1322"/>
        <w:spacing w:after="0" w:line="238" w:lineRule="auto"/>
        <w:tabs>
          <w:tab w:leader="none" w:pos="177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set by the Committee pursuant to Section 13 in connection with a Terminating Event;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801" w:right="1440" w:bottom="1440" w:gutter="0" w:footer="0" w:header="0"/>
        </w:sectPr>
      </w:pPr>
    </w:p>
    <w:bookmarkStart w:id="82" w:name="page83"/>
    <w:bookmarkEnd w:id="82"/>
    <w:p>
      <w:pPr>
        <w:jc w:val="both"/>
        <w:ind w:right="3119" w:firstLine="1322"/>
        <w:spacing w:after="0"/>
        <w:tabs>
          <w:tab w:leader="none" w:pos="1686"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finding by the Committee, after full consideration of the facts presented on behalf of both the Company and the Optionee, that the Optionee has breached his employment contract with the Company or an Affiliate, or has been engaged in any sort of disloyalty to the Company or an Affiliate, including, without limitation, fraud, embezzlement, theft, commission of a felony or proven dishonesty in the course of his employment or has disclosed trade secrets of the Company or an Affiliate. In such event, in addition to immediate termination of the Option, the Optionee, upon a determination by the Committee shall automatically forfeit all Option Shares for which the Company has not yet delivered the share certificates upon refund by the Company of the Option Price.</w:t>
      </w:r>
    </w:p>
    <w:p>
      <w:pPr>
        <w:spacing w:after="0" w:line="178"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This subsection 6(e) shall not apply to Options described in Section 6.1.</w:t>
      </w:r>
    </w:p>
    <w:p>
      <w:pPr>
        <w:spacing w:after="0" w:line="174"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Except as provided in subsection 6(e)(ii), no Option granted under the Plan may be transferred, except by will or by the laws of descent and distribution. During the lifetime of the person to whom an Option is granted, such Option may be exercised only by him.</w:t>
      </w:r>
    </w:p>
    <w:p>
      <w:pPr>
        <w:spacing w:after="0" w:line="176" w:lineRule="exact"/>
        <w:rPr>
          <w:sz w:val="20"/>
          <w:szCs w:val="20"/>
          <w:color w:val="auto"/>
        </w:rPr>
      </w:pPr>
    </w:p>
    <w:p>
      <w:pPr>
        <w:jc w:val="both"/>
        <w:ind w:right="3119" w:firstLine="1322"/>
        <w:spacing w:after="0"/>
        <w:tabs>
          <w:tab w:leader="none" w:pos="177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Transferable Options. The Committee may, in its discretion, at the time of grant of an Option that is not an ISO (an "NQO") or by amendment of an Option Document for an ISO or an NQO, provide that Options granted to or held by an Optionee may be transferred, in whole or in part, to one or more transferees and exercised by any such transferee; provided further that (A) any such transfer is without consideration and (B) each transferee is a member of such Optionee's Immediate Family (as hereinafter defined); and provided further that any ISO granted pursuant to an Option Document which is amended to permit transfers during the lifetime of the Optionee shall, upon the effectiveness of such amendment, be treated thereafter as an NQO.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subsections 6(c), 6(d), 6(f) and this subsection 6(e). For purposes of this subsection 6(e), the term "Immediate Family" shall mean an Optionee's spouse and lineal descendants, any trust all beneficiaries of which are any of such persons and any partnership all partners of which are any of such persons.</w:t>
      </w:r>
    </w:p>
    <w:p>
      <w:pPr>
        <w:spacing w:after="0" w:line="184"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Option Documents shall contain such other provisions including, without limitation, additional restrictions upon the exercise of the Option or additional limitations upon the term of the Option, as the Committee shall deem advisable.</w:t>
      </w:r>
    </w:p>
    <w:p>
      <w:pPr>
        <w:spacing w:after="0" w:line="176"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Committee shall have the right to amend Option Documents issued to an Optionee subject to his consent, except that the consent of the Optionee shall not be required for any amendment made under subsection 6(d)(iv).</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631" w:right="1440" w:bottom="1440" w:gutter="0" w:footer="0" w:header="0"/>
        </w:sectPr>
      </w:pPr>
    </w:p>
    <w:bookmarkStart w:id="83" w:name="page84"/>
    <w:bookmarkEnd w:id="83"/>
    <w:p>
      <w:pPr>
        <w:jc w:val="both"/>
        <w:ind w:left="9" w:right="3119" w:firstLine="878"/>
        <w:spacing w:after="0"/>
        <w:tabs>
          <w:tab w:leader="none" w:pos="125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To the extent that the grant of an Option would be subject to Section 16(b) of the Securities Exchange Act of 1934 unless the requirements for exemption therefrom in Rule 16b-3(c)(1), under such Act, or any successor provision, are met, the Option Documents shall provide that such Option is not exercisable until not less than six months have elapsed from the date of grant.</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6.1 Certain Options Awarded to Ralph J. Roberts. With respect to those Options awarded to Ralph J. Roberts on January 8, 1992 (options to purchase 249,441 shares of Class A Special Common Stock at $16.25 per share), and January 6, 1993 (options to purchase 249,545 shares of Class A Special Common Stock at $18.125 per share), and notwithstanding subsection 6(e) of this Plan, the Committee may, in its discretion, amend such Options to provide that such Options may be transferred by Mr. Roberts, in whole or in part, to one or more transferees and exercised by any such transferee, provided that (i) any such transfer is without consideration, and (ii) each transferee is a member of Mr. Roberts' Immediate Family. "Immediate Family" shall mean Mr. Roberts' spouse, children, grandchildren, any trust all beneficiaries of which are such persons, and any partnership all partners of which are such persons. In the event the Committee so amends such Options, the Committee shall include in such amended Options such further provisions as it determines are necessary or appropriate at the time of such amendment to permit the Company to deduct compensation expenses recognized upon exercise of such options for federal or state income tax purposes.</w:t>
      </w:r>
    </w:p>
    <w:p>
      <w:pPr>
        <w:spacing w:after="0" w:line="183" w:lineRule="exact"/>
        <w:rPr>
          <w:sz w:val="20"/>
          <w:szCs w:val="20"/>
          <w:color w:val="auto"/>
        </w:rPr>
      </w:pPr>
    </w:p>
    <w:p>
      <w:pPr>
        <w:jc w:val="both"/>
        <w:ind w:left="9" w:right="3119" w:firstLine="435"/>
        <w:spacing w:after="0" w:line="258" w:lineRule="auto"/>
        <w:tabs>
          <w:tab w:leader="none" w:pos="71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No Option shall be deemed to have been exercised prior to the receipt by the Company of written notice of such exercise and of payment in full of the Option Price for the Option Shares to be purchased. Each such notice shall specify the number of Option Shares to be purchased and shall (unless the Option Shares are covered by a then current registration statement or a Notification under Regulation A under the Securities Act of 1933 (the "Act")), contain the Optionee's acknowledgment in form and substance satisfactory to the Company that (2) such Option Shares are being purchased for investment and not for distribution or resale (other than a distribution or resale which, in the opinion of counsel satisfactory to the Company, may be made without violating the registration provisions of the Act), (b) the Optionee has been advised and understands that (i) the Option Shares have not be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Optionee any exemption from such registration, and (c) such Option Shares may not be transferred without compliance with all applicable federal and state securities laws. Notwithstanding the above, should the Company be advised by counsel that issuance of shares should be delayed pending (A) registration under federal or state securities laws or (B) the receipt of an opinion that an appropriate exemption therefrom is available, the Company may defer exercise of any Option granted hereunder until either such event in (A) or</w:t>
      </w:r>
    </w:p>
    <w:p>
      <w:pPr>
        <w:spacing w:after="0" w:line="1"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occurred.</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28"/>
          </w:cols>
          <w:pgMar w:left="231" w:top="631" w:right="1440" w:bottom="1440" w:gutter="0" w:footer="0" w:header="0"/>
        </w:sectPr>
      </w:pPr>
    </w:p>
    <w:bookmarkStart w:id="84" w:name="page85"/>
    <w:bookmarkEnd w:id="84"/>
    <w:p>
      <w:pPr>
        <w:jc w:val="both"/>
        <w:ind w:right="3119" w:firstLine="435"/>
        <w:spacing w:after="0"/>
        <w:tabs>
          <w:tab w:leader="none" w:pos="7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 Relating to Grants of Options to Non-employee Directors. Options granted pursuant to the Plan to non-employee directors shall be granted, without any further action by the Committee, in accordance with the terms and conditions set forth in this Section 8. Options granted pursuant to this Section 8 shall be evidenced by Option Documents in such form as the Committee shall from time to time approve, which Option Documents shall comply with and be subject to the following terms and conditions and such other terms and conditions as the Committee shall from time to time require which are not inconsistent with the terms of the Plan.</w:t>
      </w:r>
    </w:p>
    <w:p>
      <w:pPr>
        <w:spacing w:after="0" w:line="177"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Grants; Number of Shares Subject of Options; Exercisability of Options; Option Price. Each non-employee director shall be granted, commencing on February 1, 1995 and on each successive February 1 (the "Grant Date") thereafter, an Option to purchase five thousand four hundred (5,400) shares of Common Stock. Notwithstanding anything herein to the contrary, each newly elected non-employee director who is first elected to the Board of Directors after February 1, 1994 shall (i) be granted an Option to purchase nine thousand (9,000) shares of Common Stock on the date on which such non-employee director is elected to the Board of Directors (the "Election Date") and (ii) not be entitled to the grant of an Option hereunder on the Grant Date immediately following the non-employee director's Election Date if such Election Date is within ninety (90) days of the Grant Date. No such Option shall be an ISO, and each such Option shall first become exercisable six months after the date of grant and shall then be exercisable in its entirety. The Option Price shall be equal to 100% of the fair market value of the Common Stock on the date the Option is granted.</w:t>
      </w:r>
    </w:p>
    <w:p>
      <w:pPr>
        <w:spacing w:after="0" w:line="179"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Options Granted Pursuant to Section 8.</w:t>
      </w:r>
    </w:p>
    <w:p>
      <w:pPr>
        <w:spacing w:after="0" w:line="174" w:lineRule="exact"/>
        <w:rPr>
          <w:rFonts w:ascii="Courier New" w:cs="Courier New" w:eastAsia="Courier New" w:hAnsi="Courier New"/>
          <w:sz w:val="15"/>
          <w:szCs w:val="15"/>
          <w:color w:val="auto"/>
        </w:rPr>
      </w:pPr>
    </w:p>
    <w:p>
      <w:pPr>
        <w:ind w:right="3119" w:firstLine="1322"/>
        <w:spacing w:after="0" w:line="238" w:lineRule="auto"/>
        <w:tabs>
          <w:tab w:leader="none" w:pos="1686"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pursuant to this Section 8 shall be exercisable until the first to occur of the following:</w:t>
      </w:r>
    </w:p>
    <w:p>
      <w:pPr>
        <w:spacing w:after="0" w:line="172" w:lineRule="exact"/>
        <w:rPr>
          <w:rFonts w:ascii="Courier New" w:cs="Courier New" w:eastAsia="Courier New" w:hAnsi="Courier New"/>
          <w:sz w:val="15"/>
          <w:szCs w:val="15"/>
          <w:color w:val="auto"/>
        </w:rPr>
      </w:pPr>
    </w:p>
    <w:p>
      <w:pPr>
        <w:ind w:left="2120" w:hanging="354"/>
        <w:spacing w:after="0"/>
        <w:tabs>
          <w:tab w:leader="none" w:pos="2120"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five (5) years from the date of grant;</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ninety (90) days from the date the Optionee's service as a non-employee director terminates for any reason other than Disability or death or as otherwise specified in subsection 8(b)(i)(D) below;</w:t>
      </w:r>
    </w:p>
    <w:p>
      <w:pPr>
        <w:spacing w:after="0" w:line="176"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one (1) year from the date the Optionee's service with Company as a non-employee director terminates due to the Optionee's Disability or death; or</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123"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Optionee's directorship is terminated, if the directorship is terminated on account of (1) any act of fraud, intentional misrepresentation, embezzlement or theft, (2) commission of a felony or (3) disclosure 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631" w:right="1440" w:bottom="1440" w:gutter="0" w:footer="0" w:header="0"/>
        </w:sectPr>
      </w:pPr>
    </w:p>
    <w:bookmarkStart w:id="85" w:name="page86"/>
    <w:bookmarkEnd w:id="85"/>
    <w:p>
      <w:pPr>
        <w:jc w:val="both"/>
        <w:ind w:left="880" w:right="3119"/>
        <w:spacing w:after="0"/>
        <w:rPr>
          <w:sz w:val="20"/>
          <w:szCs w:val="20"/>
          <w:color w:val="auto"/>
        </w:rPr>
      </w:pPr>
      <w:r>
        <w:rPr>
          <w:rFonts w:ascii="Courier New" w:cs="Courier New" w:eastAsia="Courier New" w:hAnsi="Courier New"/>
          <w:sz w:val="15"/>
          <w:szCs w:val="15"/>
          <w:color w:val="auto"/>
        </w:rPr>
        <w:t>trade secrets of the Company or an Affiliate. In such event, in addition to the immediate termination of the Option, the Optionee shall automatically forfeit all Option Shares for which the Company has not yet delivered the share certificates upon refund by the Company of the Option Price.</w:t>
      </w:r>
    </w:p>
    <w:p>
      <w:pPr>
        <w:spacing w:after="0" w:line="174" w:lineRule="exact"/>
        <w:rPr>
          <w:sz w:val="20"/>
          <w:szCs w:val="20"/>
          <w:color w:val="auto"/>
        </w:rPr>
      </w:pPr>
    </w:p>
    <w:p>
      <w:pPr>
        <w:jc w:val="both"/>
        <w:ind w:right="3119" w:firstLine="878"/>
        <w:spacing w:after="0"/>
        <w:tabs>
          <w:tab w:leader="none" w:pos="133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Applicability of Certain Provisions of Section 6 to Options Granted Pursuant to Section 8. The following provisions of Section 6 shall be applicable to Options granted pursuant to this Section 8: Subsection 6(a) (provided that no Option granted pursuant to this Section 8 shall be an ISO); subsection 6(c) (provided that Option Documents relating to options granted pursuant to this Section 8 shall provide that payment may be made in whole or part in shares of Common Stock or Class A Common Stock held by the Optionee for more than six months, subject to the limitation on payment in shares of Class A Common Stock set forth in subsection 6(c) if such method of payment would result in liability under Section 16(b) of the Securities Exchange Act of 1934); subsection 6(e); subsection 6(g); and subsection 6(h).</w:t>
      </w:r>
    </w:p>
    <w:p>
      <w:pPr>
        <w:spacing w:after="0" w:line="178" w:lineRule="exact"/>
        <w:rPr>
          <w:rFonts w:ascii="Courier New" w:cs="Courier New" w:eastAsia="Courier New" w:hAnsi="Courier New"/>
          <w:sz w:val="15"/>
          <w:szCs w:val="15"/>
          <w:color w:val="auto"/>
        </w:rPr>
      </w:pPr>
    </w:p>
    <w:p>
      <w:pPr>
        <w:jc w:val="both"/>
        <w:ind w:right="3119" w:firstLine="435"/>
        <w:spacing w:after="0"/>
        <w:tabs>
          <w:tab w:leader="none" w:pos="7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on Changes in Capitalization. The aggregate number of shares and class of shares as to which Options may be granted hereunder, the number of shares covered by each outstanding Option, and the Option Price thereof shall be appropriately adjusted in the event of a stock dividend, stock split, recapitalization or other change in the number or class of issued and outstanding equity securities of the Company resulting from a subdivision or consolidation of the Common Stock and/or other outstanding equity security or a recapitalization or other capital adjustment (not including the issuance of Common Stock on the conversion of other securities of the Company which are convertible into Common Stock) affecting the Common Stock which is effected without receipt of consideration by the Company. The Committee shall have authority to determine the adjustments to be made under this Section and any such determination by the Committee shall be final, binding and conclusive; provided, however, that no adjustment shall be made which will cause an ISO to lose its status as such without the consent of the Optionee and no adjustment shall be made to the number of shares set forth in subsection 8(a). However, an Option granted pursuant to subsection 8(a). However, an Option granted pursuant to subsection 8(a) shall be subject to adjustment in accordance with the provisions of this Section 9 after the date of grant.</w:t>
      </w:r>
    </w:p>
    <w:p>
      <w:pPr>
        <w:spacing w:after="0" w:line="184" w:lineRule="exact"/>
        <w:rPr>
          <w:rFonts w:ascii="Courier New" w:cs="Courier New" w:eastAsia="Courier New" w:hAnsi="Courier New"/>
          <w:sz w:val="15"/>
          <w:szCs w:val="15"/>
          <w:color w:val="auto"/>
        </w:rPr>
      </w:pPr>
    </w:p>
    <w:p>
      <w:pPr>
        <w:jc w:val="both"/>
        <w:ind w:right="3119" w:firstLine="435"/>
        <w:spacing w:after="0" w:line="259" w:lineRule="auto"/>
        <w:tabs>
          <w:tab w:leader="none" w:pos="88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Board or the Committee may amend the Plan from time to time in such manner as it may deem advisable. Nevertheless, neither the Board nor the Committee may, without within twelve months before or after such action obtaining approval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Securities Exchange Act of 1934), change the class of individuals eligible to receive an ISO, extend the expiration date of the Plan, decrease the minimum Option Price of an ISO granted under the Plan or increase the maximum number of shares as to which Options may be granted,</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801" w:right="1440" w:bottom="1440" w:gutter="0" w:footer="0" w:header="0"/>
        </w:sectPr>
      </w:pPr>
    </w:p>
    <w:bookmarkStart w:id="86" w:name="page87"/>
    <w:bookmarkEnd w:id="86"/>
    <w:p>
      <w:pPr>
        <w:jc w:val="both"/>
        <w:ind w:right="3119"/>
        <w:spacing w:after="0"/>
        <w:rPr>
          <w:sz w:val="20"/>
          <w:szCs w:val="20"/>
          <w:color w:val="auto"/>
        </w:rPr>
      </w:pPr>
      <w:r>
        <w:rPr>
          <w:rFonts w:ascii="Courier New" w:cs="Courier New" w:eastAsia="Courier New" w:hAnsi="Courier New"/>
          <w:sz w:val="15"/>
          <w:szCs w:val="15"/>
          <w:color w:val="auto"/>
        </w:rPr>
        <w:t>except as provided in Section 9 hereof. In addition, the provisions of Section 8 that determine (i) which directors shall be granted Options pursuant to Section 8; (ii) the number of Option Shares subject to Options granted pursuant to Section 8; (iii) the Option Price of Option Shares subject to Options granted pursuant to Section 8; and (iv) the timing of grants of Options pursuant to Section 8 shall not be amended more than once every six months, other than to comport with changes in the Code or the Employee Retirement Income Security Act of 1974, as amended, if applicable.</w:t>
      </w:r>
    </w:p>
    <w:p>
      <w:pPr>
        <w:spacing w:after="0" w:line="177" w:lineRule="exact"/>
        <w:rPr>
          <w:sz w:val="20"/>
          <w:szCs w:val="20"/>
          <w:color w:val="auto"/>
        </w:rPr>
      </w:pPr>
    </w:p>
    <w:p>
      <w:pPr>
        <w:jc w:val="both"/>
        <w:ind w:right="3119" w:firstLine="435"/>
        <w:spacing w:after="0"/>
        <w:tabs>
          <w:tab w:leader="none" w:pos="79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The grant of an Option pursuant to the Plan shall not be construed to imply or to constitute evidence of any agreement, express or implied, on the part of the Company or any Affiliate to retain the Optionee in the employ of the Company or an Affiliate or as a member of the Company's Board of Directors or in any other capacity.</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 deliver or transfer Option Shares in connection with the exercise of an Option, the Company shall have the right to (i) require the recipient to remit to the Company an amount sufficient to satisfy any federal, state and/or local withholding tax requirements prior to the delivery or transfer of any certificate or certificates for such Option Shares or (ii) take any action whatever that it deems necessary to protect its interests with respect to tax liabilities. The Company's obligation to make any delivery or transfer of Option Shares shall be conditioned on the recipient's compliance, to the Company's satisfaction, with any withholding requirement.</w:t>
      </w:r>
    </w:p>
    <w:p>
      <w:pPr>
        <w:spacing w:after="0" w:line="178" w:lineRule="exact"/>
        <w:rPr>
          <w:rFonts w:ascii="Courier New" w:cs="Courier New" w:eastAsia="Courier New" w:hAnsi="Courier New"/>
          <w:sz w:val="15"/>
          <w:szCs w:val="15"/>
          <w:color w:val="auto"/>
        </w:rPr>
      </w:pPr>
    </w:p>
    <w:p>
      <w:pPr>
        <w:jc w:val="both"/>
        <w:ind w:right="3119" w:firstLine="878"/>
        <w:spacing w:after="0" w:line="258" w:lineRule="auto"/>
        <w:tabs>
          <w:tab w:leader="none" w:pos="133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Section 12(b), any tax liabilities incurred in connection with the exercise of an Option under the Plan other than an ISO shall be satisfied by the Company's withholding a portion of the Option Shares underlying the Option exercised having a fair market value approximately equal to the minimum amount of taxes required to be withheld by the Company under applicable law, unless otherwise determined by the Committee with respect to any participant. Notwithstanding the foregoing, the Committee may permit an Optionee to elect one or both of the following: (i) to have taxes withheld in excess of the minimum amount required to be withheld by the Company under applicable law; provided that the Optionee certifies in writing to the Company that the Optionee owns a number of Other Available Shares that is at least equal to the number to be withheld by the Company for the then-current exercise on account of withheld taxes in excess of such minimum amount, and (ii) to pay to the Company in cash all or a portion of the taxes to be withheld upon the exercise of an Option. In all cases, the Option Shares so withheld by the Company shall have a fair market value that does not exceed the amount of taxes to be withheld minus the cash payment, if any, made by the Optionee. The fair market value of such shares shall be determined based on the last reported sale price of a share of Common Stock on the principal exchange on which the Common Stock is listed or, if not so listed, on the Nasdaq Stock Market on the last trading day prior to the date on which the Option is exercised. Any election pursuant to this Section 12(b) must be in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631" w:right="1440" w:bottom="1440" w:gutter="0" w:footer="0" w:header="0"/>
        </w:sectPr>
      </w:pPr>
    </w:p>
    <w:bookmarkStart w:id="87" w:name="page88"/>
    <w:bookmarkEnd w:id="87"/>
    <w:p>
      <w:pPr>
        <w:jc w:val="both"/>
        <w:ind w:right="3119"/>
        <w:spacing w:after="0" w:line="260" w:lineRule="auto"/>
        <w:rPr>
          <w:sz w:val="20"/>
          <w:szCs w:val="20"/>
          <w:color w:val="auto"/>
        </w:rPr>
      </w:pPr>
      <w:r>
        <w:rPr>
          <w:rFonts w:ascii="Courier New" w:cs="Courier New" w:eastAsia="Courier New" w:hAnsi="Courier New"/>
          <w:sz w:val="14"/>
          <w:szCs w:val="14"/>
          <w:color w:val="auto"/>
        </w:rPr>
        <w:t>writing made prior to the date specified by the Committee, and in any event prior to the date the amount of tax to be withheld or paid is determined. An election pursuant to this Section may be made only by an Optionee or, in the event of the Optionee's death, by the Optionee's legal representative. No shares withheld pursuant to this Section 12(b) shall be available for subsequent grants under the Plan. The Committee may add such other requirements and limitations regarding elections pursuant to this Section 12(b) as it deems appropriate.</w:t>
      </w:r>
    </w:p>
    <w:p>
      <w:pPr>
        <w:spacing w:after="0" w:line="160" w:lineRule="exact"/>
        <w:rPr>
          <w:sz w:val="20"/>
          <w:szCs w:val="20"/>
          <w:color w:val="auto"/>
        </w:rPr>
      </w:pPr>
    </w:p>
    <w:p>
      <w:pPr>
        <w:ind w:left="780" w:hanging="345"/>
        <w:spacing w:after="0"/>
        <w:tabs>
          <w:tab w:leader="none" w:pos="7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4" w:lineRule="exact"/>
        <w:rPr>
          <w:rFonts w:ascii="Courier New" w:cs="Courier New" w:eastAsia="Courier New" w:hAnsi="Courier New"/>
          <w:sz w:val="15"/>
          <w:szCs w:val="15"/>
          <w:color w:val="auto"/>
        </w:rPr>
      </w:pPr>
    </w:p>
    <w:p>
      <w:pPr>
        <w:jc w:val="both"/>
        <w:ind w:right="3119" w:firstLine="878"/>
        <w:spacing w:after="0" w:line="259" w:lineRule="auto"/>
        <w:tabs>
          <w:tab w:leader="none" w:pos="124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Section 13(a), the entire number of Shares covered by Options shall become immediately exercisable. Upon the close of the period described in this Section 13(a) during which an Option may be exercised in connection with a Terminating Event, such Option (including such portion thereof that is not exercisable) shall terminate to the extent that such Option have not theretofore been exercised.</w:t>
      </w:r>
    </w:p>
    <w:p>
      <w:pPr>
        <w:spacing w:after="0" w:line="162" w:lineRule="exact"/>
        <w:rPr>
          <w:rFonts w:ascii="Courier New" w:cs="Courier New" w:eastAsia="Courier New" w:hAnsi="Courier New"/>
          <w:sz w:val="14"/>
          <w:szCs w:val="14"/>
          <w:color w:val="auto"/>
        </w:rPr>
      </w:pPr>
    </w:p>
    <w:p>
      <w:pPr>
        <w:jc w:val="both"/>
        <w:ind w:right="3119" w:firstLine="878"/>
        <w:spacing w:after="0" w:line="239" w:lineRule="auto"/>
        <w:tabs>
          <w:tab w:leader="none" w:pos="124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13(a), in the event the Terminating Event is not consummated, the Option shall be deemed not to have been exercised and shall be exercisable thereafter to the extent it would have been exercisable if no such notice had been given.</w:t>
      </w:r>
    </w:p>
    <w:p>
      <w:pPr>
        <w:spacing w:after="0" w:line="173"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For purposes of this Section 14,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3"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Sponsor.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631" w:right="1440" w:bottom="1440" w:gutter="0" w:footer="0" w:header="0"/>
        </w:sectPr>
      </w:pPr>
    </w:p>
    <w:bookmarkStart w:id="88" w:name="page89"/>
    <w:bookmarkEnd w:id="88"/>
    <w:p>
      <w:pPr>
        <w:jc w:val="both"/>
        <w:ind w:right="3119" w:firstLine="878"/>
        <w:spacing w:after="0"/>
        <w:tabs>
          <w:tab w:leader="none" w:pos="133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1996 Stock Option Plan and the 1990 Restricted Stock Plan.</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For purposes of the definition of the term "Other Available Shares" in Section 12(f), "Common Stock" means:</w:t>
      </w:r>
    </w:p>
    <w:p>
      <w:pPr>
        <w:spacing w:after="0" w:line="174" w:lineRule="exact"/>
        <w:rPr>
          <w:rFonts w:ascii="Courier New" w:cs="Courier New" w:eastAsia="Courier New" w:hAnsi="Courier New"/>
          <w:sz w:val="15"/>
          <w:szCs w:val="15"/>
          <w:color w:val="auto"/>
        </w:rPr>
      </w:pPr>
    </w:p>
    <w:p>
      <w:pPr>
        <w:ind w:left="1760" w:right="3119" w:hanging="438"/>
        <w:spacing w:after="0" w:line="238" w:lineRule="auto"/>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A Common Stock, par value, $1.00 per share; and</w:t>
      </w:r>
    </w:p>
    <w:p>
      <w:pPr>
        <w:spacing w:after="0" w:line="174" w:lineRule="exact"/>
        <w:rPr>
          <w:rFonts w:ascii="Courier New" w:cs="Courier New" w:eastAsia="Courier New" w:hAnsi="Courier New"/>
          <w:sz w:val="15"/>
          <w:szCs w:val="15"/>
          <w:color w:val="auto"/>
        </w:rPr>
      </w:pPr>
    </w:p>
    <w:p>
      <w:pPr>
        <w:ind w:left="1760" w:right="3119" w:hanging="438"/>
        <w:spacing w:after="0" w:line="238" w:lineRule="auto"/>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A Special Common Stock, par value, $1.00 per share</w:t>
      </w:r>
    </w:p>
    <w:p>
      <w:pPr>
        <w:spacing w:after="0" w:line="174"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 if any</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w:t>
      </w:r>
    </w:p>
    <w:p>
      <w:pPr>
        <w:spacing w:after="0" w:line="174" w:lineRule="exact"/>
        <w:rPr>
          <w:rFonts w:ascii="Courier New" w:cs="Courier New" w:eastAsia="Courier New" w:hAnsi="Courier New"/>
          <w:sz w:val="14"/>
          <w:szCs w:val="14"/>
          <w:color w:val="auto"/>
        </w:rPr>
      </w:pPr>
    </w:p>
    <w:p>
      <w:pPr>
        <w:ind w:left="1760" w:right="3119" w:hanging="438"/>
        <w:spacing w:after="0" w:line="238" w:lineRule="auto"/>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Common Stock owned by an Optionee; over</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4" w:lineRule="exact"/>
        <w:rPr>
          <w:rFonts w:ascii="Courier New" w:cs="Courier New" w:eastAsia="Courier New" w:hAnsi="Courier New"/>
          <w:sz w:val="15"/>
          <w:szCs w:val="15"/>
          <w:color w:val="auto"/>
        </w:rPr>
      </w:pPr>
    </w:p>
    <w:p>
      <w:pPr>
        <w:ind w:left="2200" w:right="3119" w:hanging="434"/>
        <w:spacing w:after="0" w:line="238" w:lineRule="auto"/>
        <w:tabs>
          <w:tab w:leader="none" w:pos="220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Optionee for less than six months; plus</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Optionee that has, within the preceding six months, been the subject of a withholding certification pursuant to Section 12(b) or any similar withholding certification under any other Comcast Plan; plus</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Optionee that has, within the preceding six months, been received in exchange for Shares surrendered as payment, in full or in part, of the exercise price for an option to purchase any</w:t>
      </w:r>
    </w:p>
    <w:p>
      <w:pPr>
        <w:spacing w:after="0" w:line="17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801" w:right="1440" w:bottom="1440" w:gutter="0" w:footer="0" w:header="0"/>
        </w:sectPr>
      </w:pPr>
    </w:p>
    <w:bookmarkStart w:id="89" w:name="page90"/>
    <w:bookmarkEnd w:id="89"/>
    <w:p>
      <w:pPr>
        <w:ind w:left="2200"/>
        <w:spacing w:after="0"/>
        <w:tabs>
          <w:tab w:leader="none" w:pos="3260" w:val="left"/>
          <w:tab w:leader="none" w:pos="3960" w:val="left"/>
          <w:tab w:leader="none" w:pos="5300" w:val="left"/>
          <w:tab w:leader="none" w:pos="6280" w:val="left"/>
        </w:tabs>
        <w:rPr>
          <w:sz w:val="20"/>
          <w:szCs w:val="20"/>
          <w:color w:val="auto"/>
        </w:rPr>
      </w:pPr>
      <w:r>
        <w:rPr>
          <w:rFonts w:ascii="Courier New" w:cs="Courier New" w:eastAsia="Courier New" w:hAnsi="Courier New"/>
          <w:sz w:val="15"/>
          <w:szCs w:val="15"/>
          <w:color w:val="auto"/>
        </w:rPr>
        <w:t>securities</w:t>
        <w:tab/>
        <w:t>of the</w:t>
        <w:tab/>
        <w:t>Sponsor or an</w:t>
        <w:tab/>
        <w:t>Affiliate</w:t>
      </w:r>
      <w:r>
        <w:rPr>
          <w:sz w:val="20"/>
          <w:szCs w:val="20"/>
          <w:color w:val="auto"/>
        </w:rPr>
        <w:tab/>
      </w:r>
      <w:r>
        <w:rPr>
          <w:rFonts w:ascii="Courier New" w:cs="Courier New" w:eastAsia="Courier New" w:hAnsi="Courier New"/>
          <w:sz w:val="14"/>
          <w:szCs w:val="14"/>
          <w:color w:val="auto"/>
        </w:rPr>
        <w:t>under any</w:t>
      </w:r>
    </w:p>
    <w:p>
      <w:pPr>
        <w:spacing w:after="0" w:line="1" w:lineRule="exact"/>
        <w:rPr>
          <w:sz w:val="20"/>
          <w:szCs w:val="20"/>
          <w:color w:val="auto"/>
        </w:rPr>
      </w:pPr>
    </w:p>
    <w:p>
      <w:pPr>
        <w:ind w:left="2200"/>
        <w:spacing w:after="0"/>
        <w:tabs>
          <w:tab w:leader="none" w:pos="2980" w:val="left"/>
          <w:tab w:leader="none" w:pos="3600" w:val="left"/>
        </w:tabs>
        <w:rPr>
          <w:sz w:val="20"/>
          <w:szCs w:val="20"/>
          <w:color w:val="auto"/>
        </w:rPr>
      </w:pPr>
      <w:r>
        <w:rPr>
          <w:rFonts w:ascii="Courier New" w:cs="Courier New" w:eastAsia="Courier New" w:hAnsi="Courier New"/>
          <w:sz w:val="15"/>
          <w:szCs w:val="15"/>
          <w:color w:val="auto"/>
        </w:rPr>
        <w:t>Comcast</w:t>
        <w:tab/>
        <w:t>Plan,</w:t>
      </w:r>
      <w:r>
        <w:rPr>
          <w:sz w:val="20"/>
          <w:szCs w:val="20"/>
          <w:color w:val="auto"/>
        </w:rPr>
        <w:tab/>
      </w:r>
      <w:r>
        <w:rPr>
          <w:rFonts w:ascii="Courier New" w:cs="Courier New" w:eastAsia="Courier New" w:hAnsi="Courier New"/>
          <w:sz w:val="14"/>
          <w:szCs w:val="14"/>
          <w:color w:val="auto"/>
        </w:rPr>
        <w:t>but only to the extent of the number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Shares surrendered.</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For purposes of Section 6(c), the number of Other Available Shares shall be determined separately for the Company's Class A Special Common Stock, par value, $1.00 per share, and for the Company's Class A Common Stock, par value, $1.00 per share.</w:t>
      </w:r>
    </w:p>
    <w:p>
      <w:pPr>
        <w:spacing w:after="0" w:line="176" w:lineRule="exact"/>
        <w:rPr>
          <w:sz w:val="20"/>
          <w:szCs w:val="20"/>
          <w:color w:val="auto"/>
        </w:rPr>
      </w:pPr>
    </w:p>
    <w:p>
      <w:pPr>
        <w:ind w:right="3119" w:firstLine="878"/>
        <w:spacing w:after="0" w:line="238" w:lineRule="auto"/>
        <w:tabs>
          <w:tab w:leader="none" w:pos="124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 Roberts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Family:</w:t>
      </w:r>
    </w:p>
    <w:p>
      <w:pPr>
        <w:spacing w:after="0" w:line="171" w:lineRule="exact"/>
        <w:rPr>
          <w:rFonts w:ascii="Courier New" w:cs="Courier New" w:eastAsia="Courier New" w:hAnsi="Courier New"/>
          <w:sz w:val="14"/>
          <w:szCs w:val="14"/>
          <w:color w:val="auto"/>
        </w:rPr>
      </w:pPr>
    </w:p>
    <w:p>
      <w:pPr>
        <w:ind w:left="1760" w:hanging="438"/>
        <w:spacing w:after="0"/>
        <w:tabs>
          <w:tab w:leader="none" w:pos="176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4" w:lineRule="exact"/>
        <w:rPr>
          <w:sz w:val="20"/>
          <w:szCs w:val="20"/>
          <w:color w:val="auto"/>
        </w:rPr>
      </w:pPr>
    </w:p>
    <w:p>
      <w:pPr>
        <w:jc w:val="right"/>
        <w:ind w:left="1320" w:right="3119"/>
        <w:spacing w:after="0" w:line="238" w:lineRule="auto"/>
        <w:rPr>
          <w:sz w:val="20"/>
          <w:szCs w:val="20"/>
          <w:color w:val="auto"/>
        </w:rPr>
      </w:pPr>
      <w:r>
        <w:rPr>
          <w:rFonts w:ascii="Courier New" w:cs="Courier New" w:eastAsia="Courier New" w:hAnsi="Courier New"/>
          <w:sz w:val="15"/>
          <w:szCs w:val="15"/>
          <w:color w:val="auto"/>
        </w:rPr>
        <w:t>(iii)a trust  established  for the  benefit  of any of  Ralph  J. Roberts  and/or a lineal  descendant or descendants of Ralph</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J. Roberts.</w:t>
      </w:r>
    </w:p>
    <w:p>
      <w:pPr>
        <w:spacing w:after="0" w:line="174" w:lineRule="exact"/>
        <w:rPr>
          <w:sz w:val="20"/>
          <w:szCs w:val="20"/>
          <w:color w:val="auto"/>
        </w:rPr>
      </w:pPr>
    </w:p>
    <w:p>
      <w:pPr>
        <w:jc w:val="both"/>
        <w:ind w:right="3119" w:firstLine="878"/>
        <w:spacing w:after="0" w:line="239" w:lineRule="auto"/>
        <w:tabs>
          <w:tab w:leader="none" w:pos="12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means Comcast Corporation, a Pennsylvania corporation, including any successor thereto by merger, consolidation, acquisition of all or substantially all the assets thereof, or otherwise.</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628" w:right="1440" w:bottom="1440" w:gutter="0" w:footer="0" w:header="0"/>
        </w:sectPr>
      </w:pPr>
    </w:p>
    <w:bookmarkStart w:id="90" w:name="page91"/>
    <w:bookmarkEnd w:id="90"/>
    <w:p>
      <w:pPr>
        <w:jc w:val="both"/>
        <w:ind w:right="3119" w:firstLine="878"/>
        <w:spacing w:after="0" w:line="239" w:lineRule="auto"/>
        <w:tabs>
          <w:tab w:leader="none" w:pos="124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Executed as of the 15th day of December, 1998</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ATTEST: /s/ Arthur R. Block</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#54293 v6 (15W506!.WPD)</w:t>
      </w:r>
    </w:p>
    <w:p>
      <w:pPr>
        <w:sectPr>
          <w:pgSz w:w="11900" w:h="16838" w:orient="portrait"/>
          <w:cols w:equalWidth="0" w:num="1">
            <w:col w:w="10219"/>
          </w:cols>
          <w:pgMar w:left="240" w:top="801" w:right="1440" w:bottom="1440" w:gutter="0" w:footer="0" w:header="0"/>
        </w:sectPr>
      </w:pPr>
    </w:p>
    <w:bookmarkStart w:id="91" w:name="page92"/>
    <w:bookmarkEnd w:id="91"/>
    <w:p>
      <w:pPr>
        <w:spacing w:after="0" w:line="3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1996 STOCK OPTION PLAN</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15, 1998)</w:t>
      </w:r>
    </w:p>
    <w:p>
      <w:pPr>
        <w:spacing w:after="0" w:line="342" w:lineRule="exact"/>
        <w:rPr>
          <w:sz w:val="20"/>
          <w:szCs w:val="20"/>
          <w:color w:val="auto"/>
        </w:rPr>
      </w:pPr>
    </w:p>
    <w:p>
      <w:pPr>
        <w:ind w:left="880" w:hanging="445"/>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Plan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72" w:lineRule="exact"/>
        <w:rPr>
          <w:sz w:val="20"/>
          <w:szCs w:val="20"/>
          <w:color w:val="auto"/>
        </w:rPr>
      </w:pPr>
    </w:p>
    <w:p>
      <w:pPr>
        <w:ind w:left="880" w:hanging="445"/>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3"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Sponsor.</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 means any right to receive cash in lieu of Shares granted under the Plan and described in Paragraph 3(a)(iii).</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w:t>
      </w:r>
    </w:p>
    <w:p>
      <w:pPr>
        <w:spacing w:after="0" w:line="174" w:lineRule="exact"/>
        <w:rPr>
          <w:rFonts w:ascii="Courier New" w:cs="Courier New" w:eastAsia="Courier New" w:hAnsi="Courier New"/>
          <w:sz w:val="15"/>
          <w:szCs w:val="15"/>
          <w:color w:val="auto"/>
        </w:rPr>
      </w:pPr>
    </w:p>
    <w:p>
      <w:pPr>
        <w:jc w:val="both"/>
        <w:ind w:left="880" w:right="3119" w:firstLine="886"/>
        <w:spacing w:after="0" w:line="260" w:lineRule="auto"/>
        <w:tabs>
          <w:tab w:leader="none" w:pos="2211"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62" w:lineRule="exact"/>
        <w:rPr>
          <w:rFonts w:ascii="Courier New" w:cs="Courier New" w:eastAsia="Courier New" w:hAnsi="Courier New"/>
          <w:sz w:val="14"/>
          <w:szCs w:val="14"/>
          <w:color w:val="auto"/>
        </w:rPr>
      </w:pPr>
    </w:p>
    <w:p>
      <w:pPr>
        <w:jc w:val="both"/>
        <w:ind w:left="880" w:right="3119" w:firstLine="886"/>
        <w:spacing w:after="0"/>
        <w:tabs>
          <w:tab w:leader="none" w:pos="2300"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80" w:right="3119"/>
        <w:spacing w:after="0" w:line="239" w:lineRule="auto"/>
        <w:rPr>
          <w:sz w:val="20"/>
          <w:szCs w:val="20"/>
          <w:color w:val="auto"/>
        </w:rPr>
      </w:pPr>
      <w:r>
        <w:rPr>
          <w:rFonts w:ascii="Courier New" w:cs="Courier New" w:eastAsia="Courier New" w:hAnsi="Courier New"/>
          <w:sz w:val="15"/>
          <w:szCs w:val="15"/>
          <w:color w:val="auto"/>
        </w:rPr>
        <w:t>limitation, fraud, embezzlement, theft, commission of a felony or proven dishonesty in the course of his service as a Non-Employee Director.</w:t>
      </w:r>
    </w:p>
    <w:p>
      <w:pPr>
        <w:spacing w:after="0" w:line="175" w:lineRule="exact"/>
        <w:rPr>
          <w:sz w:val="20"/>
          <w:szCs w:val="20"/>
          <w:color w:val="auto"/>
        </w:rPr>
      </w:pPr>
    </w:p>
    <w:p>
      <w:pPr>
        <w:jc w:val="both"/>
        <w:ind w:right="3119" w:firstLine="878"/>
        <w:spacing w:after="0"/>
        <w:tabs>
          <w:tab w:leader="none" w:pos="13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described in Paragraph 5.</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Sponsor's Class A Special Common Stock, par value, $1.00.</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Sponsor and each of the Parent Companies and Subsidiary Companies.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as of which an Option is granted.</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a disability within the meaning of section 22(e)(3) of the Code.</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76"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ectPr>
          <w:pgSz w:w="11900" w:h="16868" w:orient="portrait"/>
          <w:cols w:equalWidth="0" w:num="1">
            <w:col w:w="10219"/>
          </w:cols>
          <w:pgMar w:left="240" w:top="139" w:right="1440" w:bottom="0" w:gutter="0" w:footer="0" w:header="0"/>
        </w:sectPr>
      </w:pPr>
    </w:p>
    <w:bookmarkStart w:id="92" w:name="page93"/>
    <w:bookmarkEnd w:id="92"/>
    <w:p>
      <w:pPr>
        <w:ind w:right="3119" w:firstLine="878"/>
        <w:spacing w:after="0" w:line="238" w:lineRule="auto"/>
        <w:tabs>
          <w:tab w:leader="none" w:pos="124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 means each February 1st after the date of adoption of the Plan by the Board.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312" w:right="1440" w:bottom="1440" w:gutter="0" w:footer="0" w:header="0"/>
        </w:sectPr>
      </w:pPr>
    </w:p>
    <w:bookmarkStart w:id="93" w:name="page94"/>
    <w:bookmarkEnd w:id="93"/>
    <w:p>
      <w:pPr>
        <w:jc w:val="both"/>
        <w:ind w:right="3119" w:firstLine="878"/>
        <w:spacing w:after="0" w:line="239" w:lineRule="auto"/>
        <w:tabs>
          <w:tab w:leader="none" w:pos="133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Family" means an Optionee's spouse and lineal descendants, any trust all beneficiaries of which are any of such persons and any partnership all partners of which are any of such persons.</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6"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an individual who is a member of the Board, and who is not an employee of a Company, including an individual who is a member of the Board and who previously was an employee of a Company.</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 means:</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12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designated by the Committee at the time of such grant as a Non-Qualified Option and containing the terms specified herein for Non-Qualified Options; and</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76"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any stock option granted under the Plan and described in either Paragraph 3(a)(i) or Paragraph 3(a)(ii).</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 person to whom an Option has been granted under the Plan, which Option has not been exercised in full and has not expired or terminated.</w:t>
      </w:r>
    </w:p>
    <w:p>
      <w:pPr>
        <w:spacing w:after="0" w:line="175"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 if any</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w:t>
      </w:r>
    </w:p>
    <w:p>
      <w:pPr>
        <w:spacing w:after="0" w:line="171" w:lineRule="exact"/>
        <w:rPr>
          <w:rFonts w:ascii="Courier New" w:cs="Courier New" w:eastAsia="Courier New" w:hAnsi="Courier New"/>
          <w:sz w:val="14"/>
          <w:szCs w:val="14"/>
          <w:color w:val="auto"/>
        </w:rPr>
      </w:pPr>
    </w:p>
    <w:p>
      <w:pPr>
        <w:ind w:left="2120" w:hanging="354"/>
        <w:spacing w:after="0"/>
        <w:tabs>
          <w:tab w:leader="none" w:pos="212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an Optionee; over</w:t>
      </w:r>
    </w:p>
    <w:p>
      <w:pPr>
        <w:spacing w:after="0" w:line="171" w:lineRule="exact"/>
        <w:rPr>
          <w:rFonts w:ascii="Courier New" w:cs="Courier New" w:eastAsia="Courier New" w:hAnsi="Courier New"/>
          <w:sz w:val="15"/>
          <w:szCs w:val="15"/>
          <w:color w:val="auto"/>
        </w:rPr>
      </w:pPr>
    </w:p>
    <w:p>
      <w:pPr>
        <w:ind w:left="2200" w:hanging="434"/>
        <w:spacing w:after="0"/>
        <w:tabs>
          <w:tab w:leader="none" w:pos="220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345" w:lineRule="exact"/>
        <w:rPr>
          <w:sz w:val="20"/>
          <w:szCs w:val="20"/>
          <w:color w:val="auto"/>
        </w:rPr>
      </w:pPr>
    </w:p>
    <w:p>
      <w:pPr>
        <w:ind w:left="2740" w:right="3119" w:hanging="530"/>
        <w:spacing w:after="0" w:line="238" w:lineRule="auto"/>
        <w:tabs>
          <w:tab w:leader="none" w:pos="27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for less than six months; plus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94" w:name="page95"/>
    <w:bookmarkEnd w:id="94"/>
    <w:p>
      <w:pPr>
        <w:jc w:val="both"/>
        <w:ind w:left="2740" w:right="3119" w:hanging="530"/>
        <w:spacing w:after="0"/>
        <w:tabs>
          <w:tab w:leader="none" w:pos="27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74" w:lineRule="exact"/>
        <w:rPr>
          <w:rFonts w:ascii="Courier New" w:cs="Courier New" w:eastAsia="Courier New" w:hAnsi="Courier New"/>
          <w:sz w:val="15"/>
          <w:szCs w:val="15"/>
          <w:color w:val="auto"/>
        </w:rPr>
      </w:pPr>
    </w:p>
    <w:p>
      <w:pPr>
        <w:jc w:val="both"/>
        <w:ind w:left="2740" w:right="3119" w:hanging="530"/>
        <w:spacing w:after="0"/>
        <w:tabs>
          <w:tab w:leader="none" w:pos="27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176" w:lineRule="exact"/>
        <w:rPr>
          <w:sz w:val="20"/>
          <w:szCs w:val="20"/>
          <w:color w:val="auto"/>
        </w:rPr>
      </w:pPr>
    </w:p>
    <w:p>
      <w:pPr>
        <w:jc w:val="both"/>
        <w:ind w:right="3119" w:firstLine="878"/>
        <w:spacing w:after="0" w:line="239" w:lineRule="auto"/>
        <w:tabs>
          <w:tab w:leader="none" w:pos="124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member of the Board who is an "outside director" within the meaning of section 162(m)(4)(C) of the Code and applicable Treasury Regulations issued thereunder.</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Company" means all corporations that, at the time in question, are parent corporations of the Sponsor within the meaning of section 424(e) of the Code.</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1996 Stock Option Plan.</w:t>
      </w:r>
    </w:p>
    <w:p>
      <w:pPr>
        <w:spacing w:after="0" w:line="174" w:lineRule="exact"/>
        <w:rPr>
          <w:sz w:val="20"/>
          <w:szCs w:val="20"/>
          <w:color w:val="auto"/>
        </w:rPr>
      </w:pPr>
    </w:p>
    <w:p>
      <w:pPr>
        <w:ind w:left="1420" w:hanging="542"/>
        <w:spacing w:after="0"/>
        <w:tabs>
          <w:tab w:leader="none" w:pos="14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Roberts Family:</w:t>
      </w:r>
    </w:p>
    <w:p>
      <w:pPr>
        <w:spacing w:after="0" w:line="171" w:lineRule="exact"/>
        <w:rPr>
          <w:rFonts w:ascii="Courier New" w:cs="Courier New" w:eastAsia="Courier New" w:hAnsi="Courier New"/>
          <w:sz w:val="14"/>
          <w:szCs w:val="14"/>
          <w:color w:val="auto"/>
        </w:rPr>
      </w:pPr>
    </w:p>
    <w:p>
      <w:pPr>
        <w:ind w:left="2120" w:hanging="354"/>
        <w:spacing w:after="0"/>
        <w:tabs>
          <w:tab w:leader="none" w:pos="212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71" w:lineRule="exact"/>
        <w:rPr>
          <w:rFonts w:ascii="Courier New" w:cs="Courier New" w:eastAsia="Courier New" w:hAnsi="Courier New"/>
          <w:sz w:val="15"/>
          <w:szCs w:val="15"/>
          <w:color w:val="auto"/>
        </w:rPr>
      </w:pPr>
    </w:p>
    <w:p>
      <w:pPr>
        <w:ind w:left="2200" w:hanging="434"/>
        <w:spacing w:after="0"/>
        <w:tabs>
          <w:tab w:leader="none" w:pos="220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4" w:lineRule="exact"/>
        <w:rPr>
          <w:rFonts w:ascii="Courier New" w:cs="Courier New" w:eastAsia="Courier New" w:hAnsi="Courier New"/>
          <w:sz w:val="15"/>
          <w:szCs w:val="15"/>
          <w:color w:val="auto"/>
        </w:rPr>
      </w:pPr>
    </w:p>
    <w:p>
      <w:pPr>
        <w:jc w:val="both"/>
        <w:ind w:left="880" w:right="3119" w:firstLine="886"/>
        <w:spacing w:after="0" w:line="271" w:lineRule="auto"/>
        <w:tabs>
          <w:tab w:leader="none" w:pos="230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95" w:name="page96"/>
    <w:bookmarkEnd w:id="95"/>
    <w:p>
      <w:pPr>
        <w:ind w:left="1320" w:hanging="442"/>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12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the Plan, a share or shares of Common Stock or such other securities issued by the Sponsor as may be the subject of an adjustment under Paragraph 11.</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Paragraphs 2(n), 2(v), 7(d), 8(d) and 16(b), the term "Share" or "Shares" also means a share or shares of the Sponsor's Class A Common Stock, par value, $1.00.</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means Comcast Corporation, a Pennsylvania corporation, including any successor thereto by merger, consolidation, acquisition of all or substantially all the assets thereof, or otherwise.</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 means all corporations that, at the time in question, are subsidiary corporations of the Sponsor within the meaning of section 424(f) of the Code.</w:t>
      </w:r>
    </w:p>
    <w:p>
      <w:pPr>
        <w:spacing w:after="0" w:line="175" w:lineRule="exact"/>
        <w:rPr>
          <w:rFonts w:ascii="Courier New" w:cs="Courier New" w:eastAsia="Courier New" w:hAnsi="Courier New"/>
          <w:sz w:val="15"/>
          <w:szCs w:val="15"/>
          <w:color w:val="auto"/>
        </w:rPr>
      </w:pPr>
    </w:p>
    <w:p>
      <w:pPr>
        <w:jc w:val="both"/>
        <w:ind w:right="3119" w:firstLine="878"/>
        <w:spacing w:after="0" w:line="260" w:lineRule="auto"/>
        <w:tabs>
          <w:tab w:leader="none" w:pos="133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2120" w:hanging="354"/>
        <w:spacing w:after="0"/>
        <w:tabs>
          <w:tab w:leader="none" w:pos="212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2200" w:hanging="434"/>
        <w:spacing w:after="0"/>
        <w:tabs>
          <w:tab w:leader="none" w:pos="220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174"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 amended.</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96" w:name="page97"/>
    <w:bookmarkEnd w:id="96"/>
    <w:p>
      <w:pPr>
        <w:ind w:left="880" w:hanging="445"/>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Options and Other Rights Available for Grant. Rights that may be granted under the Plan are:</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123"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76"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30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which give the Optionee the right for a specified time period to purchase a specified number of Shares for a price determined by the Committee; and</w:t>
      </w:r>
    </w:p>
    <w:p>
      <w:pPr>
        <w:spacing w:after="0" w:line="175" w:lineRule="exact"/>
        <w:rPr>
          <w:rFonts w:ascii="Courier New" w:cs="Courier New" w:eastAsia="Courier New" w:hAnsi="Courier New"/>
          <w:sz w:val="15"/>
          <w:szCs w:val="15"/>
          <w:color w:val="auto"/>
        </w:rPr>
      </w:pPr>
    </w:p>
    <w:p>
      <w:pPr>
        <w:jc w:val="both"/>
        <w:ind w:left="880" w:right="3119" w:firstLine="886"/>
        <w:spacing w:after="0"/>
        <w:tabs>
          <w:tab w:leader="none" w:pos="230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Grant of Options. The maximum number of Shares for which Options may be granted to any single individual in any calendar year, adjusted as provided in Section 11, shall be 1,000,000 Shares.</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97" w:name="page98"/>
    <w:bookmarkEnd w:id="97"/>
    <w:p>
      <w:pPr>
        <w:ind w:left="880" w:hanging="445"/>
        <w:spacing w:after="0"/>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Plan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79"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6" w:lineRule="exact"/>
        <w:rPr>
          <w:rFonts w:ascii="Courier New" w:cs="Courier New" w:eastAsia="Courier New" w:hAnsi="Courier New"/>
          <w:sz w:val="15"/>
          <w:szCs w:val="15"/>
          <w:color w:val="auto"/>
        </w:rPr>
      </w:pPr>
    </w:p>
    <w:p>
      <w:pPr>
        <w:jc w:val="both"/>
        <w:ind w:right="3119" w:firstLine="878"/>
        <w:spacing w:after="0" w:line="260" w:lineRule="auto"/>
        <w:tabs>
          <w:tab w:leader="none" w:pos="1242"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61" w:lineRule="exact"/>
        <w:rPr>
          <w:rFonts w:ascii="Courier New" w:cs="Courier New" w:eastAsia="Courier New" w:hAnsi="Courier New"/>
          <w:sz w:val="14"/>
          <w:szCs w:val="14"/>
          <w:color w:val="auto"/>
        </w:rPr>
      </w:pPr>
    </w:p>
    <w:p>
      <w:pPr>
        <w:jc w:val="both"/>
        <w:ind w:right="3119" w:firstLine="878"/>
        <w:spacing w:after="0"/>
        <w:tabs>
          <w:tab w:leader="none" w:pos="124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4"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98" w:name="page99"/>
    <w:bookmarkEnd w:id="98"/>
    <w:p>
      <w:pPr>
        <w:jc w:val="both"/>
        <w:ind w:right="3119"/>
        <w:spacing w:after="0" w:line="239" w:lineRule="auto"/>
        <w:rPr>
          <w:sz w:val="20"/>
          <w:szCs w:val="20"/>
          <w:color w:val="auto"/>
        </w:rPr>
      </w:pPr>
      <w:r>
        <w:rPr>
          <w:rFonts w:ascii="Courier New" w:cs="Courier New" w:eastAsia="Courier New" w:hAnsi="Courier New"/>
          <w:sz w:val="15"/>
          <w:szCs w:val="15"/>
          <w:color w:val="auto"/>
        </w:rPr>
        <w:t>subject to Paragraph 7. The terms and conditions of Options granted to Non-Employee Directors shall be determined by the Committee, subject to Paragraph 8.</w:t>
      </w:r>
    </w:p>
    <w:p>
      <w:pPr>
        <w:spacing w:after="0" w:line="175" w:lineRule="exact"/>
        <w:rPr>
          <w:sz w:val="20"/>
          <w:szCs w:val="20"/>
          <w:color w:val="auto"/>
        </w:rPr>
      </w:pPr>
    </w:p>
    <w:p>
      <w:pPr>
        <w:jc w:val="both"/>
        <w:ind w:right="3119" w:firstLine="878"/>
        <w:spacing w:after="0"/>
        <w:tabs>
          <w:tab w:leader="none" w:pos="124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3"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In General</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All Options  granted to Optionees  other than  Non-Employee  Directors</w:t>
      </w:r>
    </w:p>
    <w:p>
      <w:pPr>
        <w:spacing w:after="0" w:line="12"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shall be evidenced by option documents. The terms of each such option document shall be determined from time to time by the Committee, consistent, however, with the following:</w:t>
      </w:r>
    </w:p>
    <w:p>
      <w:pPr>
        <w:spacing w:after="0" w:line="175" w:lineRule="exact"/>
        <w:rPr>
          <w:sz w:val="20"/>
          <w:szCs w:val="20"/>
          <w:color w:val="auto"/>
        </w:rPr>
      </w:pPr>
    </w:p>
    <w:p>
      <w:pPr>
        <w:jc w:val="both"/>
        <w:ind w:right="3119" w:firstLine="878"/>
        <w:spacing w:after="0" w:line="239" w:lineRule="auto"/>
        <w:tabs>
          <w:tab w:leader="none" w:pos="12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Options shall be granted within 10 years from the earlier of (i) the date of adoption of the Plan by the Board, or (ii) approval of the Plan by the shareholders of the Sponsor.</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75" w:lineRule="exact"/>
        <w:rPr>
          <w:rFonts w:ascii="Courier New" w:cs="Courier New" w:eastAsia="Courier New" w:hAnsi="Courier New"/>
          <w:sz w:val="15"/>
          <w:szCs w:val="15"/>
          <w:color w:val="auto"/>
        </w:rPr>
      </w:pPr>
    </w:p>
    <w:p>
      <w:pPr>
        <w:jc w:val="both"/>
        <w:ind w:right="3119" w:firstLine="878"/>
        <w:spacing w:after="0" w:line="259" w:lineRule="auto"/>
        <w:tabs>
          <w:tab w:leader="none" w:pos="133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99" w:name="page100"/>
    <w:bookmarkEnd w:id="99"/>
    <w:p>
      <w:pPr>
        <w:spacing w:after="0"/>
        <w:tabs>
          <w:tab w:leader="none" w:pos="3600" w:val="left"/>
          <w:tab w:leader="none" w:pos="4500" w:val="left"/>
          <w:tab w:leader="none" w:pos="6720" w:val="left"/>
        </w:tabs>
        <w:rPr>
          <w:sz w:val="20"/>
          <w:szCs w:val="20"/>
          <w:color w:val="auto"/>
        </w:rPr>
      </w:pPr>
      <w:r>
        <w:rPr>
          <w:rFonts w:ascii="Courier New" w:cs="Courier New" w:eastAsia="Courier New" w:hAnsi="Courier New"/>
          <w:sz w:val="15"/>
          <w:szCs w:val="15"/>
          <w:color w:val="auto"/>
        </w:rPr>
        <w:t>exercise any Options only in accordance</w:t>
        <w:tab/>
        <w:t>with the</w:t>
        <w:tab/>
        <w:t>provisions of Paragraph</w:t>
        <w:tab/>
        <w:t>7(g)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this Paragraph 7(c).</w:t>
      </w:r>
    </w:p>
    <w:p>
      <w:pPr>
        <w:spacing w:after="0" w:line="174" w:lineRule="exact"/>
        <w:rPr>
          <w:sz w:val="20"/>
          <w:szCs w:val="20"/>
          <w:color w:val="auto"/>
        </w:rPr>
      </w:pPr>
    </w:p>
    <w:p>
      <w:pPr>
        <w:jc w:val="both"/>
        <w:ind w:right="3119" w:firstLine="878"/>
        <w:spacing w:after="0" w:line="258" w:lineRule="auto"/>
        <w:tabs>
          <w:tab w:leader="none" w:pos="13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45" w:lineRule="exact"/>
        <w:rPr>
          <w:rFonts w:ascii="Courier New" w:cs="Courier New" w:eastAsia="Courier New" w:hAnsi="Courier New"/>
          <w:sz w:val="14"/>
          <w:szCs w:val="14"/>
          <w:color w:val="auto"/>
        </w:rPr>
      </w:pPr>
    </w:p>
    <w:p>
      <w:pPr>
        <w:jc w:val="both"/>
        <w:ind w:right="3119" w:firstLine="878"/>
        <w:spacing w:after="0" w:line="260" w:lineRule="auto"/>
        <w:tabs>
          <w:tab w:leader="none" w:pos="12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63" w:lineRule="exact"/>
        <w:rPr>
          <w:rFonts w:ascii="Courier New" w:cs="Courier New" w:eastAsia="Courier New" w:hAnsi="Courier New"/>
          <w:sz w:val="14"/>
          <w:szCs w:val="14"/>
          <w:color w:val="auto"/>
        </w:rPr>
      </w:pPr>
    </w:p>
    <w:p>
      <w:pPr>
        <w:jc w:val="both"/>
        <w:ind w:right="3119" w:firstLine="878"/>
        <w:spacing w:after="0"/>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76"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shall be exercisable in whole or in part at such time or times as may be determined by the Committee and stated in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100" w:name="page101"/>
    <w:bookmarkEnd w:id="100"/>
    <w:p>
      <w:pPr>
        <w:jc w:val="both"/>
        <w:ind w:right="3119"/>
        <w:spacing w:after="0"/>
        <w:rPr>
          <w:sz w:val="20"/>
          <w:szCs w:val="20"/>
          <w:color w:val="auto"/>
        </w:rPr>
      </w:pPr>
      <w:r>
        <w:rPr>
          <w:rFonts w:ascii="Courier New" w:cs="Courier New" w:eastAsia="Courier New" w:hAnsi="Courier New"/>
          <w:sz w:val="15"/>
          <w:szCs w:val="15"/>
          <w:color w:val="auto"/>
        </w:rPr>
        <w:t>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77" w:lineRule="exact"/>
        <w:rPr>
          <w:sz w:val="20"/>
          <w:szCs w:val="20"/>
          <w:color w:val="auto"/>
        </w:rPr>
      </w:pPr>
    </w:p>
    <w:p>
      <w:pPr>
        <w:jc w:val="both"/>
        <w:ind w:left="880" w:right="3119" w:firstLine="886"/>
        <w:spacing w:after="0" w:line="259" w:lineRule="auto"/>
        <w:tabs>
          <w:tab w:leader="none" w:pos="212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3" w:lineRule="exact"/>
        <w:rPr>
          <w:rFonts w:ascii="Courier New" w:cs="Courier New" w:eastAsia="Courier New" w:hAnsi="Courier New"/>
          <w:sz w:val="14"/>
          <w:szCs w:val="14"/>
          <w:color w:val="auto"/>
        </w:rPr>
      </w:pPr>
    </w:p>
    <w:p>
      <w:pPr>
        <w:jc w:val="both"/>
        <w:ind w:left="880" w:right="3119" w:firstLine="886"/>
        <w:spacing w:after="0"/>
        <w:tabs>
          <w:tab w:leader="none" w:pos="221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8" w:lineRule="exact"/>
        <w:rPr>
          <w:rFonts w:ascii="Courier New" w:cs="Courier New" w:eastAsia="Courier New" w:hAnsi="Courier New"/>
          <w:sz w:val="15"/>
          <w:szCs w:val="15"/>
          <w:color w:val="auto"/>
        </w:rPr>
      </w:pPr>
    </w:p>
    <w:p>
      <w:pPr>
        <w:jc w:val="both"/>
        <w:ind w:left="880" w:right="3119" w:firstLine="886"/>
        <w:spacing w:after="0"/>
        <w:tabs>
          <w:tab w:leader="none" w:pos="23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ectPr>
          <w:pgSz w:w="11900" w:h="16838" w:orient="portrait"/>
          <w:cols w:equalWidth="0" w:num="1">
            <w:col w:w="10219"/>
          </w:cols>
          <w:pgMar w:left="240" w:top="801" w:right="1440" w:bottom="1440" w:gutter="0" w:footer="0" w:header="0"/>
        </w:sectPr>
      </w:pPr>
    </w:p>
    <w:p>
      <w:pPr>
        <w:spacing w:after="0" w:line="177" w:lineRule="exact"/>
        <w:rPr>
          <w:sz w:val="20"/>
          <w:szCs w:val="20"/>
          <w:color w:val="auto"/>
        </w:rPr>
      </w:pPr>
    </w:p>
    <w:p>
      <w:pPr>
        <w:jc w:val="both"/>
        <w:ind w:firstLine="887"/>
        <w:spacing w:after="0" w:line="264" w:lineRule="auto"/>
        <w:rPr>
          <w:sz w:val="20"/>
          <w:szCs w:val="20"/>
          <w:color w:val="auto"/>
        </w:rPr>
      </w:pPr>
      <w:r>
        <w:rPr>
          <w:rFonts w:ascii="Courier New" w:cs="Courier New" w:eastAsia="Courier New" w:hAnsi="Courier New"/>
          <w:sz w:val="14"/>
          <w:szCs w:val="14"/>
          <w:color w:val="auto"/>
        </w:rPr>
        <w:t>(h) Date of date on which written office to the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Exercise. The date of exercise of an Option shall be the notice of exercise, addressed to the Sponsor at its main</w:t>
      </w:r>
    </w:p>
    <w:p>
      <w:pPr>
        <w:spacing w:after="0" w:line="34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ectPr>
          <w:pgSz w:w="11900" w:h="16838" w:orient="portrait"/>
          <w:cols w:equalWidth="0" w:num="2">
            <w:col w:w="1860" w:space="180"/>
            <w:col w:w="8179"/>
          </w:cols>
          <w:pgMar w:left="240" w:top="801"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PHLEGAL: #54302 v10 (15W#10!.WPD)</w:t>
      </w:r>
    </w:p>
    <w:p>
      <w:pPr>
        <w:sectPr>
          <w:pgSz w:w="11900" w:h="16838" w:orient="portrait"/>
          <w:cols w:equalWidth="0" w:num="1">
            <w:col w:w="10219"/>
          </w:cols>
          <w:pgMar w:left="240" w:top="801" w:right="1440" w:bottom="1440" w:gutter="0" w:footer="0" w:header="0"/>
          <w:type w:val="continuous"/>
        </w:sectPr>
      </w:pPr>
    </w:p>
    <w:bookmarkStart w:id="101" w:name="page102"/>
    <w:bookmarkEnd w:id="101"/>
    <w:p>
      <w:pPr>
        <w:jc w:val="both"/>
        <w:ind w:right="3119"/>
        <w:spacing w:after="0" w:line="259" w:lineRule="auto"/>
        <w:rPr>
          <w:sz w:val="20"/>
          <w:szCs w:val="20"/>
          <w:color w:val="auto"/>
        </w:rPr>
      </w:pPr>
      <w:r>
        <w:rPr>
          <w:rFonts w:ascii="Courier New" w:cs="Courier New" w:eastAsia="Courier New" w:hAnsi="Courier New"/>
          <w:sz w:val="14"/>
          <w:szCs w:val="14"/>
          <w:color w:val="auto"/>
        </w:rPr>
        <w:t>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5" w:lineRule="exact"/>
        <w:rPr>
          <w:sz w:val="20"/>
          <w:szCs w:val="20"/>
          <w:color w:val="auto"/>
        </w:rPr>
      </w:pPr>
    </w:p>
    <w:p>
      <w:pPr>
        <w:jc w:val="both"/>
        <w:ind w:right="3119" w:firstLine="878"/>
        <w:spacing w:after="0" w:line="239" w:lineRule="auto"/>
        <w:tabs>
          <w:tab w:leader="none" w:pos="1242"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76" w:lineRule="exact"/>
        <w:rPr>
          <w:rFonts w:ascii="Courier New" w:cs="Courier New" w:eastAsia="Courier New" w:hAnsi="Courier New"/>
          <w:sz w:val="15"/>
          <w:szCs w:val="15"/>
          <w:color w:val="auto"/>
        </w:rPr>
      </w:pPr>
    </w:p>
    <w:p>
      <w:pPr>
        <w:ind w:left="880" w:right="3119" w:firstLine="886"/>
        <w:spacing w:after="0" w:line="238" w:lineRule="auto"/>
        <w:tabs>
          <w:tab w:leader="none" w:pos="2123"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expire no later than the Non-Qualified Option to which it is attached.</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provide for the cash payment of such amount per Share as shall be determined by the Committee and stated in the option document.</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389"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be subject to the same restrictions on transferability as the Non-Qualified Option to which it is attached.</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be exercisable only when such conditions to exercise as shall be determined by the Committee and stated in the option document, if any, have been satisfied.</w:t>
      </w:r>
    </w:p>
    <w:p>
      <w:pPr>
        <w:spacing w:after="0" w:line="175" w:lineRule="exact"/>
        <w:rPr>
          <w:rFonts w:ascii="Courier New" w:cs="Courier New" w:eastAsia="Courier New" w:hAnsi="Courier New"/>
          <w:sz w:val="15"/>
          <w:szCs w:val="15"/>
          <w:color w:val="auto"/>
        </w:rPr>
      </w:pPr>
    </w:p>
    <w:p>
      <w:pPr>
        <w:ind w:left="880" w:right="3119" w:firstLine="886"/>
        <w:spacing w:after="0" w:line="238" w:lineRule="auto"/>
        <w:tabs>
          <w:tab w:leader="none" w:pos="2123"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expire upon the exercise of the Non- Qualified Option to which it is attached.</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a Cash Right that is attached to a Non- Qualified Option, the Option to which the Cash Right is attached shall expire.</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Non-Employee Directors</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Options granted  pursuant to the Plan to Non-Employee  Directors shall</w:t>
      </w:r>
    </w:p>
    <w:p>
      <w:pPr>
        <w:spacing w:after="0" w:line="1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972" w:right="1440" w:bottom="1440" w:gutter="0" w:footer="0" w:header="0"/>
        </w:sectPr>
      </w:pPr>
    </w:p>
    <w:bookmarkStart w:id="102" w:name="page103"/>
    <w:bookmarkEnd w:id="102"/>
    <w:p>
      <w:pPr>
        <w:jc w:val="both"/>
        <w:ind w:right="3119" w:firstLine="878"/>
        <w:spacing w:after="0"/>
        <w:tabs>
          <w:tab w:leader="none" w:pos="124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to Non-Employee Directors. Each Non- Employee Director shall be granted, commencing on the Grant Date next following the adoption of this Plan by the Board and on each successive Grant Date thereafter, a Non-Qualified Option to purchase 5,400 Shares. Notwithstanding the preceding sentence, each newly elected Non- Employee Director:</w:t>
      </w:r>
    </w:p>
    <w:p>
      <w:pPr>
        <w:spacing w:after="0" w:line="174" w:lineRule="exact"/>
        <w:rPr>
          <w:rFonts w:ascii="Courier New" w:cs="Courier New" w:eastAsia="Courier New" w:hAnsi="Courier New"/>
          <w:sz w:val="15"/>
          <w:szCs w:val="15"/>
          <w:color w:val="auto"/>
        </w:rPr>
      </w:pPr>
    </w:p>
    <w:p>
      <w:pPr>
        <w:ind w:left="880" w:right="3119" w:firstLine="886"/>
        <w:spacing w:after="0" w:line="238" w:lineRule="auto"/>
        <w:tabs>
          <w:tab w:leader="none" w:pos="2123"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granted a Non-Qualified Option to purchase 9,000 Shares on the Election Date; and</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30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entitled to the grant of an Option hereunder on the Grant Date immediately following the Non-Employee Director's Election Date if such Election Date is within ninety (90) days of the Grant Date.</w:t>
      </w:r>
    </w:p>
    <w:p>
      <w:pPr>
        <w:spacing w:after="0" w:line="176"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with respect to any Option granted under this Paragraph 8 shall be 100% of the Fair Market Value of such Share on the Grant Date.</w:t>
      </w:r>
    </w:p>
    <w:p>
      <w:pPr>
        <w:spacing w:after="0" w:line="175" w:lineRule="exact"/>
        <w:rPr>
          <w:rFonts w:ascii="Courier New" w:cs="Courier New" w:eastAsia="Courier New" w:hAnsi="Courier New"/>
          <w:sz w:val="15"/>
          <w:szCs w:val="15"/>
          <w:color w:val="auto"/>
        </w:rPr>
      </w:pPr>
    </w:p>
    <w:p>
      <w:pPr>
        <w:jc w:val="both"/>
        <w:ind w:right="3119" w:firstLine="878"/>
        <w:spacing w:after="0" w:line="259" w:lineRule="auto"/>
        <w:tabs>
          <w:tab w:leader="none" w:pos="133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334" w:lineRule="exact"/>
        <w:rPr>
          <w:rFonts w:ascii="Courier New" w:cs="Courier New" w:eastAsia="Courier New" w:hAnsi="Courier New"/>
          <w:sz w:val="14"/>
          <w:szCs w:val="14"/>
          <w:color w:val="auto"/>
        </w:rPr>
      </w:pPr>
    </w:p>
    <w:p>
      <w:pPr>
        <w:jc w:val="both"/>
        <w:ind w:right="3119" w:firstLine="878"/>
        <w:spacing w:after="0"/>
        <w:tabs>
          <w:tab w:leader="none" w:pos="133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103" w:name="page104"/>
    <w:bookmarkEnd w:id="103"/>
    <w:p>
      <w:pPr>
        <w:jc w:val="both"/>
        <w:ind w:right="3119"/>
        <w:spacing w:after="0" w:line="259" w:lineRule="auto"/>
        <w:rPr>
          <w:sz w:val="20"/>
          <w:szCs w:val="20"/>
          <w:color w:val="auto"/>
        </w:rPr>
      </w:pPr>
      <w:r>
        <w:rPr>
          <w:rFonts w:ascii="Courier New" w:cs="Courier New" w:eastAsia="Courier New" w:hAnsi="Courier New"/>
          <w:sz w:val="14"/>
          <w:szCs w:val="14"/>
          <w:color w:val="auto"/>
        </w:rPr>
        <w:t>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36" w:lineRule="exact"/>
        <w:rPr>
          <w:sz w:val="20"/>
          <w:szCs w:val="20"/>
          <w:color w:val="auto"/>
        </w:rPr>
      </w:pPr>
    </w:p>
    <w:p>
      <w:pPr>
        <w:jc w:val="both"/>
        <w:ind w:right="3119" w:firstLine="878"/>
        <w:spacing w:after="0"/>
        <w:tabs>
          <w:tab w:leader="none" w:pos="124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74" w:lineRule="exact"/>
        <w:rPr>
          <w:rFonts w:ascii="Courier New" w:cs="Courier New" w:eastAsia="Courier New" w:hAnsi="Courier New"/>
          <w:sz w:val="15"/>
          <w:szCs w:val="15"/>
          <w:color w:val="auto"/>
        </w:rPr>
      </w:pPr>
    </w:p>
    <w:p>
      <w:pPr>
        <w:jc w:val="both"/>
        <w:ind w:left="880" w:right="3119" w:firstLine="886"/>
        <w:spacing w:after="0"/>
        <w:tabs>
          <w:tab w:leader="none" w:pos="2123"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78" w:lineRule="exact"/>
        <w:rPr>
          <w:rFonts w:ascii="Courier New" w:cs="Courier New" w:eastAsia="Courier New" w:hAnsi="Courier New"/>
          <w:sz w:val="15"/>
          <w:szCs w:val="15"/>
          <w:color w:val="auto"/>
        </w:rPr>
      </w:pPr>
    </w:p>
    <w:p>
      <w:pPr>
        <w:jc w:val="both"/>
        <w:ind w:left="880" w:right="3119" w:firstLine="886"/>
        <w:spacing w:after="0"/>
        <w:tabs>
          <w:tab w:leader="none" w:pos="221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75"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30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 service as a Non-Employee Director is terminated for Cause, each unexercised Option shall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104" w:name="page105"/>
    <w:bookmarkEnd w:id="104"/>
    <w:p>
      <w:pPr>
        <w:jc w:val="both"/>
        <w:ind w:left="880" w:right="3119"/>
        <w:spacing w:after="0"/>
        <w:rPr>
          <w:sz w:val="20"/>
          <w:szCs w:val="20"/>
          <w:color w:val="auto"/>
        </w:rPr>
      </w:pPr>
      <w:r>
        <w:rPr>
          <w:rFonts w:ascii="Courier New" w:cs="Courier New" w:eastAsia="Courier New" w:hAnsi="Courier New"/>
          <w:sz w:val="15"/>
          <w:szCs w:val="15"/>
          <w:color w:val="auto"/>
        </w:rPr>
        <w:t>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75" w:lineRule="exact"/>
        <w:rPr>
          <w:sz w:val="20"/>
          <w:szCs w:val="20"/>
          <w:color w:val="auto"/>
        </w:rPr>
      </w:pPr>
    </w:p>
    <w:p>
      <w:pPr>
        <w:jc w:val="both"/>
        <w:ind w:right="3119" w:firstLine="878"/>
        <w:spacing w:after="0"/>
        <w:tabs>
          <w:tab w:leader="none" w:pos="1242"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Exercise of Incentive Stock Options.</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aggregate Fair Market Value (determined as of the time Options are</w:t>
      </w:r>
    </w:p>
    <w:p>
      <w:pPr>
        <w:spacing w:after="0" w:line="12"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62" w:lineRule="exact"/>
        <w:rPr>
          <w:sz w:val="20"/>
          <w:szCs w:val="20"/>
          <w:color w:val="auto"/>
        </w:rPr>
      </w:pPr>
    </w:p>
    <w:p>
      <w:pPr>
        <w:ind w:left="880" w:hanging="445"/>
        <w:spacing w:after="0"/>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Shareholders</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972" w:right="1440" w:bottom="1440" w:gutter="0" w:footer="0" w:header="0"/>
        </w:sectPr>
      </w:pPr>
    </w:p>
    <w:bookmarkStart w:id="105" w:name="page106"/>
    <w:bookmarkEnd w:id="105"/>
    <w:p>
      <w:pPr>
        <w:ind w:left="880" w:hanging="445"/>
        <w:spacing w:after="0"/>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74" w:lineRule="exact"/>
        <w:rPr>
          <w:rFonts w:ascii="Courier New" w:cs="Courier New" w:eastAsia="Courier New" w:hAnsi="Courier New"/>
          <w:sz w:val="15"/>
          <w:szCs w:val="15"/>
          <w:color w:val="auto"/>
        </w:rPr>
      </w:pPr>
    </w:p>
    <w:p>
      <w:pPr>
        <w:jc w:val="both"/>
        <w:ind w:right="3119" w:firstLine="878"/>
        <w:spacing w:after="0" w:line="259" w:lineRule="auto"/>
        <w:tabs>
          <w:tab w:leader="none" w:pos="1242"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34" w:lineRule="exact"/>
        <w:rPr>
          <w:rFonts w:ascii="Courier New" w:cs="Courier New" w:eastAsia="Courier New" w:hAnsi="Courier New"/>
          <w:sz w:val="14"/>
          <w:szCs w:val="14"/>
          <w:color w:val="auto"/>
        </w:rPr>
      </w:pPr>
    </w:p>
    <w:p>
      <w:pPr>
        <w:jc w:val="both"/>
        <w:ind w:right="3119" w:firstLine="878"/>
        <w:spacing w:after="0" w:line="261" w:lineRule="auto"/>
        <w:tabs>
          <w:tab w:leader="none" w:pos="133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58"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4" w:lineRule="exact"/>
        <w:rPr>
          <w:rFonts w:ascii="Courier New" w:cs="Courier New" w:eastAsia="Courier New" w:hAnsi="Courier New"/>
          <w:sz w:val="15"/>
          <w:szCs w:val="15"/>
          <w:color w:val="auto"/>
        </w:rPr>
      </w:pPr>
    </w:p>
    <w:p>
      <w:pPr>
        <w:jc w:val="both"/>
        <w:ind w:right="3119" w:firstLine="878"/>
        <w:spacing w:after="0" w:line="259" w:lineRule="auto"/>
        <w:tabs>
          <w:tab w:leader="none" w:pos="1242"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62" w:lineRule="exact"/>
        <w:rPr>
          <w:rFonts w:ascii="Courier New" w:cs="Courier New" w:eastAsia="Courier New" w:hAnsi="Courier New"/>
          <w:sz w:val="14"/>
          <w:szCs w:val="14"/>
          <w:color w:val="auto"/>
        </w:rPr>
      </w:pPr>
    </w:p>
    <w:p>
      <w:pPr>
        <w:jc w:val="both"/>
        <w:ind w:right="3119" w:firstLine="878"/>
        <w:spacing w:after="0" w:line="239" w:lineRule="auto"/>
        <w:tabs>
          <w:tab w:leader="none" w:pos="1331"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106" w:name="page107"/>
    <w:bookmarkEnd w:id="106"/>
    <w:p>
      <w:pPr>
        <w:ind w:left="880" w:hanging="445"/>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4" w:lineRule="exact"/>
        <w:rPr>
          <w:sz w:val="20"/>
          <w:szCs w:val="20"/>
          <w:color w:val="auto"/>
        </w:rPr>
      </w:pPr>
    </w:p>
    <w:p>
      <w:pPr>
        <w:ind w:left="880" w:hanging="445"/>
        <w:spacing w:after="0"/>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174" w:lineRule="exact"/>
        <w:rPr>
          <w:sz w:val="20"/>
          <w:szCs w:val="20"/>
          <w:color w:val="auto"/>
        </w:rPr>
      </w:pPr>
    </w:p>
    <w:p>
      <w:pPr>
        <w:jc w:val="both"/>
        <w:ind w:right="3119" w:firstLine="887"/>
        <w:spacing w:after="0" w:line="258"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71" w:lineRule="exact"/>
        <w:rPr>
          <w:sz w:val="20"/>
          <w:szCs w:val="20"/>
          <w:color w:val="auto"/>
        </w:rPr>
      </w:pPr>
    </w:p>
    <w:p>
      <w:pPr>
        <w:ind w:left="880" w:hanging="445"/>
        <w:spacing w:after="0"/>
        <w:tabs>
          <w:tab w:leader="none" w:pos="8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28" w:right="1440" w:bottom="1440" w:gutter="0" w:footer="0" w:header="0"/>
        </w:sectPr>
      </w:pPr>
    </w:p>
    <w:bookmarkStart w:id="107" w:name="page108"/>
    <w:bookmarkEnd w:id="107"/>
    <w:p>
      <w:pPr>
        <w:jc w:val="both"/>
        <w:ind w:left="880" w:right="3119" w:firstLine="886"/>
        <w:spacing w:after="0"/>
        <w:tabs>
          <w:tab w:leader="none" w:pos="2123"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74" w:lineRule="exact"/>
        <w:rPr>
          <w:rFonts w:ascii="Courier New" w:cs="Courier New" w:eastAsia="Courier New" w:hAnsi="Courier New"/>
          <w:sz w:val="15"/>
          <w:szCs w:val="15"/>
          <w:color w:val="auto"/>
        </w:rPr>
      </w:pPr>
    </w:p>
    <w:p>
      <w:pPr>
        <w:jc w:val="both"/>
        <w:ind w:left="880" w:right="3119" w:firstLine="886"/>
        <w:spacing w:after="0" w:line="258" w:lineRule="auto"/>
        <w:tabs>
          <w:tab w:leader="none" w:pos="221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w:t>
      </w:r>
    </w:p>
    <w:p>
      <w:pPr>
        <w:jc w:val="both"/>
        <w:ind w:left="880" w:right="3119" w:hanging="2"/>
        <w:spacing w:after="0" w:line="239" w:lineRule="auto"/>
        <w:tabs>
          <w:tab w:leader="none" w:pos="123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is under no obligation to register the Shares subject to the Option under the 1933 Act or to take any action which would make available to the Optionee any exemption from such registration;</w:t>
      </w:r>
    </w:p>
    <w:p>
      <w:pPr>
        <w:spacing w:after="0" w:line="175" w:lineRule="exact"/>
        <w:rPr>
          <w:rFonts w:ascii="Courier New" w:cs="Courier New" w:eastAsia="Courier New" w:hAnsi="Courier New"/>
          <w:sz w:val="15"/>
          <w:szCs w:val="15"/>
          <w:color w:val="auto"/>
        </w:rPr>
      </w:pPr>
    </w:p>
    <w:p>
      <w:pPr>
        <w:ind w:left="880" w:right="3119" w:firstLine="886"/>
        <w:spacing w:after="0" w:line="238" w:lineRule="auto"/>
        <w:tabs>
          <w:tab w:leader="none" w:pos="2389"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evidencing the Shares may bear a restrictive legend; and</w:t>
      </w:r>
    </w:p>
    <w:p>
      <w:pPr>
        <w:spacing w:after="0" w:line="174" w:lineRule="exact"/>
        <w:rPr>
          <w:rFonts w:ascii="Courier New" w:cs="Courier New" w:eastAsia="Courier New" w:hAnsi="Courier New"/>
          <w:sz w:val="15"/>
          <w:szCs w:val="15"/>
          <w:color w:val="auto"/>
        </w:rPr>
      </w:pPr>
    </w:p>
    <w:p>
      <w:pPr>
        <w:jc w:val="both"/>
        <w:ind w:left="880" w:right="3119" w:firstLine="886"/>
        <w:spacing w:after="0" w:line="239" w:lineRule="auto"/>
        <w:tabs>
          <w:tab w:leader="none" w:pos="221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may not be transferred without compliance with all applicable federal and state securities laws.</w:t>
      </w:r>
    </w:p>
    <w:p>
      <w:pPr>
        <w:spacing w:after="0" w:line="175" w:lineRule="exact"/>
        <w:rPr>
          <w:sz w:val="20"/>
          <w:szCs w:val="20"/>
          <w:color w:val="auto"/>
        </w:rPr>
      </w:pPr>
    </w:p>
    <w:p>
      <w:pPr>
        <w:jc w:val="both"/>
        <w:ind w:right="3119" w:firstLine="878"/>
        <w:spacing w:after="0"/>
        <w:tabs>
          <w:tab w:leader="none" w:pos="142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4"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 on Exercise of Option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972" w:right="1440" w:bottom="1440" w:gutter="0" w:footer="0" w:header="0"/>
        </w:sectPr>
      </w:pPr>
    </w:p>
    <w:bookmarkStart w:id="108" w:name="page109"/>
    <w:bookmarkEnd w:id="108"/>
    <w:p>
      <w:pPr>
        <w:jc w:val="both"/>
        <w:ind w:right="3119" w:firstLine="878"/>
        <w:spacing w:after="0" w:line="258" w:lineRule="auto"/>
        <w:tabs>
          <w:tab w:leader="none" w:pos="124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342"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This amendment and restatement of the Plan is effective as of December</w:t>
      </w:r>
    </w:p>
    <w:p>
      <w:pPr>
        <w:spacing w:after="0" w:line="1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15, 1998. The Plan shall expire no later than the tenth anniversary of the date the Plan was initially adopted by the Board,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initial adoption of the Plan by the Board, all Options granted under the Plan shall expire.</w:t>
      </w:r>
    </w:p>
    <w:p>
      <w:pPr>
        <w:spacing w:after="0" w:line="173" w:lineRule="exact"/>
        <w:rPr>
          <w:sz w:val="20"/>
          <w:szCs w:val="20"/>
          <w:color w:val="auto"/>
        </w:rPr>
      </w:pPr>
    </w:p>
    <w:p>
      <w:pPr>
        <w:ind w:left="880" w:hanging="445"/>
        <w:spacing w:after="0"/>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#54302 v10 (15W#10!.WPD)</w:t>
      </w:r>
    </w:p>
    <w:p>
      <w:pPr>
        <w:sectPr>
          <w:pgSz w:w="11900" w:h="16838" w:orient="portrait"/>
          <w:cols w:equalWidth="0" w:num="1">
            <w:col w:w="10219"/>
          </w:cols>
          <w:pgMar w:left="240" w:top="631" w:right="1440" w:bottom="1440" w:gutter="0" w:footer="0" w:header="0"/>
        </w:sectPr>
      </w:pPr>
    </w:p>
    <w:bookmarkStart w:id="109" w:name="page110"/>
    <w:bookmarkEnd w:id="109"/>
    <w:p>
      <w:pPr>
        <w:jc w:val="both"/>
        <w:ind w:right="3119"/>
        <w:spacing w:after="0" w:line="239" w:lineRule="auto"/>
        <w:rPr>
          <w:sz w:val="20"/>
          <w:szCs w:val="20"/>
          <w:color w:val="auto"/>
        </w:rPr>
      </w:pPr>
      <w:r>
        <w:rPr>
          <w:rFonts w:ascii="Courier New" w:cs="Courier New" w:eastAsia="Courier New" w:hAnsi="Courier New"/>
          <w:sz w:val="15"/>
          <w:szCs w:val="15"/>
          <w:color w:val="auto"/>
        </w:rPr>
        <w:t>federal or state securities laws, and all Shares issued under the Plan shall be subject to the terms and restrictions contained in the Articles of Incorporation and By-Laws of the Sponsor, as amended from time to time.</w:t>
      </w:r>
    </w:p>
    <w:p>
      <w:pPr>
        <w:spacing w:after="0" w:line="34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4"/>
          <w:szCs w:val="14"/>
          <w:color w:val="auto"/>
        </w:rPr>
        <w:t>Executed as of the 15th day of December, 1998.</w:t>
      </w:r>
    </w:p>
    <w:p>
      <w:pPr>
        <w:spacing w:after="0" w:line="35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Attest: /s/ Arthur R. Block</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10" w:name="page111"/>
    <w:bookmarkEnd w:id="110"/>
    <w:p>
      <w:pPr>
        <w:spacing w:after="0" w:line="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1996 DEFERRED COMPENSATION PLAN</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15, 1998)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ESTABLISHMENT OF PLAN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COMCAST CORPORATION, a Pennsylvania corporation, hereby amends and restates the Comcast Corporation 1996 Deferred Compensation Plan (the "Plan"), effective as of December 15, 1998.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DEFINITIONS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"Active Participant" means:</w:t>
      </w:r>
    </w:p>
    <w:p>
      <w:pPr>
        <w:spacing w:after="0" w:line="174" w:lineRule="exact"/>
        <w:rPr>
          <w:sz w:val="20"/>
          <w:szCs w:val="20"/>
          <w:color w:val="auto"/>
        </w:rPr>
      </w:pPr>
    </w:p>
    <w:p>
      <w:pPr>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5"/>
          <w:szCs w:val="15"/>
          <w:color w:val="auto"/>
        </w:rPr>
        <w:t>Each Participant who is in active service as an Outside Director; and</w:t>
      </w:r>
    </w:p>
    <w:p>
      <w:pPr>
        <w:spacing w:after="0" w:line="175" w:lineRule="exact"/>
        <w:rPr>
          <w:sz w:val="20"/>
          <w:szCs w:val="20"/>
          <w:color w:val="auto"/>
        </w:rPr>
      </w:pPr>
    </w:p>
    <w:p>
      <w:pPr>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5"/>
          <w:szCs w:val="15"/>
          <w:color w:val="auto"/>
        </w:rPr>
        <w:t>Each Participant who is actively employed by a Participating Company as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"Administrator" means the Committee.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and policies of such Person, whether through the ownership of voting securities, by contract or otherwise.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2.5 "Annual Rate of Pay" means, as of any date, an employee's annualized base pay rate. An employee's Annual Rate of Pay shall not include sales commissions or other similar payments or awards.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2.6 "Applicable Interest Rate" means:</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2.6.1</w:t>
      </w:r>
      <w:r>
        <w:rPr>
          <w:sz w:val="20"/>
          <w:szCs w:val="20"/>
          <w:color w:val="auto"/>
        </w:rPr>
        <w:tab/>
      </w:r>
      <w:r>
        <w:rPr>
          <w:rFonts w:ascii="Courier New" w:cs="Courier New" w:eastAsia="Courier New" w:hAnsi="Courier New"/>
          <w:sz w:val="15"/>
          <w:szCs w:val="15"/>
          <w:color w:val="auto"/>
        </w:rPr>
        <w:t>Except as otherwise provided in Section 2.6.2, the Applicable Interest Rate means 12% per annum, compounded annually as of the last day of the Plan Year.</w:t>
      </w:r>
    </w:p>
    <w:p>
      <w:pPr>
        <w:spacing w:after="0" w:line="175" w:lineRule="exact"/>
        <w:rPr>
          <w:sz w:val="20"/>
          <w:szCs w:val="20"/>
          <w:color w:val="auto"/>
        </w:rPr>
      </w:pPr>
    </w:p>
    <w:p>
      <w:pPr>
        <w:jc w:val="both"/>
        <w:ind w:left="1760" w:right="3119" w:hanging="887"/>
        <w:spacing w:after="0" w:line="258" w:lineRule="auto"/>
        <w:tabs>
          <w:tab w:leader="none" w:pos="1740" w:val="left"/>
        </w:tabs>
        <w:rPr>
          <w:sz w:val="20"/>
          <w:szCs w:val="20"/>
          <w:color w:val="auto"/>
        </w:rPr>
      </w:pP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4"/>
          <w:szCs w:val="14"/>
          <w:color w:val="auto"/>
        </w:rPr>
        <w:t>Except to the extent otherwise required by Section 9.2,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w:t>
      </w:r>
    </w:p>
    <w:p>
      <w:pPr>
        <w:spacing w:after="0" w:line="1" w:lineRule="exact"/>
        <w:rPr>
          <w:sz w:val="20"/>
          <w:szCs w:val="20"/>
          <w:color w:val="auto"/>
        </w:rPr>
      </w:pPr>
    </w:p>
    <w:p>
      <w:pPr>
        <w:jc w:val="both"/>
        <w:ind w:left="1760" w:right="3119" w:firstLine="6"/>
        <w:spacing w:after="0"/>
        <w:tabs>
          <w:tab w:leader="none" w:pos="21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in effect under Section 2.6.1 or (2) the Prime Rate plus one percent, compounded annually as of the last day of the Plan Year. Notwithstanding the foregoing, the Administrator may delegate its authority to determine the Applicable Interest Rate under this Section 2.6.2 to an officer of the Company or committee of two or more officers of the Company.</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2.7 "Board" means the Board of Directors of the Company, or the Executive Committee of the Board of Directors of the Company.</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2.9 "Committee" means the Subcommittee on Performance Based Compensation of the Compensation Committee of the Board of Directors of the Company.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2.10 "Company" means Comcast Corporation, a Pennsylvania corporation, including any successor thereto by merger, consolidation, acquisition of all or substantially all the assets thereof, or otherwise.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2.11 "Company Stock" means Comcast Corporation Class A Special Common Stock, par value, $1.00, including a fractional share, or such other securities issued by Comcast</w:t>
      </w:r>
    </w:p>
    <w:p>
      <w:pPr>
        <w:sectPr>
          <w:pgSz w:w="11900" w:h="16862" w:orient="portrait"/>
          <w:cols w:equalWidth="0" w:num="1">
            <w:col w:w="10219"/>
          </w:cols>
          <w:pgMar w:left="240" w:top="139" w:right="1440" w:bottom="0"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62" w:orient="portrait"/>
          <w:cols w:equalWidth="0" w:num="1">
            <w:col w:w="10219"/>
          </w:cols>
          <w:pgMar w:left="240" w:top="139" w:right="1440" w:bottom="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PHLEGAL: #54263 v16 (15VB16!.WPD)</w:t>
      </w:r>
    </w:p>
    <w:p>
      <w:pPr>
        <w:sectPr>
          <w:pgSz w:w="11900" w:h="16838" w:orient="portrait"/>
          <w:cols w:equalWidth="0" w:num="1">
            <w:col w:w="10219"/>
          </w:cols>
          <w:pgMar w:left="240" w:top="312" w:right="1440" w:bottom="1440" w:gutter="0" w:footer="0" w:header="0"/>
        </w:sectPr>
      </w:pPr>
    </w:p>
    <w:bookmarkStart w:id="112" w:name="page113"/>
    <w:bookmarkEnd w:id="112"/>
    <w:p>
      <w:pPr>
        <w:jc w:val="both"/>
        <w:ind w:right="3119"/>
        <w:spacing w:after="0" w:line="259" w:lineRule="auto"/>
        <w:rPr>
          <w:sz w:val="20"/>
          <w:szCs w:val="20"/>
          <w:color w:val="auto"/>
        </w:rPr>
      </w:pPr>
      <w:r>
        <w:rPr>
          <w:rFonts w:ascii="Courier New" w:cs="Courier New" w:eastAsia="Courier New" w:hAnsi="Courier New"/>
          <w:sz w:val="14"/>
          <w:szCs w:val="14"/>
          <w:color w:val="auto"/>
        </w:rPr>
        <w:t>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16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2.12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2.13 "Compensation" means:</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2.13.1</w:t>
      </w:r>
      <w:r>
        <w:rPr>
          <w:sz w:val="20"/>
          <w:szCs w:val="20"/>
          <w:color w:val="auto"/>
        </w:rPr>
        <w:tab/>
      </w:r>
      <w:r>
        <w:rPr>
          <w:rFonts w:ascii="Courier New" w:cs="Courier New" w:eastAsia="Courier New" w:hAnsi="Courier New"/>
          <w:sz w:val="15"/>
          <w:szCs w:val="15"/>
          <w:color w:val="auto"/>
        </w:rPr>
        <w:t>In the case of an Outside Director, the total cash remuneration for services as a member of the Board and as a member of any Committee of the Board; and</w:t>
      </w:r>
    </w:p>
    <w:p>
      <w:pPr>
        <w:spacing w:after="0" w:line="175"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2.13.2</w:t>
      </w:r>
      <w:r>
        <w:rPr>
          <w:sz w:val="20"/>
          <w:szCs w:val="20"/>
          <w:color w:val="auto"/>
        </w:rPr>
        <w:tab/>
      </w:r>
      <w:r>
        <w:rPr>
          <w:rFonts w:ascii="Courier New" w:cs="Courier New" w:eastAsia="Courier New" w:hAnsi="Courier New"/>
          <w:sz w:val="15"/>
          <w:szCs w:val="15"/>
          <w:color w:val="auto"/>
        </w:rPr>
        <w:t>In the case of an Eligible Employee, the total cash remuneration for services payable by a Participating Company, excluding sales commissions or other similar payments or awards.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2.14 "Deceased Participant" means:</w:t>
      </w:r>
    </w:p>
    <w:p>
      <w:pPr>
        <w:spacing w:after="0" w:line="174" w:lineRule="exact"/>
        <w:rPr>
          <w:sz w:val="20"/>
          <w:szCs w:val="20"/>
          <w:color w:val="auto"/>
        </w:rPr>
      </w:pPr>
    </w:p>
    <w:p>
      <w:pPr>
        <w:jc w:val="both"/>
        <w:ind w:left="1760" w:right="3119" w:hanging="887"/>
        <w:spacing w:after="0" w:line="264" w:lineRule="auto"/>
        <w:tabs>
          <w:tab w:leader="none" w:pos="1740" w:val="left"/>
        </w:tabs>
        <w:rPr>
          <w:sz w:val="20"/>
          <w:szCs w:val="20"/>
          <w:color w:val="auto"/>
        </w:rPr>
      </w:pPr>
      <w:r>
        <w:rPr>
          <w:rFonts w:ascii="Courier New" w:cs="Courier New" w:eastAsia="Courier New" w:hAnsi="Courier New"/>
          <w:sz w:val="15"/>
          <w:szCs w:val="15"/>
          <w:color w:val="auto"/>
        </w:rPr>
        <w:t>2.14.1</w:t>
      </w:r>
      <w:r>
        <w:rPr>
          <w:sz w:val="20"/>
          <w:szCs w:val="20"/>
          <w:color w:val="auto"/>
        </w:rPr>
        <w:tab/>
      </w:r>
      <w:r>
        <w:rPr>
          <w:rFonts w:ascii="Courier New" w:cs="Courier New" w:eastAsia="Courier New" w:hAnsi="Courier New"/>
          <w:sz w:val="14"/>
          <w:szCs w:val="14"/>
          <w:color w:val="auto"/>
        </w:rPr>
        <w:t>A Participant whose employment, or, in the case of a Participant who was an Outside Director, a Participant whose service as an Outside Director, is terminated by death; or</w:t>
      </w:r>
    </w:p>
    <w:p>
      <w:pPr>
        <w:spacing w:after="0" w:line="159" w:lineRule="exact"/>
        <w:rPr>
          <w:sz w:val="20"/>
          <w:szCs w:val="20"/>
          <w:color w:val="auto"/>
        </w:rPr>
      </w:pPr>
    </w:p>
    <w:p>
      <w:pPr>
        <w:jc w:val="both"/>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2.14.2</w:t>
      </w:r>
      <w:r>
        <w:rPr>
          <w:sz w:val="20"/>
          <w:szCs w:val="20"/>
          <w:color w:val="auto"/>
        </w:rPr>
        <w:tab/>
      </w:r>
      <w:r>
        <w:rPr>
          <w:rFonts w:ascii="Courier New" w:cs="Courier New" w:eastAsia="Courier New" w:hAnsi="Courier New"/>
          <w:sz w:val="15"/>
          <w:szCs w:val="15"/>
          <w:color w:val="auto"/>
        </w:rPr>
        <w:t>An Inactive Participant who dies following termination of active service.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 "Disabled Participant" means:</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2.15.1</w:t>
      </w:r>
      <w:r>
        <w:rPr>
          <w:sz w:val="20"/>
          <w:szCs w:val="20"/>
          <w:color w:val="auto"/>
        </w:rPr>
        <w:tab/>
      </w:r>
      <w:r>
        <w:rPr>
          <w:rFonts w:ascii="Courier New" w:cs="Courier New" w:eastAsia="Courier New" w:hAnsi="Courier New"/>
          <w:sz w:val="15"/>
          <w:szCs w:val="15"/>
          <w:color w:val="auto"/>
        </w:rPr>
        <w:t>A Participant whose employment or, in the case of a Participant who is an Outside Director, a Participant whose service as an Outside Director, is terminated by reason of disability;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13" w:name="page114"/>
    <w:bookmarkEnd w:id="113"/>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2.15.2</w:t>
      </w:r>
      <w:r>
        <w:rPr>
          <w:sz w:val="20"/>
          <w:szCs w:val="20"/>
          <w:color w:val="auto"/>
        </w:rPr>
        <w:tab/>
      </w:r>
      <w:r>
        <w:rPr>
          <w:rFonts w:ascii="Courier New" w:cs="Courier New" w:eastAsia="Courier New" w:hAnsi="Courier New"/>
          <w:sz w:val="15"/>
          <w:szCs w:val="15"/>
          <w:color w:val="auto"/>
        </w:rPr>
        <w:t>An Inactive Participant who becomes disabled (as determined by the Committee) following termination of active service; or</w:t>
      </w:r>
    </w:p>
    <w:p>
      <w:pPr>
        <w:spacing w:after="0" w:line="175"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2.15.3</w:t>
      </w:r>
      <w:r>
        <w:rPr>
          <w:sz w:val="20"/>
          <w:szCs w:val="20"/>
          <w:color w:val="auto"/>
        </w:rPr>
        <w:tab/>
      </w:r>
      <w:r>
        <w:rPr>
          <w:rFonts w:ascii="Courier New" w:cs="Courier New" w:eastAsia="Courier New" w:hAnsi="Courier New"/>
          <w:sz w:val="15"/>
          <w:szCs w:val="15"/>
          <w:color w:val="auto"/>
        </w:rPr>
        <w:t>The duly-appointed legal guardian of an individual described in Section 2.15.1 or 2.15.2 acting on behalf of such individual.</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2.16 "Election" means a written election on a form provided by the Administrator, filed with the Administrator in accordance with Article 3, pursuant to which an Outside Director or an Eligible Employee may:</w:t>
      </w:r>
    </w:p>
    <w:p>
      <w:pPr>
        <w:spacing w:after="0" w:line="175"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2.16.1</w:t>
      </w:r>
      <w:r>
        <w:rPr>
          <w:sz w:val="20"/>
          <w:szCs w:val="20"/>
          <w:color w:val="auto"/>
        </w:rPr>
        <w:tab/>
      </w:r>
      <w:r>
        <w:rPr>
          <w:rFonts w:ascii="Courier New" w:cs="Courier New" w:eastAsia="Courier New" w:hAnsi="Courier New"/>
          <w:sz w:val="15"/>
          <w:szCs w:val="15"/>
          <w:color w:val="auto"/>
        </w:rPr>
        <w:t>Elect to defer all or any portion of the Compensation payable for the performance of services as an Outside Director or as an Eligible Employee following the time that such election is filed;</w:t>
      </w:r>
    </w:p>
    <w:p>
      <w:pPr>
        <w:spacing w:after="0" w:line="176" w:lineRule="exact"/>
        <w:rPr>
          <w:sz w:val="20"/>
          <w:szCs w:val="20"/>
          <w:color w:val="auto"/>
        </w:rPr>
      </w:pPr>
    </w:p>
    <w:p>
      <w:pPr>
        <w:jc w:val="both"/>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2.16.2</w:t>
      </w:r>
      <w:r>
        <w:rPr>
          <w:sz w:val="20"/>
          <w:szCs w:val="20"/>
          <w:color w:val="auto"/>
        </w:rPr>
        <w:tab/>
      </w:r>
      <w:r>
        <w:rPr>
          <w:rFonts w:ascii="Courier New" w:cs="Courier New" w:eastAsia="Courier New" w:hAnsi="Courier New"/>
          <w:sz w:val="15"/>
          <w:szCs w:val="15"/>
          <w:color w:val="auto"/>
        </w:rPr>
        <w:t>Designate the time that part or all of the Account shall be distributed; and</w:t>
      </w:r>
    </w:p>
    <w:p>
      <w:pPr>
        <w:spacing w:after="0" w:line="175" w:lineRule="exact"/>
        <w:rPr>
          <w:sz w:val="20"/>
          <w:szCs w:val="20"/>
          <w:color w:val="auto"/>
        </w:rPr>
      </w:pPr>
    </w:p>
    <w:p>
      <w:pPr>
        <w:jc w:val="both"/>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2.16.3</w:t>
      </w:r>
      <w:r>
        <w:rPr>
          <w:sz w:val="20"/>
          <w:szCs w:val="20"/>
          <w:color w:val="auto"/>
        </w:rPr>
        <w:tab/>
      </w:r>
      <w:r>
        <w:rPr>
          <w:rFonts w:ascii="Courier New" w:cs="Courier New" w:eastAsia="Courier New" w:hAnsi="Courier New"/>
          <w:sz w:val="15"/>
          <w:szCs w:val="15"/>
          <w:color w:val="auto"/>
        </w:rPr>
        <w:t>Designate the manner in which income, gains and losses will be credited to the Account.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"Eligible Employee" means: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2.17.1</w:t>
      </w:r>
      <w:r>
        <w:rPr>
          <w:sz w:val="20"/>
          <w:szCs w:val="20"/>
          <w:color w:val="auto"/>
        </w:rPr>
        <w:tab/>
      </w:r>
      <w:r>
        <w:rPr>
          <w:rFonts w:ascii="Courier New" w:cs="Courier New" w:eastAsia="Courier New" w:hAnsi="Courier New"/>
          <w:sz w:val="14"/>
          <w:szCs w:val="14"/>
          <w:color w:val="auto"/>
        </w:rPr>
        <w:t>Each employee of a Participating Company who, as of December</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31, 1989, was eligible to participate in the Prior Plan;</w:t>
      </w:r>
    </w:p>
    <w:p>
      <w:pPr>
        <w:spacing w:after="0" w:line="174"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2.17.2</w:t>
      </w:r>
      <w:r>
        <w:rPr>
          <w:sz w:val="20"/>
          <w:szCs w:val="20"/>
          <w:color w:val="auto"/>
        </w:rPr>
        <w:tab/>
      </w:r>
      <w:r>
        <w:rPr>
          <w:rFonts w:ascii="Courier New" w:cs="Courier New" w:eastAsia="Courier New" w:hAnsi="Courier New"/>
          <w:sz w:val="15"/>
          <w:szCs w:val="15"/>
          <w:color w:val="auto"/>
        </w:rPr>
        <w:t>Each employee of a Participating Company who was, at any time before January 1, 1995, eligible to participate in the Prior Plan and whose Annual Rate of Pay is $90,000 or more as of both (1) the date on which an Election with respect to the deferral of Compensation is filed with the Administrator and (2) the first day of each calendar year beginning after December 31, 1994.</w:t>
      </w:r>
    </w:p>
    <w:p>
      <w:pPr>
        <w:spacing w:after="0" w:line="176"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2.17.3</w:t>
      </w:r>
      <w:r>
        <w:rPr>
          <w:sz w:val="20"/>
          <w:szCs w:val="20"/>
          <w:color w:val="auto"/>
        </w:rPr>
        <w:tab/>
      </w:r>
      <w:r>
        <w:rPr>
          <w:rFonts w:ascii="Courier New" w:cs="Courier New" w:eastAsia="Courier New" w:hAnsi="Courier New"/>
          <w:sz w:val="15"/>
          <w:szCs w:val="15"/>
          <w:color w:val="auto"/>
        </w:rPr>
        <w:t>Each employee of a Participating Company whose Annual Rate of Pay is $125,000 or more as of both (1) the date on which an Election is filed with the Administrator and (2) the first day of the Plan Year in which such Election is filed.</w:t>
      </w:r>
    </w:p>
    <w:p>
      <w:pPr>
        <w:spacing w:after="0" w:line="174"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2.17.4</w:t>
      </w:r>
      <w:r>
        <w:rPr>
          <w:sz w:val="20"/>
          <w:szCs w:val="20"/>
          <w:color w:val="auto"/>
        </w:rPr>
        <w:tab/>
      </w:r>
      <w:r>
        <w:rPr>
          <w:rFonts w:ascii="Courier New" w:cs="Courier New" w:eastAsia="Courier New" w:hAnsi="Courier New"/>
          <w:sz w:val="14"/>
          <w:szCs w:val="14"/>
          <w:color w:val="auto"/>
        </w:rPr>
        <w:t>Each New Key Employee.</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2.17.5</w:t>
      </w:r>
      <w:r>
        <w:rPr>
          <w:sz w:val="20"/>
          <w:szCs w:val="20"/>
          <w:color w:val="auto"/>
        </w:rPr>
        <w:tab/>
      </w:r>
      <w:r>
        <w:rPr>
          <w:rFonts w:ascii="Courier New" w:cs="Courier New" w:eastAsia="Courier New" w:hAnsi="Courier New"/>
          <w:sz w:val="15"/>
          <w:szCs w:val="15"/>
          <w:color w:val="auto"/>
        </w:rPr>
        <w:t>Each other employee of a Participating Company who is designated by the Committee, in its discretion, as an Eligible Employee.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14" w:name="page115"/>
    <w:bookmarkEnd w:id="114"/>
    <w:p>
      <w:pPr>
        <w:ind w:left="440"/>
        <w:spacing w:after="0"/>
        <w:rPr>
          <w:sz w:val="20"/>
          <w:szCs w:val="20"/>
          <w:color w:val="auto"/>
        </w:rPr>
      </w:pPr>
      <w:r>
        <w:rPr>
          <w:rFonts w:ascii="Courier New" w:cs="Courier New" w:eastAsia="Courier New" w:hAnsi="Courier New"/>
          <w:sz w:val="15"/>
          <w:szCs w:val="15"/>
          <w:color w:val="auto"/>
        </w:rPr>
        <w:t>2.18 "Fair Market Value."</w:t>
      </w:r>
    </w:p>
    <w:p>
      <w:pPr>
        <w:spacing w:after="0" w:line="174"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2.18.1</w:t>
      </w:r>
      <w:r>
        <w:rPr>
          <w:sz w:val="20"/>
          <w:szCs w:val="20"/>
          <w:color w:val="auto"/>
        </w:rPr>
        <w:tab/>
      </w:r>
      <w:r>
        <w:rPr>
          <w:rFonts w:ascii="Courier New" w:cs="Courier New" w:eastAsia="Courier New" w:hAnsi="Courier New"/>
          <w:sz w:val="15"/>
          <w:szCs w:val="15"/>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2.18.2</w:t>
      </w:r>
      <w:r>
        <w:rPr>
          <w:sz w:val="20"/>
          <w:szCs w:val="20"/>
          <w:color w:val="auto"/>
        </w:rPr>
        <w:tab/>
      </w:r>
      <w:r>
        <w:rPr>
          <w:rFonts w:ascii="Courier New" w:cs="Courier New" w:eastAsia="Courier New" w:hAnsi="Courier New"/>
          <w:sz w:val="15"/>
          <w:szCs w:val="15"/>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76"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2.18.3</w:t>
      </w:r>
      <w:r>
        <w:rPr>
          <w:sz w:val="20"/>
          <w:szCs w:val="20"/>
          <w:color w:val="auto"/>
        </w:rPr>
        <w:tab/>
      </w:r>
      <w:r>
        <w:rPr>
          <w:rFonts w:ascii="Courier New" w:cs="Courier New" w:eastAsia="Courier New" w:hAnsi="Courier New"/>
          <w:sz w:val="15"/>
          <w:szCs w:val="15"/>
          <w:color w:val="auto"/>
        </w:rPr>
        <w:t>If shares of Company Stock are not so listed nor trades of Shares so reported, Fair Market value shall be determined by the Committee in good faith.</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2.19 "Former Eligible Employee" means an employee of a Participating Company who, as of any relevant date, does not satisfy the requirements of an "Eligible Employee" but who previously met such requirements under the Plan or the Prior Plan.</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2.20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2.21 "Hardship" means a Participant's serious financial hardship, as determined by the Board on a uniform and nondiscriminatory basis pursuant to the Participant's request under Section 7.3.</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2.22 "Inactive Participant" means each Participant who is not in active service as an Outside Director and is not actively employed by a Participating Company.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2.23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2.24 "Insider" means an Eligible Employee or Outside Director who is subject to the short-swing profit recapture rules of section 16(b) of the Securities Exchange Act of 1934, as amended.</w:t>
      </w:r>
    </w:p>
    <w:p>
      <w:pPr>
        <w:sectPr>
          <w:pgSz w:w="11900" w:h="16838" w:orient="portrait"/>
          <w:cols w:equalWidth="0" w:num="1">
            <w:col w:w="10219"/>
          </w:cols>
          <w:pgMar w:left="240" w:top="628" w:right="1440" w:bottom="1440" w:gutter="0" w:footer="0" w:header="0"/>
        </w:sectPr>
      </w:pPr>
    </w:p>
    <w:p>
      <w:pPr>
        <w:spacing w:after="0" w:line="175" w:lineRule="exact"/>
        <w:rPr>
          <w:sz w:val="20"/>
          <w:szCs w:val="20"/>
          <w:color w:val="auto"/>
        </w:rPr>
      </w:pPr>
    </w:p>
    <w:p>
      <w:pPr>
        <w:ind w:firstLine="444"/>
        <w:spacing w:after="0" w:line="239" w:lineRule="auto"/>
        <w:rPr>
          <w:sz w:val="20"/>
          <w:szCs w:val="20"/>
          <w:color w:val="auto"/>
        </w:rPr>
      </w:pPr>
      <w:r>
        <w:rPr>
          <w:rFonts w:ascii="Courier New" w:cs="Courier New" w:eastAsia="Courier New" w:hAnsi="Courier New"/>
          <w:sz w:val="15"/>
          <w:szCs w:val="15"/>
          <w:color w:val="auto"/>
        </w:rPr>
        <w:t>2.25 "New Key Employee" means each hired on or after August 15, 1996 whose is $125,000 or more.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19" w:firstLine="89"/>
        <w:spacing w:after="0" w:line="271" w:lineRule="auto"/>
        <w:rPr>
          <w:sz w:val="20"/>
          <w:szCs w:val="20"/>
          <w:color w:val="auto"/>
        </w:rPr>
      </w:pPr>
      <w:r>
        <w:rPr>
          <w:rFonts w:ascii="Courier New" w:cs="Courier New" w:eastAsia="Courier New" w:hAnsi="Courier New"/>
          <w:sz w:val="14"/>
          <w:szCs w:val="14"/>
          <w:color w:val="auto"/>
        </w:rPr>
        <w:t>employee of a Participating Company annual rate of pay on his date of hire</w:t>
      </w:r>
    </w:p>
    <w:p>
      <w:pPr>
        <w:spacing w:after="0" w:line="349" w:lineRule="exact"/>
        <w:rPr>
          <w:sz w:val="20"/>
          <w:szCs w:val="20"/>
          <w:color w:val="auto"/>
        </w:rPr>
      </w:pPr>
    </w:p>
    <w:p>
      <w:pPr>
        <w:sectPr>
          <w:pgSz w:w="11900" w:h="16838" w:orient="portrait"/>
          <w:cols w:equalWidth="0" w:num="2">
            <w:col w:w="3620" w:space="100"/>
            <w:col w:w="6499"/>
          </w:cols>
          <w:pgMar w:left="240" w:top="628" w:right="1440" w:bottom="1440" w:gutter="0" w:footer="0" w:header="0"/>
          <w:type w:val="continuous"/>
        </w:sectPr>
      </w:pPr>
    </w:p>
    <w:p>
      <w:pPr>
        <w:spacing w:after="0" w:line="143"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28" w:right="1440" w:bottom="1440" w:gutter="0" w:footer="0" w:header="0"/>
          <w:type w:val="continuous"/>
        </w:sectPr>
      </w:pPr>
    </w:p>
    <w:bookmarkStart w:id="115" w:name="page116"/>
    <w:bookmarkEnd w:id="115"/>
    <w:p>
      <w:pPr>
        <w:ind w:left="440"/>
        <w:spacing w:after="0"/>
        <w:rPr>
          <w:sz w:val="20"/>
          <w:szCs w:val="20"/>
          <w:color w:val="auto"/>
        </w:rPr>
      </w:pPr>
      <w:r>
        <w:rPr>
          <w:rFonts w:ascii="Courier New" w:cs="Courier New" w:eastAsia="Courier New" w:hAnsi="Courier New"/>
          <w:sz w:val="15"/>
          <w:szCs w:val="15"/>
          <w:color w:val="auto"/>
        </w:rPr>
        <w:t>2.26 "Normal Retirement" means:</w:t>
      </w:r>
    </w:p>
    <w:p>
      <w:pPr>
        <w:spacing w:after="0" w:line="174" w:lineRule="exact"/>
        <w:rPr>
          <w:sz w:val="20"/>
          <w:szCs w:val="20"/>
          <w:color w:val="auto"/>
        </w:rPr>
      </w:pPr>
    </w:p>
    <w:p>
      <w:pPr>
        <w:jc w:val="both"/>
        <w:ind w:left="1760" w:right="3119" w:hanging="887"/>
        <w:spacing w:after="0" w:line="261" w:lineRule="auto"/>
        <w:tabs>
          <w:tab w:leader="none" w:pos="1740" w:val="left"/>
        </w:tabs>
        <w:rPr>
          <w:sz w:val="20"/>
          <w:szCs w:val="20"/>
          <w:color w:val="auto"/>
        </w:rPr>
      </w:pPr>
      <w:r>
        <w:rPr>
          <w:rFonts w:ascii="Courier New" w:cs="Courier New" w:eastAsia="Courier New" w:hAnsi="Courier New"/>
          <w:sz w:val="15"/>
          <w:szCs w:val="15"/>
          <w:color w:val="auto"/>
        </w:rPr>
        <w:t>2.26.1</w:t>
      </w:r>
      <w:r>
        <w:rPr>
          <w:sz w:val="20"/>
          <w:szCs w:val="20"/>
          <w:color w:val="auto"/>
        </w:rPr>
        <w:tab/>
      </w:r>
      <w:r>
        <w:rPr>
          <w:rFonts w:ascii="Courier New" w:cs="Courier New" w:eastAsia="Courier New" w:hAnsi="Courier New"/>
          <w:sz w:val="14"/>
          <w:szCs w:val="14"/>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62"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2.26.2</w:t>
      </w:r>
      <w:r>
        <w:rPr>
          <w:sz w:val="20"/>
          <w:szCs w:val="20"/>
          <w:color w:val="auto"/>
        </w:rPr>
        <w:tab/>
      </w:r>
      <w:r>
        <w:rPr>
          <w:rFonts w:ascii="Courier New" w:cs="Courier New" w:eastAsia="Courier New" w:hAnsi="Courier New"/>
          <w:sz w:val="15"/>
          <w:szCs w:val="15"/>
          <w:color w:val="auto"/>
        </w:rPr>
        <w:t>For a Participant who is an Outside Director immediately preceding his termination of service, his normal retirement from the Board.</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2.27 "Outside Director" means a member of the Board who is not an employee of a Participating Company.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2.28 "Parent Company" means all corporations that, at the time in question, are parent corporations of the Company within the meaning of section 424(e) of the Code.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2.29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2.30 "Participating Company" means: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2.30.1</w:t>
      </w:r>
      <w:r>
        <w:rPr>
          <w:sz w:val="20"/>
          <w:szCs w:val="20"/>
          <w:color w:val="auto"/>
        </w:rPr>
        <w:tab/>
      </w:r>
      <w:r>
        <w:rPr>
          <w:rFonts w:ascii="Courier New" w:cs="Courier New" w:eastAsia="Courier New" w:hAnsi="Courier New"/>
          <w:sz w:val="14"/>
          <w:szCs w:val="14"/>
          <w:color w:val="auto"/>
        </w:rPr>
        <w:t>the Company;</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2.30.2</w:t>
      </w:r>
      <w:r>
        <w:rPr>
          <w:sz w:val="20"/>
          <w:szCs w:val="20"/>
          <w:color w:val="auto"/>
        </w:rPr>
        <w:tab/>
      </w:r>
      <w:r>
        <w:rPr>
          <w:rFonts w:ascii="Courier New" w:cs="Courier New" w:eastAsia="Courier New" w:hAnsi="Courier New"/>
          <w:sz w:val="14"/>
          <w:szCs w:val="14"/>
          <w:color w:val="auto"/>
        </w:rPr>
        <w:t>Comcast Cable Communications, Inc. and its subsidiaries;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2.30.3</w:t>
      </w:r>
      <w:r>
        <w:rPr>
          <w:sz w:val="20"/>
          <w:szCs w:val="20"/>
          <w:color w:val="auto"/>
        </w:rPr>
        <w:tab/>
      </w:r>
      <w:r>
        <w:rPr>
          <w:rFonts w:ascii="Courier New" w:cs="Courier New" w:eastAsia="Courier New" w:hAnsi="Courier New"/>
          <w:sz w:val="14"/>
          <w:szCs w:val="14"/>
          <w:color w:val="auto"/>
        </w:rPr>
        <w:t>Comcast Cellular Communications, Inc. and its subsidiaries;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2.30.4</w:t>
      </w:r>
      <w:r>
        <w:rPr>
          <w:sz w:val="20"/>
          <w:szCs w:val="20"/>
          <w:color w:val="auto"/>
        </w:rPr>
        <w:tab/>
      </w:r>
      <w:r>
        <w:rPr>
          <w:rFonts w:ascii="Courier New" w:cs="Courier New" w:eastAsia="Courier New" w:hAnsi="Courier New"/>
          <w:sz w:val="14"/>
          <w:szCs w:val="14"/>
          <w:color w:val="auto"/>
        </w:rPr>
        <w:t>Comcast International Holdings, Inc.;</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2.30.5</w:t>
      </w:r>
      <w:r>
        <w:rPr>
          <w:sz w:val="20"/>
          <w:szCs w:val="20"/>
          <w:color w:val="auto"/>
        </w:rPr>
        <w:tab/>
      </w:r>
      <w:r>
        <w:rPr>
          <w:rFonts w:ascii="Courier New" w:cs="Courier New" w:eastAsia="Courier New" w:hAnsi="Courier New"/>
          <w:sz w:val="14"/>
          <w:szCs w:val="14"/>
          <w:color w:val="auto"/>
        </w:rPr>
        <w:t>Comcast UK Cable Partners Consulting, Inc.;</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2.30.6</w:t>
      </w:r>
      <w:r>
        <w:rPr>
          <w:sz w:val="20"/>
          <w:szCs w:val="20"/>
          <w:color w:val="auto"/>
        </w:rPr>
        <w:tab/>
      </w:r>
      <w:r>
        <w:rPr>
          <w:rFonts w:ascii="Courier New" w:cs="Courier New" w:eastAsia="Courier New" w:hAnsi="Courier New"/>
          <w:sz w:val="14"/>
          <w:szCs w:val="14"/>
          <w:color w:val="auto"/>
        </w:rPr>
        <w:t>Comcast Online Communications, Inc.;</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2.30.7</w:t>
      </w:r>
      <w:r>
        <w:rPr>
          <w:sz w:val="20"/>
          <w:szCs w:val="20"/>
          <w:color w:val="auto"/>
        </w:rPr>
        <w:tab/>
      </w:r>
      <w:r>
        <w:rPr>
          <w:rFonts w:ascii="Courier New" w:cs="Courier New" w:eastAsia="Courier New" w:hAnsi="Courier New"/>
          <w:sz w:val="14"/>
          <w:szCs w:val="14"/>
          <w:color w:val="auto"/>
        </w:rPr>
        <w:t>Comcast Satellite Communications, Inc.;</w:t>
      </w:r>
    </w:p>
    <w:p>
      <w:pPr>
        <w:spacing w:after="0" w:line="174" w:lineRule="exact"/>
        <w:rPr>
          <w:sz w:val="20"/>
          <w:szCs w:val="20"/>
          <w:color w:val="auto"/>
        </w:rPr>
      </w:pPr>
    </w:p>
    <w:p>
      <w:pPr>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2.30.8</w:t>
      </w:r>
      <w:r>
        <w:rPr>
          <w:sz w:val="20"/>
          <w:szCs w:val="20"/>
          <w:color w:val="auto"/>
        </w:rPr>
        <w:tab/>
      </w:r>
      <w:r>
        <w:rPr>
          <w:rFonts w:ascii="Courier New" w:cs="Courier New" w:eastAsia="Courier New" w:hAnsi="Courier New"/>
          <w:sz w:val="15"/>
          <w:szCs w:val="15"/>
          <w:color w:val="auto"/>
        </w:rPr>
        <w:t>Comcast Telephony Communications, Inc. and its subsidiaries; and</w:t>
      </w:r>
    </w:p>
    <w:p>
      <w:pPr>
        <w:spacing w:after="0" w:line="175" w:lineRule="exact"/>
        <w:rPr>
          <w:sz w:val="20"/>
          <w:szCs w:val="20"/>
          <w:color w:val="auto"/>
        </w:rPr>
      </w:pPr>
    </w:p>
    <w:p>
      <w:pPr>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2.30.9</w:t>
      </w:r>
      <w:r>
        <w:rPr>
          <w:sz w:val="20"/>
          <w:szCs w:val="20"/>
          <w:color w:val="auto"/>
        </w:rPr>
        <w:tab/>
      </w:r>
      <w:r>
        <w:rPr>
          <w:rFonts w:ascii="Courier New" w:cs="Courier New" w:eastAsia="Courier New" w:hAnsi="Courier New"/>
          <w:sz w:val="15"/>
          <w:szCs w:val="15"/>
          <w:color w:val="auto"/>
        </w:rPr>
        <w:t>any other entities identified in the discretion of the Subcommittee.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28" w:right="1440" w:bottom="1440" w:gutter="0" w:footer="0" w:header="0"/>
        </w:sectPr>
      </w:pPr>
    </w:p>
    <w:bookmarkStart w:id="116" w:name="page117"/>
    <w:bookmarkEnd w:id="116"/>
    <w:p>
      <w:pPr>
        <w:ind w:left="440"/>
        <w:spacing w:after="0"/>
        <w:tabs>
          <w:tab w:leader="none" w:pos="940" w:val="left"/>
          <w:tab w:leader="none" w:pos="1840" w:val="left"/>
          <w:tab w:leader="none" w:pos="2720" w:val="left"/>
          <w:tab w:leader="none" w:pos="3880" w:val="left"/>
          <w:tab w:leader="none" w:pos="4140" w:val="left"/>
        </w:tabs>
        <w:rPr>
          <w:sz w:val="20"/>
          <w:szCs w:val="20"/>
          <w:color w:val="auto"/>
        </w:rPr>
      </w:pPr>
      <w:r>
        <w:rPr>
          <w:rFonts w:ascii="Courier New" w:cs="Courier New" w:eastAsia="Courier New" w:hAnsi="Courier New"/>
          <w:sz w:val="15"/>
          <w:szCs w:val="15"/>
          <w:color w:val="auto"/>
        </w:rPr>
        <w:t>2.31</w:t>
        <w:tab/>
        <w:t>"Person"</w:t>
        <w:tab/>
        <w:t>means an</w:t>
        <w:tab/>
        <w:t>individual,</w:t>
        <w:tab/>
        <w:t>a</w:t>
      </w:r>
      <w:r>
        <w:rPr>
          <w:sz w:val="20"/>
          <w:szCs w:val="20"/>
          <w:color w:val="auto"/>
        </w:rPr>
        <w:tab/>
      </w:r>
      <w:r>
        <w:rPr>
          <w:rFonts w:ascii="Courier New" w:cs="Courier New" w:eastAsia="Courier New" w:hAnsi="Courier New"/>
          <w:sz w:val="14"/>
          <w:szCs w:val="14"/>
          <w:color w:val="auto"/>
        </w:rPr>
        <w:t>corporation,</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a</w:t>
        <w:tab/>
        <w:t>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w:t>
      </w:r>
    </w:p>
    <w:p>
      <w:pPr>
        <w:spacing w:after="0" w:line="3" w:lineRule="exact"/>
        <w:rPr>
          <w:sz w:val="20"/>
          <w:szCs w:val="20"/>
          <w:color w:val="auto"/>
        </w:rPr>
      </w:pPr>
    </w:p>
    <w:p>
      <w:pPr>
        <w:sectPr>
          <w:pgSz w:w="11900" w:h="16838" w:orient="portrait"/>
          <w:cols w:equalWidth="0" w:num="3">
            <w:col w:w="5220" w:space="180"/>
            <w:col w:w="1340" w:space="180"/>
            <w:col w:w="3299"/>
          </w:cols>
          <w:pgMar w:left="240" w:top="628"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association, a trust or any other entity or organization.</w:t>
      </w:r>
    </w:p>
    <w:p>
      <w:pPr>
        <w:sectPr>
          <w:pgSz w:w="11900" w:h="16838" w:orient="portrait"/>
          <w:cols w:equalWidth="0" w:num="1">
            <w:col w:w="10219"/>
          </w:cols>
          <w:pgMar w:left="240" w:top="628" w:right="1440" w:bottom="1440" w:gutter="0" w:footer="0" w:header="0"/>
          <w:type w:val="continuous"/>
        </w:sectPr>
      </w:pPr>
    </w:p>
    <w:p>
      <w:pPr>
        <w:spacing w:after="0" w:line="183" w:lineRule="exact"/>
        <w:rPr>
          <w:sz w:val="20"/>
          <w:szCs w:val="20"/>
          <w:color w:val="auto"/>
        </w:rPr>
      </w:pPr>
    </w:p>
    <w:p>
      <w:pPr>
        <w:ind w:firstLine="444"/>
        <w:spacing w:after="0" w:line="271" w:lineRule="auto"/>
        <w:rPr>
          <w:sz w:val="20"/>
          <w:szCs w:val="20"/>
          <w:color w:val="auto"/>
        </w:rPr>
      </w:pPr>
      <w:r>
        <w:rPr>
          <w:rFonts w:ascii="Courier New" w:cs="Courier New" w:eastAsia="Courier New" w:hAnsi="Courier New"/>
          <w:sz w:val="14"/>
          <w:szCs w:val="14"/>
          <w:color w:val="auto"/>
        </w:rPr>
        <w:t>2.32 "Plan" means the Comcast Corporation 1996 Deferred as set forth herein, and as may be amended from time to time.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Plan,</w:t>
      </w:r>
    </w:p>
    <w:p>
      <w:pPr>
        <w:spacing w:after="0" w:line="350" w:lineRule="exact"/>
        <w:rPr>
          <w:sz w:val="20"/>
          <w:szCs w:val="20"/>
          <w:color w:val="auto"/>
        </w:rPr>
      </w:pPr>
    </w:p>
    <w:p>
      <w:pPr>
        <w:sectPr>
          <w:pgSz w:w="11900" w:h="16838" w:orient="portrait"/>
          <w:cols w:equalWidth="0" w:num="2">
            <w:col w:w="5400" w:space="100"/>
            <w:col w:w="4719"/>
          </w:cols>
          <w:pgMar w:left="240" w:top="62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2.33 "Plan Year" means the calendar year.</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2.34 "Prime Rate" means the annual rate of interest identified by PNC Bank as its prime rate as of a Participant's employment termination date and as of the first day of each calendar year beginning thereafter.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2.35 "Prior Plan" means the Comcast Corporation Deferred Compensation Plan.</w:t>
      </w:r>
    </w:p>
    <w:p>
      <w:pPr>
        <w:spacing w:after="0" w:line="183"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2.36 "Retired Participant" means a Participant who has terminated service pursuant to a Normal Retirement.</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2.37 "Roberts Family." Each of the following is a member of the Roberts Family:</w:t>
      </w:r>
    </w:p>
    <w:p>
      <w:pPr>
        <w:spacing w:after="0" w:line="172"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2.37.1</w:t>
      </w:r>
      <w:r>
        <w:rPr>
          <w:sz w:val="20"/>
          <w:szCs w:val="20"/>
          <w:color w:val="auto"/>
        </w:rPr>
        <w:tab/>
      </w:r>
      <w:r>
        <w:rPr>
          <w:rFonts w:ascii="Courier New" w:cs="Courier New" w:eastAsia="Courier New" w:hAnsi="Courier New"/>
          <w:sz w:val="14"/>
          <w:szCs w:val="14"/>
          <w:color w:val="auto"/>
        </w:rPr>
        <w:t>Ralph J. Roberts;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2.37.2</w:t>
      </w:r>
      <w:r>
        <w:rPr>
          <w:sz w:val="20"/>
          <w:szCs w:val="20"/>
          <w:color w:val="auto"/>
        </w:rPr>
        <w:tab/>
      </w:r>
      <w:r>
        <w:rPr>
          <w:rFonts w:ascii="Courier New" w:cs="Courier New" w:eastAsia="Courier New" w:hAnsi="Courier New"/>
          <w:sz w:val="14"/>
          <w:szCs w:val="14"/>
          <w:color w:val="auto"/>
        </w:rPr>
        <w:t>A lineal descendant of Ralph J. Roberts; or</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2.37.3</w:t>
      </w:r>
      <w:r>
        <w:rPr>
          <w:sz w:val="20"/>
          <w:szCs w:val="20"/>
          <w:color w:val="auto"/>
        </w:rPr>
        <w:tab/>
      </w:r>
      <w:r>
        <w:rPr>
          <w:rFonts w:ascii="Courier New" w:cs="Courier New" w:eastAsia="Courier New" w:hAnsi="Courier New"/>
          <w:sz w:val="15"/>
          <w:szCs w:val="15"/>
          <w:color w:val="auto"/>
        </w:rPr>
        <w:t>A trust established for the benefit of any of Ralph J. Roberts and/or a lineal descendant or descendants of Ralph J. Roberts.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2.38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2.39 "Subsidiary Companies" means all corporations that, at the time in question, are subsidiary corporations of the Company within the meaning of section 424(f) of the Code.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2.40 "Terminating Event" means any of the following events:</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2.40.1</w:t>
      </w:r>
      <w:r>
        <w:rPr>
          <w:sz w:val="20"/>
          <w:szCs w:val="20"/>
          <w:color w:val="auto"/>
        </w:rPr>
        <w:tab/>
      </w:r>
      <w:r>
        <w:rPr>
          <w:rFonts w:ascii="Courier New" w:cs="Courier New" w:eastAsia="Courier New" w:hAnsi="Courier New"/>
          <w:sz w:val="14"/>
          <w:szCs w:val="14"/>
          <w:color w:val="auto"/>
        </w:rPr>
        <w:t>The liquidation of the Company; or</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2.40.2</w:t>
      </w:r>
      <w:r>
        <w:rPr>
          <w:sz w:val="20"/>
          <w:szCs w:val="20"/>
          <w:color w:val="auto"/>
        </w:rPr>
        <w:tab/>
      </w:r>
      <w:r>
        <w:rPr>
          <w:rFonts w:ascii="Courier New" w:cs="Courier New" w:eastAsia="Courier New" w:hAnsi="Courier New"/>
          <w:sz w:val="14"/>
          <w:szCs w:val="14"/>
          <w:color w:val="auto"/>
        </w:rPr>
        <w:t>A Change of Control.</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28" w:right="1440" w:bottom="1440" w:gutter="0" w:footer="0" w:header="0"/>
          <w:type w:val="continuous"/>
        </w:sectPr>
      </w:pPr>
    </w:p>
    <w:bookmarkStart w:id="117" w:name="page118"/>
    <w:bookmarkEnd w:id="117"/>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2.41 "Third Party" means any Person, together with such Person's Affiliates, provided that the term "Third Party" shall not include the Company, an Affiliate of the Company or any member or members of the Roberts Family.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ELECTION TO DEFER COMPENSATION</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3.3 Filing of Elections by New Key Employees. Notwithstanding Section 3.1 and Section 3.2, a New Key Employee may elect to defer all or any portion of his or her compensation to be earned in the Plan Year in which the New Key Employee was hired, 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972" w:right="1440" w:bottom="1440" w:gutter="0" w:footer="0" w:header="0"/>
        </w:sectPr>
      </w:pPr>
    </w:p>
    <w:bookmarkStart w:id="118" w:name="page119"/>
    <w:bookmarkEnd w:id="118"/>
    <w:p>
      <w:pPr>
        <w:jc w:val="both"/>
        <w:ind w:right="3119"/>
        <w:spacing w:after="0"/>
        <w:rPr>
          <w:sz w:val="20"/>
          <w:szCs w:val="20"/>
          <w:color w:val="auto"/>
        </w:rPr>
      </w:pPr>
      <w:r>
        <w:rPr>
          <w:rFonts w:ascii="Courier New" w:cs="Courier New" w:eastAsia="Courier New" w:hAnsi="Courier New"/>
          <w:sz w:val="15"/>
          <w:szCs w:val="15"/>
          <w:color w:val="auto"/>
        </w:rPr>
        <w:t>Section 3.6.3, Section 3.6.4, Section 7.1, Section 7.2 or Section 7.3, no distribution may commence earlier than January 2nd of the second calendar year beginning after the date the Election is filed with the Administrator, nor later than January 2nd of the eleventh calendar year beginning after the date the Election is filed with the Administrator. Each Participant may select a form of distribution in accordance with Article 4.</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3.6 Designation of Payment Date.</w:t>
      </w:r>
    </w:p>
    <w:p>
      <w:pPr>
        <w:spacing w:after="0" w:line="174"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3.6.1</w:t>
      </w:r>
      <w:r>
        <w:rPr>
          <w:sz w:val="20"/>
          <w:szCs w:val="20"/>
          <w:color w:val="auto"/>
        </w:rPr>
        <w:tab/>
      </w:r>
      <w:r>
        <w:rPr>
          <w:rFonts w:ascii="Courier New" w:cs="Courier New" w:eastAsia="Courier New" w:hAnsi="Courier New"/>
          <w:sz w:val="15"/>
          <w:szCs w:val="15"/>
          <w:color w:val="auto"/>
        </w:rPr>
        <w:t>The designation of the time for distribution of benefits to begin under the Plan may vary with each separate Election, provided that except as otherwise provided in Section 3.6.3 or 3.6.4, no portion of a Participant's Account subject to distribution in installments pursuant to Section 4.1.2 or Section 4.1.3 may be deferred to a later date after such distribution has begun.</w:t>
      </w:r>
    </w:p>
    <w:p>
      <w:pPr>
        <w:spacing w:after="0" w:line="176" w:lineRule="exact"/>
        <w:rPr>
          <w:sz w:val="20"/>
          <w:szCs w:val="20"/>
          <w:color w:val="auto"/>
        </w:rPr>
      </w:pPr>
    </w:p>
    <w:p>
      <w:pPr>
        <w:jc w:val="both"/>
        <w:ind w:left="1760" w:right="3119" w:hanging="887"/>
        <w:spacing w:after="0" w:line="259" w:lineRule="auto"/>
        <w:tabs>
          <w:tab w:leader="none" w:pos="1740" w:val="left"/>
        </w:tabs>
        <w:rPr>
          <w:sz w:val="20"/>
          <w:szCs w:val="20"/>
          <w:color w:val="auto"/>
        </w:rPr>
      </w:pPr>
      <w:r>
        <w:rPr>
          <w:rFonts w:ascii="Courier New" w:cs="Courier New" w:eastAsia="Courier New" w:hAnsi="Courier New"/>
          <w:sz w:val="15"/>
          <w:szCs w:val="15"/>
          <w:color w:val="auto"/>
        </w:rPr>
        <w:t>3.6.2</w:t>
      </w:r>
      <w:r>
        <w:rPr>
          <w:sz w:val="20"/>
          <w:szCs w:val="20"/>
          <w:color w:val="auto"/>
        </w:rPr>
        <w:tab/>
      </w:r>
      <w:r>
        <w:rPr>
          <w:rFonts w:ascii="Courier New" w:cs="Courier New" w:eastAsia="Courier New" w:hAnsi="Courier New"/>
          <w:sz w:val="14"/>
          <w:szCs w:val="14"/>
          <w:color w:val="auto"/>
        </w:rPr>
        <w:t>Each Active Participant who has previously elected to receive a distribution of part or all of his or her Account, or who, pursuant to this Section 3.6.2, has elected to defer payment for an additional period from the originally-elected payment date, may elect to change the form of distribution or defer the time of payment of such amount to begin for a minimum of one and a maximum of ten additional years from the previously-elected payment date, by filing an Election with the Administrator on or before the close of business on June 30 of the Plan Year preceding the Plan Year in which the distribution would otherwise be made, provided that an Election applicable to the 1997 Plan Year shall not be effective unless it is filed with the Administrator on or before the close of business on October 15, 1996.</w:t>
      </w:r>
    </w:p>
    <w:p>
      <w:pPr>
        <w:spacing w:after="0" w:line="164"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3.6.3</w:t>
      </w:r>
      <w:r>
        <w:rPr>
          <w:sz w:val="20"/>
          <w:szCs w:val="20"/>
          <w:color w:val="auto"/>
        </w:rPr>
        <w:tab/>
      </w:r>
      <w:r>
        <w:rPr>
          <w:rFonts w:ascii="Courier New" w:cs="Courier New" w:eastAsia="Courier New" w:hAnsi="Courier New"/>
          <w:sz w:val="15"/>
          <w:szCs w:val="15"/>
          <w:color w:val="auto"/>
        </w:rPr>
        <w:t>A Deceased Participant's estate or beneficiary to whom the right to payment under the Plan shall have passed may elect to change the form of distribution from the form of distribution that payment of the Deceased Participant's Account would otherwise be made, and</w:t>
      </w:r>
    </w:p>
    <w:p>
      <w:pPr>
        <w:spacing w:after="0" w:line="174" w:lineRule="exact"/>
        <w:rPr>
          <w:sz w:val="20"/>
          <w:szCs w:val="20"/>
          <w:color w:val="auto"/>
        </w:rPr>
      </w:pPr>
    </w:p>
    <w:p>
      <w:pPr>
        <w:jc w:val="both"/>
        <w:ind w:left="2660" w:right="3119" w:hanging="886"/>
        <w:spacing w:after="0"/>
        <w:tabs>
          <w:tab w:leader="none" w:pos="2640" w:val="left"/>
        </w:tabs>
        <w:rPr>
          <w:sz w:val="20"/>
          <w:szCs w:val="20"/>
          <w:color w:val="auto"/>
        </w:rPr>
      </w:pPr>
      <w:r>
        <w:rPr>
          <w:rFonts w:ascii="Courier New" w:cs="Courier New" w:eastAsia="Courier New" w:hAnsi="Courier New"/>
          <w:sz w:val="15"/>
          <w:szCs w:val="15"/>
          <w:color w:val="auto"/>
        </w:rPr>
        <w:t>3.6.3.1</w:t>
      </w:r>
      <w:r>
        <w:rPr>
          <w:sz w:val="20"/>
          <w:szCs w:val="20"/>
          <w:color w:val="auto"/>
        </w:rPr>
        <w:tab/>
      </w:r>
      <w:r>
        <w:rPr>
          <w:rFonts w:ascii="Courier New" w:cs="Courier New" w:eastAsia="Courier New" w:hAnsi="Courier New"/>
          <w:sz w:val="15"/>
          <w:szCs w:val="15"/>
          <w:color w:val="auto"/>
        </w:rPr>
        <w:t>Defer the time of payment of the Deceased Participant's Account to begin for a minimum of one additional year from the date payment would otherwise begin (provided that if an Election is made pursuant to this Section 3.6.3.1, the</w:t>
      </w:r>
    </w:p>
    <w:p>
      <w:pPr>
        <w:spacing w:after="0" w:line="1" w:lineRule="exact"/>
        <w:rPr>
          <w:sz w:val="20"/>
          <w:szCs w:val="20"/>
          <w:color w:val="auto"/>
        </w:rPr>
      </w:pPr>
    </w:p>
    <w:p>
      <w:pPr>
        <w:ind w:left="2660"/>
        <w:spacing w:after="0"/>
        <w:tabs>
          <w:tab w:leader="none" w:pos="3700" w:val="left"/>
          <w:tab w:leader="none" w:pos="5200" w:val="left"/>
          <w:tab w:leader="none" w:pos="6180" w:val="left"/>
          <w:tab w:leader="none" w:pos="6900" w:val="left"/>
        </w:tabs>
        <w:rPr>
          <w:sz w:val="20"/>
          <w:szCs w:val="20"/>
          <w:color w:val="auto"/>
        </w:rPr>
      </w:pPr>
      <w:r>
        <w:rPr>
          <w:rFonts w:ascii="Courier New" w:cs="Courier New" w:eastAsia="Courier New" w:hAnsi="Courier New"/>
          <w:sz w:val="15"/>
          <w:szCs w:val="15"/>
          <w:color w:val="auto"/>
        </w:rPr>
        <w:t>Deceased</w:t>
      </w:r>
      <w:r>
        <w:rPr>
          <w:sz w:val="20"/>
          <w:szCs w:val="20"/>
          <w:color w:val="auto"/>
        </w:rPr>
        <w:tab/>
      </w: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5"/>
          <w:szCs w:val="15"/>
          <w:color w:val="auto"/>
        </w:rPr>
        <w:t>Account</w:t>
      </w:r>
      <w:r>
        <w:rPr>
          <w:sz w:val="20"/>
          <w:szCs w:val="20"/>
          <w:color w:val="auto"/>
        </w:rPr>
        <w:tab/>
      </w:r>
      <w:r>
        <w:rPr>
          <w:rFonts w:ascii="Courier New" w:cs="Courier New" w:eastAsia="Courier New" w:hAnsi="Courier New"/>
          <w:sz w:val="15"/>
          <w:szCs w:val="15"/>
          <w:color w:val="auto"/>
        </w:rPr>
        <w:t>shall</w:t>
      </w:r>
      <w:r>
        <w:rPr>
          <w:sz w:val="20"/>
          <w:szCs w:val="20"/>
          <w:color w:val="auto"/>
        </w:rPr>
        <w:tab/>
      </w:r>
      <w:r>
        <w:rPr>
          <w:rFonts w:ascii="Courier New" w:cs="Courier New" w:eastAsia="Courier New" w:hAnsi="Courier New"/>
          <w:sz w:val="15"/>
          <w:szCs w:val="15"/>
          <w:color w:val="auto"/>
        </w:rPr>
        <w:t>be</w:t>
      </w:r>
    </w:p>
    <w:p>
      <w:pPr>
        <w:spacing w:after="0" w:line="1" w:lineRule="exact"/>
        <w:rPr>
          <w:sz w:val="20"/>
          <w:szCs w:val="20"/>
          <w:color w:val="auto"/>
        </w:rPr>
      </w:pPr>
    </w:p>
    <w:p>
      <w:pPr>
        <w:ind w:left="2660"/>
        <w:spacing w:after="0"/>
        <w:tabs>
          <w:tab w:leader="none" w:pos="3880" w:val="left"/>
          <w:tab w:leader="none" w:pos="4240" w:val="left"/>
          <w:tab w:leader="none" w:pos="4760" w:val="left"/>
          <w:tab w:leader="none" w:pos="5120" w:val="left"/>
          <w:tab w:leader="none" w:pos="5480" w:val="left"/>
          <w:tab w:leader="none" w:pos="6180" w:val="left"/>
          <w:tab w:leader="none" w:pos="6620" w:val="left"/>
        </w:tabs>
        <w:rPr>
          <w:sz w:val="20"/>
          <w:szCs w:val="20"/>
          <w:color w:val="auto"/>
        </w:rPr>
      </w:pPr>
      <w:r>
        <w:rPr>
          <w:rFonts w:ascii="Courier New" w:cs="Courier New" w:eastAsia="Courier New" w:hAnsi="Courier New"/>
          <w:sz w:val="15"/>
          <w:szCs w:val="15"/>
          <w:color w:val="auto"/>
        </w:rPr>
        <w:t>distributed</w:t>
      </w:r>
      <w:r>
        <w:rPr>
          <w:sz w:val="20"/>
          <w:szCs w:val="20"/>
          <w:color w:val="auto"/>
        </w:rPr>
        <w:tab/>
      </w:r>
      <w:r>
        <w:rPr>
          <w:rFonts w:ascii="Courier New" w:cs="Courier New" w:eastAsia="Courier New" w:hAnsi="Courier New"/>
          <w:sz w:val="15"/>
          <w:szCs w:val="15"/>
          <w:color w:val="auto"/>
        </w:rPr>
        <w:t>in</w:t>
        <w:tab/>
        <w:t>full</w:t>
        <w:tab/>
        <w:t>on</w:t>
        <w:tab/>
        <w:t>or</w:t>
        <w:tab/>
        <w:t>before</w:t>
        <w:tab/>
        <w:t>the</w:t>
        <w:tab/>
        <w:t>fifth</w:t>
      </w:r>
    </w:p>
    <w:p>
      <w:pPr>
        <w:spacing w:after="0" w:line="1" w:lineRule="exact"/>
        <w:rPr>
          <w:sz w:val="20"/>
          <w:szCs w:val="20"/>
          <w:color w:val="auto"/>
        </w:rPr>
      </w:pPr>
    </w:p>
    <w:p>
      <w:pPr>
        <w:ind w:left="2660"/>
        <w:spacing w:after="0"/>
        <w:tabs>
          <w:tab w:leader="none" w:pos="5200" w:val="left"/>
        </w:tabs>
        <w:rPr>
          <w:sz w:val="20"/>
          <w:szCs w:val="20"/>
          <w:color w:val="auto"/>
        </w:rPr>
      </w:pPr>
      <w:r>
        <w:rPr>
          <w:rFonts w:ascii="Courier New" w:cs="Courier New" w:eastAsia="Courier New" w:hAnsi="Courier New"/>
          <w:sz w:val="15"/>
          <w:szCs w:val="15"/>
          <w:color w:val="auto"/>
        </w:rPr>
        <w:t>anniversary of the Deceased</w:t>
      </w:r>
      <w:r>
        <w:rPr>
          <w:sz w:val="20"/>
          <w:szCs w:val="20"/>
          <w:color w:val="auto"/>
        </w:rPr>
        <w:tab/>
      </w:r>
      <w:r>
        <w:rPr>
          <w:rFonts w:ascii="Courier New" w:cs="Courier New" w:eastAsia="Courier New" w:hAnsi="Courier New"/>
          <w:sz w:val="14"/>
          <w:szCs w:val="14"/>
          <w:color w:val="auto"/>
        </w:rPr>
        <w:t>Participant's death);</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or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801" w:right="1440" w:bottom="1440" w:gutter="0" w:footer="0" w:header="0"/>
        </w:sectPr>
      </w:pPr>
    </w:p>
    <w:bookmarkStart w:id="119" w:name="page120"/>
    <w:bookmarkEnd w:id="119"/>
    <w:p>
      <w:pPr>
        <w:jc w:val="both"/>
        <w:ind w:left="2660" w:right="3119" w:hanging="886"/>
        <w:spacing w:after="0" w:line="239" w:lineRule="auto"/>
        <w:tabs>
          <w:tab w:leader="none" w:pos="2640" w:val="left"/>
        </w:tabs>
        <w:rPr>
          <w:sz w:val="20"/>
          <w:szCs w:val="20"/>
          <w:color w:val="auto"/>
        </w:rPr>
      </w:pPr>
      <w:r>
        <w:rPr>
          <w:rFonts w:ascii="Courier New" w:cs="Courier New" w:eastAsia="Courier New" w:hAnsi="Courier New"/>
          <w:sz w:val="15"/>
          <w:szCs w:val="15"/>
          <w:color w:val="auto"/>
        </w:rPr>
        <w:t>3.6.3.2</w:t>
      </w:r>
      <w:r>
        <w:rPr>
          <w:sz w:val="20"/>
          <w:szCs w:val="20"/>
          <w:color w:val="auto"/>
        </w:rPr>
        <w:tab/>
      </w:r>
      <w:r>
        <w:rPr>
          <w:rFonts w:ascii="Courier New" w:cs="Courier New" w:eastAsia="Courier New" w:hAnsi="Courier New"/>
          <w:sz w:val="15"/>
          <w:szCs w:val="15"/>
          <w:color w:val="auto"/>
        </w:rPr>
        <w:t>Accelerate the time of payment of such amount to begin from the date payment would otherwise be made to January 2nd of the calendar year beginning after the Deceased Participant's death.</w:t>
      </w:r>
    </w:p>
    <w:p>
      <w:pPr>
        <w:spacing w:after="0" w:line="176" w:lineRule="exact"/>
        <w:rPr>
          <w:sz w:val="20"/>
          <w:szCs w:val="20"/>
          <w:color w:val="auto"/>
        </w:rPr>
      </w:pPr>
    </w:p>
    <w:p>
      <w:pPr>
        <w:jc w:val="both"/>
        <w:ind w:left="1760" w:right="3119"/>
        <w:spacing w:after="0" w:line="258" w:lineRule="auto"/>
        <w:rPr>
          <w:sz w:val="20"/>
          <w:szCs w:val="20"/>
          <w:color w:val="auto"/>
        </w:rPr>
      </w:pPr>
      <w:r>
        <w:rPr>
          <w:rFonts w:ascii="Courier New" w:cs="Courier New" w:eastAsia="Courier New" w:hAnsi="Courier New"/>
          <w:sz w:val="14"/>
          <w:szCs w:val="14"/>
          <w:color w:val="auto"/>
        </w:rPr>
        <w:t>An Election pursuant to this Section 3.6.3 must be filed with the Administrator on or before the close of business on</w:t>
      </w:r>
    </w:p>
    <w:p>
      <w:pPr>
        <w:jc w:val="both"/>
        <w:ind w:left="1760" w:right="3119" w:firstLine="6"/>
        <w:spacing w:after="0"/>
        <w:tabs>
          <w:tab w:leader="none" w:pos="211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June 30 following the Participant's death on or before May 1 of a calendar year, (ii) the 60th day following the Participant's death after May 1 and before November 2 of a calendar year or (iii) the December 31 following the Participant's death after November 1 of a calendar year. Such estate or beneficiary, as applicable, shall be entitled to one and only one Election pursuant to this Section 3.6.3 with respect to a Participant's Account, but shall otherwise be treated as the Participant for all other purposes of the Plan.</w:t>
      </w:r>
    </w:p>
    <w:p>
      <w:pPr>
        <w:spacing w:after="0" w:line="175"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3.6.4</w:t>
      </w:r>
      <w:r>
        <w:rPr>
          <w:sz w:val="20"/>
          <w:szCs w:val="20"/>
          <w:color w:val="auto"/>
        </w:rPr>
        <w:tab/>
      </w:r>
      <w:r>
        <w:rPr>
          <w:rFonts w:ascii="Courier New" w:cs="Courier New" w:eastAsia="Courier New" w:hAnsi="Courier New"/>
          <w:sz w:val="14"/>
          <w:szCs w:val="14"/>
          <w:color w:val="auto"/>
        </w:rPr>
        <w:t>A Disabled Participant may elect to:</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3.6.4.1</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Change the form of</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distribution</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from the form of</w:t>
            </w:r>
          </w:p>
        </w:tc>
      </w:tr>
      <w:tr>
        <w:trPr>
          <w:trHeight w:val="171"/>
        </w:trPr>
        <w:tc>
          <w:tcPr>
            <w:tcW w:w="76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distribution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that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payment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of  the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Disabled</w:t>
            </w:r>
          </w:p>
        </w:tc>
      </w:tr>
      <w:tr>
        <w:trPr>
          <w:trHeight w:val="171"/>
        </w:trPr>
        <w:tc>
          <w:tcPr>
            <w:tcW w:w="760" w:type="dxa"/>
            <w:vAlign w:val="bottom"/>
          </w:tcPr>
          <w:p>
            <w:pPr>
              <w:spacing w:after="0"/>
              <w:rPr>
                <w:sz w:val="14"/>
                <w:szCs w:val="14"/>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8"/>
              </w:rPr>
              <w:t>Participant's Account would otherwise be made; and</w:t>
            </w:r>
          </w:p>
        </w:tc>
      </w:tr>
      <w:tr>
        <w:trPr>
          <w:trHeight w:val="34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3.6.4.2</w:t>
            </w:r>
          </w:p>
        </w:tc>
        <w:tc>
          <w:tcPr>
            <w:tcW w:w="29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Accelerate  the time of  payment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of the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Disabled</w:t>
            </w:r>
          </w:p>
        </w:tc>
      </w:tr>
      <w:tr>
        <w:trPr>
          <w:trHeight w:val="171"/>
        </w:trPr>
        <w:tc>
          <w:tcPr>
            <w:tcW w:w="76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Participant's</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Account  to  begin  from  the  date</w:t>
            </w:r>
          </w:p>
        </w:tc>
      </w:tr>
      <w:tr>
        <w:trPr>
          <w:trHeight w:val="171"/>
        </w:trPr>
        <w:tc>
          <w:tcPr>
            <w:tcW w:w="76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payment would</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otherwise be made to January 2nd of</w:t>
            </w:r>
          </w:p>
        </w:tc>
      </w:tr>
      <w:tr>
        <w:trPr>
          <w:trHeight w:val="171"/>
        </w:trPr>
        <w:tc>
          <w:tcPr>
            <w:tcW w:w="760" w:type="dxa"/>
            <w:vAlign w:val="bottom"/>
          </w:tcPr>
          <w:p>
            <w:pPr>
              <w:spacing w:after="0"/>
              <w:rPr>
                <w:sz w:val="14"/>
                <w:szCs w:val="14"/>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8"/>
              </w:rPr>
              <w:t>the calendar year beginning  after the Participant</w:t>
            </w:r>
          </w:p>
        </w:tc>
      </w:tr>
      <w:tr>
        <w:trPr>
          <w:trHeight w:val="171"/>
        </w:trPr>
        <w:tc>
          <w:tcPr>
            <w:tcW w:w="76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became disabled.</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74" w:lineRule="exact"/>
        <w:rPr>
          <w:sz w:val="20"/>
          <w:szCs w:val="20"/>
          <w:color w:val="auto"/>
        </w:rPr>
      </w:pPr>
    </w:p>
    <w:p>
      <w:pPr>
        <w:jc w:val="both"/>
        <w:ind w:left="1760" w:right="3119"/>
        <w:spacing w:after="0"/>
        <w:rPr>
          <w:sz w:val="20"/>
          <w:szCs w:val="20"/>
          <w:color w:val="auto"/>
        </w:rPr>
      </w:pPr>
      <w:r>
        <w:rPr>
          <w:rFonts w:ascii="Courier New" w:cs="Courier New" w:eastAsia="Courier New" w:hAnsi="Courier New"/>
          <w:sz w:val="15"/>
          <w:szCs w:val="15"/>
          <w:color w:val="auto"/>
        </w:rPr>
        <w:t>An Election pursuant to this Section 3.6.4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w:t>
      </w:r>
    </w:p>
    <w:p>
      <w:pPr>
        <w:spacing w:after="0" w:line="7" w:lineRule="exact"/>
        <w:rPr>
          <w:sz w:val="20"/>
          <w:szCs w:val="20"/>
          <w:color w:val="auto"/>
        </w:rPr>
      </w:pPr>
    </w:p>
    <w:p>
      <w:pPr>
        <w:jc w:val="both"/>
        <w:ind w:left="1760" w:right="3119" w:firstLine="6"/>
        <w:spacing w:after="0" w:line="239" w:lineRule="auto"/>
        <w:tabs>
          <w:tab w:leader="none" w:pos="211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date the Participant becomes a Disabled Participant if the Participant becomes a Disabled Participant after November 1 of a calendar year.</w:t>
      </w:r>
    </w:p>
    <w:p>
      <w:pPr>
        <w:spacing w:after="0" w:line="172"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3.6.5</w:t>
      </w:r>
      <w:r>
        <w:rPr>
          <w:sz w:val="20"/>
          <w:szCs w:val="20"/>
          <w:color w:val="auto"/>
        </w:rPr>
        <w:tab/>
      </w:r>
      <w:r>
        <w:rPr>
          <w:rFonts w:ascii="Courier New" w:cs="Courier New" w:eastAsia="Courier New" w:hAnsi="Courier New"/>
          <w:sz w:val="14"/>
          <w:szCs w:val="14"/>
          <w:color w:val="auto"/>
        </w:rPr>
        <w:t>A Retired Participant may elect to:</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20" w:name="page121"/>
    <w:bookmarkEnd w:id="120"/>
    <w:p>
      <w:pPr>
        <w:jc w:val="both"/>
        <w:ind w:left="2660" w:right="3119" w:hanging="886"/>
        <w:spacing w:after="0" w:line="264" w:lineRule="auto"/>
        <w:tabs>
          <w:tab w:leader="none" w:pos="2640" w:val="left"/>
        </w:tabs>
        <w:rPr>
          <w:sz w:val="20"/>
          <w:szCs w:val="20"/>
          <w:color w:val="auto"/>
        </w:rPr>
      </w:pPr>
      <w:r>
        <w:rPr>
          <w:rFonts w:ascii="Courier New" w:cs="Courier New" w:eastAsia="Courier New" w:hAnsi="Courier New"/>
          <w:sz w:val="15"/>
          <w:szCs w:val="15"/>
          <w:color w:val="auto"/>
        </w:rPr>
        <w:t>3.6.5.1</w:t>
      </w:r>
      <w:r>
        <w:rPr>
          <w:sz w:val="20"/>
          <w:szCs w:val="20"/>
          <w:color w:val="auto"/>
        </w:rPr>
        <w:tab/>
      </w:r>
      <w:r>
        <w:rPr>
          <w:rFonts w:ascii="Courier New" w:cs="Courier New" w:eastAsia="Courier New" w:hAnsi="Courier New"/>
          <w:sz w:val="14"/>
          <w:szCs w:val="14"/>
          <w:color w:val="auto"/>
        </w:rPr>
        <w:t>Change the form of distribution from the form of distribution that payment of the Retired Participant's Account would otherwise be made, and</w:t>
      </w:r>
    </w:p>
    <w:p>
      <w:pPr>
        <w:spacing w:after="0" w:line="159" w:lineRule="exact"/>
        <w:rPr>
          <w:sz w:val="20"/>
          <w:szCs w:val="20"/>
          <w:color w:val="auto"/>
        </w:rPr>
      </w:pPr>
    </w:p>
    <w:p>
      <w:pPr>
        <w:jc w:val="both"/>
        <w:ind w:left="2660" w:right="3119" w:hanging="886"/>
        <w:spacing w:after="0" w:line="260" w:lineRule="auto"/>
        <w:tabs>
          <w:tab w:leader="none" w:pos="2640" w:val="left"/>
        </w:tabs>
        <w:rPr>
          <w:sz w:val="20"/>
          <w:szCs w:val="20"/>
          <w:color w:val="auto"/>
        </w:rPr>
      </w:pPr>
      <w:r>
        <w:rPr>
          <w:rFonts w:ascii="Courier New" w:cs="Courier New" w:eastAsia="Courier New" w:hAnsi="Courier New"/>
          <w:sz w:val="15"/>
          <w:szCs w:val="15"/>
          <w:color w:val="auto"/>
        </w:rPr>
        <w:t>3.6.5.2</w:t>
      </w:r>
      <w:r>
        <w:rPr>
          <w:sz w:val="20"/>
          <w:szCs w:val="20"/>
          <w:color w:val="auto"/>
        </w:rPr>
        <w:tab/>
      </w:r>
      <w:r>
        <w:rPr>
          <w:rFonts w:ascii="Courier New" w:cs="Courier New" w:eastAsia="Courier New" w:hAnsi="Courier New"/>
          <w:sz w:val="14"/>
          <w:szCs w:val="14"/>
          <w:color w:val="auto"/>
        </w:rPr>
        <w:t>Defer the time of payment of the Retired Participant's Account to begin for a minimum of one additional year from the date payment would otherwise begin (provided that if an Election is made pursuant to this Section 3.6.5.2, the Retired Participant's Account shall be distributed in full on or before the fifth anniversary of the Retired Participant's Normal Retirement).</w:t>
      </w:r>
    </w:p>
    <w:p>
      <w:pPr>
        <w:spacing w:after="0" w:line="161" w:lineRule="exact"/>
        <w:rPr>
          <w:sz w:val="20"/>
          <w:szCs w:val="20"/>
          <w:color w:val="auto"/>
        </w:rPr>
      </w:pPr>
    </w:p>
    <w:p>
      <w:pPr>
        <w:jc w:val="both"/>
        <w:ind w:left="1760" w:right="3119"/>
        <w:spacing w:after="0" w:line="239" w:lineRule="auto"/>
        <w:rPr>
          <w:sz w:val="20"/>
          <w:szCs w:val="20"/>
          <w:color w:val="auto"/>
        </w:rPr>
      </w:pPr>
      <w:r>
        <w:rPr>
          <w:rFonts w:ascii="Courier New" w:cs="Courier New" w:eastAsia="Courier New" w:hAnsi="Courier New"/>
          <w:sz w:val="15"/>
          <w:szCs w:val="15"/>
          <w:color w:val="auto"/>
        </w:rPr>
        <w:t>An Election pursuant to this Section 3.6.5 must be filed with the Administrator on or before the close of business on the later of (i) the June 30 following the Participant's Normal Retirement on or before May 1 of a calendar year,</w:t>
      </w:r>
    </w:p>
    <w:p>
      <w:pPr>
        <w:spacing w:after="0" w:line="6" w:lineRule="exact"/>
        <w:rPr>
          <w:sz w:val="20"/>
          <w:szCs w:val="20"/>
          <w:color w:val="auto"/>
        </w:rPr>
      </w:pPr>
    </w:p>
    <w:p>
      <w:pPr>
        <w:jc w:val="both"/>
        <w:ind w:left="1760" w:right="3119" w:firstLine="6"/>
        <w:spacing w:after="0" w:line="239" w:lineRule="auto"/>
        <w:tabs>
          <w:tab w:leader="none" w:pos="229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60th day following the Participant's Normal Retirement after May 1 and before November 2 of a calendar year or (iii) the December 31 following a Participant's Normal Retirement after November 1 of a calendar year.</w:t>
      </w:r>
    </w:p>
    <w:p>
      <w:pPr>
        <w:spacing w:after="0" w:line="176"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3.6.6</w:t>
      </w:r>
      <w:r>
        <w:rPr>
          <w:sz w:val="20"/>
          <w:szCs w:val="20"/>
          <w:color w:val="auto"/>
        </w:rPr>
        <w:tab/>
      </w:r>
      <w:r>
        <w:rPr>
          <w:rFonts w:ascii="Courier New" w:cs="Courier New" w:eastAsia="Courier New" w:hAnsi="Courier New"/>
          <w:sz w:val="15"/>
          <w:szCs w:val="15"/>
          <w:color w:val="auto"/>
        </w:rPr>
        <w:t>Except as provided in Section 3.6.4, Section 3.6.5 or Section 3.6.7, or if permitted by the Administrator in its sole discretion pursuant to this Section 3.6.6, no Inactive Participant who has previously elected to receive a distribution of part or all of his her Account, or who, pursuant to this Section 3.6.6, has elected to defer payment for an additional period from the originally elected payment date, may elect to defer the payment of such amount to any subsequent date. An Inactive Participant, if permitted by the Administrator in its sole discretion, may elect to defer the payment of such amount for a minimum of one and a maximum of ten additional years from the previously-elected payment date, but not later than the date permitted by the Administrator, by filing an Election with the Administrator on or before the close of business on June 30 of the Plan Year preceding the Plan Year in which the distribution would otherwise be made.</w:t>
      </w:r>
    </w:p>
    <w:p>
      <w:pPr>
        <w:spacing w:after="0" w:line="183"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3.6.7</w:t>
      </w:r>
      <w:r>
        <w:rPr>
          <w:sz w:val="20"/>
          <w:szCs w:val="20"/>
          <w:color w:val="auto"/>
        </w:rPr>
        <w:tab/>
      </w:r>
      <w:r>
        <w:rPr>
          <w:rFonts w:ascii="Courier New" w:cs="Courier New" w:eastAsia="Courier New" w:hAnsi="Courier New"/>
          <w:sz w:val="15"/>
          <w:szCs w:val="15"/>
          <w:color w:val="auto"/>
        </w:rPr>
        <w:t>Except as provided in Section 3.6.4 or Section 3.6.6, no Grandfathered Participant who has previously elected to receive a distribution of part or all of his or her Account, or who, pursuant to this Section 3.6, has elected to defer payment for an additional period from the originally-elected payment date, may elect to defer the payment of such amount to any subsequent date.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21" w:name="page122"/>
    <w:bookmarkEnd w:id="121"/>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5"/>
          <w:szCs w:val="15"/>
          <w:color w:val="auto"/>
        </w:rPr>
        <w:t>Subject to acceleration pursuant to Section 3.6.3, Section 3.6.4, Section 7.1, Section 7.2 or Section 7.3, no distribution of the amounts deferred by a Participant for any Plan Year shall be made before the payment date designated by the Participant on the most recently filed Election with respect to such deferred amounts. Distribution of the amounts deferred for any Plan Year by a Participant (other than a Grandfathered Participant and an Inactive Participant who makes an Election under Section 3.6.5) who ceases to be an Active Participant shall be made on the payment date designated by the Participant on the last Election filed with respect to such deferred amounts before the Participant ceased to be an Active Participant.</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FORMS OF DISTRIBUTION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4.1 Forms of Distribution. Amounts credited to an Account shall be distributed, pursuant to an Election, from among the following forms of distribution:</w:t>
      </w:r>
    </w:p>
    <w:p>
      <w:pPr>
        <w:spacing w:after="0" w:line="172"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A lump sum payment.</w:t>
      </w:r>
    </w:p>
    <w:p>
      <w:pPr>
        <w:spacing w:after="0" w:line="17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Substantially equal annual installments over a five (5), ten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(10) or fifteen (15) year period.</w:t>
      </w:r>
    </w:p>
    <w:p>
      <w:pPr>
        <w:spacing w:after="0" w:line="174" w:lineRule="exact"/>
        <w:rPr>
          <w:sz w:val="20"/>
          <w:szCs w:val="20"/>
          <w:color w:val="auto"/>
        </w:rPr>
      </w:pPr>
    </w:p>
    <w:p>
      <w:pPr>
        <w:ind w:left="1760" w:right="3119" w:hanging="887"/>
        <w:spacing w:after="0" w:line="238" w:lineRule="auto"/>
        <w:tabs>
          <w:tab w:leader="none" w:pos="17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Substantially equal monthly installments over a period not exceeding fifteen (15) years.</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972" w:right="1440" w:bottom="1440" w:gutter="0" w:footer="0" w:header="0"/>
        </w:sectPr>
      </w:pPr>
    </w:p>
    <w:bookmarkStart w:id="122" w:name="page123"/>
    <w:bookmarkEnd w:id="122"/>
    <w:p>
      <w:pPr>
        <w:jc w:val="both"/>
        <w:ind w:right="3119"/>
        <w:spacing w:after="0" w:line="238" w:lineRule="auto"/>
        <w:rPr>
          <w:sz w:val="20"/>
          <w:szCs w:val="20"/>
          <w:color w:val="auto"/>
        </w:rPr>
      </w:pPr>
      <w:r>
        <w:rPr>
          <w:rFonts w:ascii="Courier New" w:cs="Courier New" w:eastAsia="Courier New" w:hAnsi="Courier New"/>
          <w:sz w:val="15"/>
          <w:szCs w:val="15"/>
          <w:color w:val="auto"/>
        </w:rPr>
        <w:t>Company Stock Fund and the Income Fund, as applicable, through the date immediately preceding the date of distribution.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BOOK ACCOUNTS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 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Crediting of Income, Gains and Losses on Accounts.</w:t>
      </w:r>
    </w:p>
    <w:p>
      <w:pPr>
        <w:spacing w:after="0" w:line="174" w:lineRule="exact"/>
        <w:rPr>
          <w:sz w:val="20"/>
          <w:szCs w:val="20"/>
          <w:color w:val="auto"/>
        </w:rPr>
      </w:pPr>
    </w:p>
    <w:p>
      <w:pPr>
        <w:jc w:val="both"/>
        <w:ind w:left="1760" w:right="3119" w:hanging="887"/>
        <w:spacing w:after="0" w:line="239" w:lineRule="auto"/>
        <w:tabs>
          <w:tab w:leader="none" w:pos="1740"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5"/>
          <w:szCs w:val="15"/>
          <w:color w:val="auto"/>
        </w:rPr>
        <w:t>In General. Except as otherwise provided in this Section 5.2, the Administrator shall credit income, gains and losses with respect to each Participant's Account as if it were invested in the Income Fund.</w:t>
      </w:r>
    </w:p>
    <w:p>
      <w:pPr>
        <w:spacing w:after="0" w:line="174"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4"/>
          <w:szCs w:val="14"/>
          <w:color w:val="auto"/>
        </w:rPr>
        <w:t>Investment Fund Elections.</w:t>
      </w:r>
    </w:p>
    <w:p>
      <w:pPr>
        <w:spacing w:after="0" w:line="174" w:lineRule="exact"/>
        <w:rPr>
          <w:sz w:val="20"/>
          <w:szCs w:val="20"/>
          <w:color w:val="auto"/>
        </w:rPr>
      </w:pPr>
    </w:p>
    <w:p>
      <w:pPr>
        <w:jc w:val="both"/>
        <w:ind w:left="2660" w:right="3119" w:hanging="886"/>
        <w:spacing w:after="0"/>
        <w:tabs>
          <w:tab w:leader="none" w:pos="2640" w:val="left"/>
        </w:tabs>
        <w:rPr>
          <w:sz w:val="20"/>
          <w:szCs w:val="20"/>
          <w:color w:val="auto"/>
        </w:rPr>
      </w:pPr>
      <w:r>
        <w:rPr>
          <w:rFonts w:ascii="Courier New" w:cs="Courier New" w:eastAsia="Courier New" w:hAnsi="Courier New"/>
          <w:sz w:val="15"/>
          <w:szCs w:val="15"/>
          <w:color w:val="auto"/>
        </w:rPr>
        <w:t>5.2.2.1</w:t>
      </w:r>
      <w:r>
        <w:rPr>
          <w:sz w:val="20"/>
          <w:szCs w:val="20"/>
          <w:color w:val="auto"/>
        </w:rPr>
        <w:tab/>
      </w:r>
      <w:r>
        <w:rPr>
          <w:rFonts w:ascii="Courier New" w:cs="Courier New" w:eastAsia="Courier New" w:hAnsi="Courier New"/>
          <w:sz w:val="15"/>
          <w:szCs w:val="15"/>
          <w:color w:val="auto"/>
        </w:rPr>
        <w:t>Each Active Participant, other than an Active Participant who is an Insider, may elect to have all or any portion of his Account (to the extent credited through the December 31 preceding the effective date of such Election) credited with income, gains and losses as if it were invested in the Company Stock Fund or the Income Fund.</w:t>
      </w:r>
    </w:p>
    <w:p>
      <w:pPr>
        <w:spacing w:after="0" w:line="176" w:lineRule="exact"/>
        <w:rPr>
          <w:sz w:val="20"/>
          <w:szCs w:val="20"/>
          <w:color w:val="auto"/>
        </w:rPr>
      </w:pPr>
    </w:p>
    <w:p>
      <w:pPr>
        <w:jc w:val="both"/>
        <w:ind w:left="2660" w:right="3119" w:hanging="886"/>
        <w:spacing w:after="0" w:line="259" w:lineRule="auto"/>
        <w:tabs>
          <w:tab w:leader="none" w:pos="2640" w:val="left"/>
        </w:tabs>
        <w:rPr>
          <w:sz w:val="20"/>
          <w:szCs w:val="20"/>
          <w:color w:val="auto"/>
        </w:rPr>
      </w:pPr>
      <w:r>
        <w:rPr>
          <w:rFonts w:ascii="Courier New" w:cs="Courier New" w:eastAsia="Courier New" w:hAnsi="Courier New"/>
          <w:sz w:val="15"/>
          <w:szCs w:val="15"/>
          <w:color w:val="auto"/>
        </w:rPr>
        <w:t>5.2.2.2</w:t>
      </w:r>
      <w:r>
        <w:rPr>
          <w:sz w:val="20"/>
          <w:szCs w:val="20"/>
          <w:color w:val="auto"/>
        </w:rPr>
        <w:tab/>
      </w:r>
      <w:r>
        <w:rPr>
          <w:rFonts w:ascii="Courier New" w:cs="Courier New" w:eastAsia="Courier New" w:hAnsi="Courier New"/>
          <w:sz w:val="14"/>
          <w:szCs w:val="14"/>
          <w:color w:val="auto"/>
        </w:rPr>
        <w:t>An investment fund Election shall continue in effect until revoked or superseded, provided that notwithstanding any investment fund Election to the contrary, as of the valuation date (as determined under Section 4.2) for the distribution of all or any portion of a Participant's Account that is subject to distribution in the form of installments described in Section 4.1.2 or 4.1.2, such Account, or portion thereof, shall be deemed invested in the Income Fund (and transferred from the Company Stock Fund to the Income Fund, to the extent necessary) until such Account, or portion thereof, is distributed in full.</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23" w:name="page124"/>
    <w:bookmarkEnd w:id="123"/>
    <w:p>
      <w:pPr>
        <w:jc w:val="both"/>
        <w:ind w:left="2660" w:right="3119" w:hanging="886"/>
        <w:spacing w:after="0" w:line="239" w:lineRule="auto"/>
        <w:tabs>
          <w:tab w:leader="none" w:pos="2640" w:val="left"/>
        </w:tabs>
        <w:rPr>
          <w:sz w:val="20"/>
          <w:szCs w:val="20"/>
          <w:color w:val="auto"/>
        </w:rPr>
      </w:pPr>
      <w:r>
        <w:rPr>
          <w:rFonts w:ascii="Courier New" w:cs="Courier New" w:eastAsia="Courier New" w:hAnsi="Courier New"/>
          <w:sz w:val="15"/>
          <w:szCs w:val="15"/>
          <w:color w:val="auto"/>
        </w:rPr>
        <w:t>5.2.2.3</w:t>
      </w:r>
      <w:r>
        <w:rPr>
          <w:sz w:val="20"/>
          <w:szCs w:val="20"/>
          <w:color w:val="auto"/>
        </w:rPr>
        <w:tab/>
      </w:r>
      <w:r>
        <w:rPr>
          <w:rFonts w:ascii="Courier New" w:cs="Courier New" w:eastAsia="Courier New" w:hAnsi="Courier New"/>
          <w:sz w:val="15"/>
          <w:szCs w:val="15"/>
          <w:color w:val="auto"/>
        </w:rPr>
        <w:t>In the absence of an effective Election, a Participant shall be deemed to have elected to have the Account credited with income, gains and losses as if it were invested in the Income Fund.</w:t>
      </w:r>
    </w:p>
    <w:p>
      <w:pPr>
        <w:spacing w:after="0" w:line="176" w:lineRule="exact"/>
        <w:rPr>
          <w:sz w:val="20"/>
          <w:szCs w:val="20"/>
          <w:color w:val="auto"/>
        </w:rPr>
      </w:pPr>
    </w:p>
    <w:p>
      <w:pPr>
        <w:jc w:val="both"/>
        <w:ind w:left="2660" w:right="3119" w:hanging="886"/>
        <w:spacing w:after="0"/>
        <w:tabs>
          <w:tab w:leader="none" w:pos="2640" w:val="left"/>
        </w:tabs>
        <w:rPr>
          <w:sz w:val="20"/>
          <w:szCs w:val="20"/>
          <w:color w:val="auto"/>
        </w:rPr>
      </w:pPr>
      <w:r>
        <w:rPr>
          <w:rFonts w:ascii="Courier New" w:cs="Courier New" w:eastAsia="Courier New" w:hAnsi="Courier New"/>
          <w:sz w:val="15"/>
          <w:szCs w:val="15"/>
          <w:color w:val="auto"/>
        </w:rPr>
        <w:t>5.2.2.4</w:t>
      </w:r>
      <w:r>
        <w:rPr>
          <w:sz w:val="20"/>
          <w:szCs w:val="20"/>
          <w:color w:val="auto"/>
        </w:rPr>
        <w:tab/>
      </w:r>
      <w:r>
        <w:rPr>
          <w:rFonts w:ascii="Courier New" w:cs="Courier New" w:eastAsia="Courier New" w:hAnsi="Courier New"/>
          <w:sz w:val="15"/>
          <w:szCs w:val="15"/>
          <w:color w:val="auto"/>
        </w:rPr>
        <w:t>Investment fund Elections under this Section 5.2.2 shall be effective as of the first day of each Plan Year beginning on and after January 1, 1997, provided that the election is filed with the Committee on or before the close of business on December 31 of the Plan Year preceding such Plan Year. An Active Participant may only make an investment fund Election with respect to the Participant's accumulated Account as of December 31, and not with respect to Compensation to be deferred for a Plan Year.</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w w:val="97"/>
              </w:rPr>
              <w:t>5.2.2.5   If an Active</w:t>
            </w: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Participant  who was not an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Insider</w:t>
            </w:r>
          </w:p>
        </w:tc>
      </w:tr>
      <w:tr>
        <w:trPr>
          <w:trHeight w:val="171"/>
        </w:trPr>
        <w:tc>
          <w:tcPr>
            <w:tcW w:w="5340" w:type="dxa"/>
            <w:vAlign w:val="bottom"/>
            <w:gridSpan w:val="7"/>
          </w:tcPr>
          <w:p>
            <w:pPr>
              <w:ind w:left="900"/>
              <w:spacing w:after="0"/>
              <w:rPr>
                <w:sz w:val="20"/>
                <w:szCs w:val="20"/>
                <w:color w:val="auto"/>
              </w:rPr>
            </w:pPr>
            <w:r>
              <w:rPr>
                <w:rFonts w:ascii="Courier New" w:cs="Courier New" w:eastAsia="Courier New" w:hAnsi="Courier New"/>
                <w:sz w:val="15"/>
                <w:szCs w:val="15"/>
                <w:color w:val="auto"/>
                <w:w w:val="98"/>
              </w:rPr>
              <w:t>becomes  an  Insider,  then,  notwithstanding  the</w:t>
            </w:r>
          </w:p>
        </w:tc>
      </w:tr>
      <w:tr>
        <w:trPr>
          <w:trHeight w:val="171"/>
        </w:trPr>
        <w:tc>
          <w:tcPr>
            <w:tcW w:w="19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foregoing,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such Active</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Participant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may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elect to</w:t>
            </w:r>
          </w:p>
        </w:tc>
      </w:tr>
      <w:tr>
        <w:trPr>
          <w:trHeight w:val="171"/>
        </w:trPr>
        <w:tc>
          <w:tcPr>
            <w:tcW w:w="1600" w:type="dxa"/>
            <w:vAlign w:val="bottom"/>
          </w:tcPr>
          <w:p>
            <w:pPr>
              <w:ind w:left="900"/>
              <w:spacing w:after="0"/>
              <w:rPr>
                <w:sz w:val="20"/>
                <w:szCs w:val="20"/>
                <w:color w:val="auto"/>
              </w:rPr>
            </w:pPr>
            <w:r>
              <w:rPr>
                <w:rFonts w:ascii="Courier New" w:cs="Courier New" w:eastAsia="Courier New" w:hAnsi="Courier New"/>
                <w:sz w:val="15"/>
                <w:szCs w:val="15"/>
                <w:color w:val="auto"/>
                <w:w w:val="94"/>
              </w:rPr>
              <w:t>transfer</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the  portion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of his</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Account,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if  any,</w:t>
            </w:r>
          </w:p>
        </w:tc>
      </w:tr>
      <w:tr>
        <w:trPr>
          <w:trHeight w:val="171"/>
        </w:trPr>
        <w:tc>
          <w:tcPr>
            <w:tcW w:w="1600" w:type="dxa"/>
            <w:vAlign w:val="bottom"/>
          </w:tcPr>
          <w:p>
            <w:pPr>
              <w:ind w:left="900"/>
              <w:spacing w:after="0"/>
              <w:rPr>
                <w:sz w:val="20"/>
                <w:szCs w:val="20"/>
                <w:color w:val="auto"/>
              </w:rPr>
            </w:pPr>
            <w:r>
              <w:rPr>
                <w:rFonts w:ascii="Courier New" w:cs="Courier New" w:eastAsia="Courier New" w:hAnsi="Courier New"/>
                <w:sz w:val="15"/>
                <w:szCs w:val="15"/>
                <w:color w:val="auto"/>
              </w:rPr>
              <w:t>deemed</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invested in the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Company</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Stock Fund to be</w:t>
            </w:r>
          </w:p>
        </w:tc>
      </w:tr>
      <w:tr>
        <w:trPr>
          <w:trHeight w:val="171"/>
        </w:trPr>
        <w:tc>
          <w:tcPr>
            <w:tcW w:w="1600" w:type="dxa"/>
            <w:vAlign w:val="bottom"/>
          </w:tcPr>
          <w:p>
            <w:pPr>
              <w:ind w:left="900"/>
              <w:spacing w:after="0"/>
              <w:rPr>
                <w:sz w:val="20"/>
                <w:szCs w:val="20"/>
                <w:color w:val="auto"/>
              </w:rPr>
            </w:pPr>
            <w:r>
              <w:rPr>
                <w:rFonts w:ascii="Courier New" w:cs="Courier New" w:eastAsia="Courier New" w:hAnsi="Courier New"/>
                <w:sz w:val="15"/>
                <w:szCs w:val="15"/>
                <w:color w:val="auto"/>
              </w:rPr>
              <w:t>deemed</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invested in the</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Fund,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effective as</w:t>
            </w:r>
          </w:p>
        </w:tc>
      </w:tr>
      <w:tr>
        <w:trPr>
          <w:trHeight w:val="171"/>
        </w:trPr>
        <w:tc>
          <w:tcPr>
            <w:tcW w:w="2980" w:type="dxa"/>
            <w:vAlign w:val="bottom"/>
            <w:gridSpan w:val="3"/>
          </w:tcPr>
          <w:p>
            <w:pPr>
              <w:ind w:left="900"/>
              <w:spacing w:after="0"/>
              <w:rPr>
                <w:sz w:val="20"/>
                <w:szCs w:val="20"/>
                <w:color w:val="auto"/>
              </w:rPr>
            </w:pPr>
            <w:r>
              <w:rPr>
                <w:rFonts w:ascii="Courier New" w:cs="Courier New" w:eastAsia="Courier New" w:hAnsi="Courier New"/>
                <w:sz w:val="15"/>
                <w:szCs w:val="15"/>
                <w:color w:val="auto"/>
                <w:w w:val="99"/>
              </w:rPr>
              <w:t>of the first day of any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calendar</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month</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beginning</w:t>
            </w:r>
          </w:p>
        </w:tc>
      </w:tr>
      <w:tr>
        <w:trPr>
          <w:trHeight w:val="171"/>
        </w:trPr>
        <w:tc>
          <w:tcPr>
            <w:tcW w:w="4220" w:type="dxa"/>
            <w:vAlign w:val="bottom"/>
            <w:gridSpan w:val="5"/>
          </w:tcPr>
          <w:p>
            <w:pPr>
              <w:ind w:left="900"/>
              <w:spacing w:after="0"/>
              <w:rPr>
                <w:sz w:val="20"/>
                <w:szCs w:val="20"/>
                <w:color w:val="auto"/>
              </w:rPr>
            </w:pPr>
            <w:r>
              <w:rPr>
                <w:rFonts w:ascii="Courier New" w:cs="Courier New" w:eastAsia="Courier New" w:hAnsi="Courier New"/>
                <w:sz w:val="15"/>
                <w:szCs w:val="15"/>
                <w:color w:val="auto"/>
                <w:w w:val="99"/>
              </w:rPr>
              <w:t>after such Active Participant becomes</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an Insider.</w:t>
            </w:r>
          </w:p>
        </w:tc>
      </w:tr>
    </w:tbl>
    <w:p>
      <w:pPr>
        <w:spacing w:after="0" w:line="174" w:lineRule="exact"/>
        <w:rPr>
          <w:sz w:val="20"/>
          <w:szCs w:val="20"/>
          <w:color w:val="auto"/>
        </w:rPr>
      </w:pPr>
    </w:p>
    <w:p>
      <w:pPr>
        <w:jc w:val="both"/>
        <w:ind w:left="2660" w:right="3119" w:hanging="886"/>
        <w:spacing w:after="0"/>
        <w:tabs>
          <w:tab w:leader="none" w:pos="2640" w:val="left"/>
        </w:tabs>
        <w:rPr>
          <w:sz w:val="20"/>
          <w:szCs w:val="20"/>
          <w:color w:val="auto"/>
        </w:rPr>
      </w:pPr>
      <w:r>
        <w:rPr>
          <w:rFonts w:ascii="Courier New" w:cs="Courier New" w:eastAsia="Courier New" w:hAnsi="Courier New"/>
          <w:sz w:val="15"/>
          <w:szCs w:val="15"/>
          <w:color w:val="auto"/>
        </w:rPr>
        <w:t>5.2.2.6</w:t>
      </w:r>
      <w:r>
        <w:rPr>
          <w:sz w:val="20"/>
          <w:szCs w:val="20"/>
          <w:color w:val="auto"/>
        </w:rPr>
        <w:tab/>
      </w:r>
      <w:r>
        <w:rPr>
          <w:rFonts w:ascii="Courier New" w:cs="Courier New" w:eastAsia="Courier New" w:hAnsi="Courier New"/>
          <w:sz w:val="15"/>
          <w:szCs w:val="15"/>
          <w:color w:val="auto"/>
        </w:rPr>
        <w:t>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77" w:lineRule="exact"/>
        <w:rPr>
          <w:sz w:val="20"/>
          <w:szCs w:val="20"/>
          <w:color w:val="auto"/>
        </w:rPr>
      </w:pPr>
    </w:p>
    <w:p>
      <w:pPr>
        <w:jc w:val="both"/>
        <w:ind w:left="1760" w:right="3119" w:hanging="887"/>
        <w:spacing w:after="0"/>
        <w:tabs>
          <w:tab w:leader="none" w:pos="1740" w:val="left"/>
        </w:tabs>
        <w:rPr>
          <w:sz w:val="20"/>
          <w:szCs w:val="20"/>
          <w:color w:val="auto"/>
        </w:rPr>
      </w:pPr>
      <w:r>
        <w:rPr>
          <w:rFonts w:ascii="Courier New" w:cs="Courier New" w:eastAsia="Courier New" w:hAnsi="Courier New"/>
          <w:sz w:val="15"/>
          <w:szCs w:val="15"/>
          <w:color w:val="auto"/>
        </w:rPr>
        <w:t>5.2.3</w:t>
      </w:r>
      <w:r>
        <w:rPr>
          <w:sz w:val="20"/>
          <w:szCs w:val="20"/>
          <w:color w:val="auto"/>
        </w:rPr>
        <w:tab/>
      </w:r>
      <w:r>
        <w:rPr>
          <w:rFonts w:ascii="Courier New" w:cs="Courier New" w:eastAsia="Courier New" w:hAnsi="Courier New"/>
          <w:sz w:val="15"/>
          <w:szCs w:val="15"/>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5.2.2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24" w:name="page125"/>
    <w:bookmarkEnd w:id="124"/>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NON-ASSIGNABILITY, ETC.</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 DEATH OR DISABILITY OF PARTICIPANT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7.1 Death of Participant. A Deceased Participant's Account shall be distributed in accordance with the last Election made by the Deceased Participant before the 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7.2 Disability of Participant. A Disabled Participant's Account shall be distributed in accordance with the last Election made by the Disabled Participant before the Disabled Participant's termination of service or date of disability, as applicable, unless the Disabled Participant timely elects to accelerate the time or change the form of payment pursuant to Section 3.6.4.</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31" w:right="1440" w:bottom="1440" w:gutter="0" w:footer="0" w:header="0"/>
        </w:sectPr>
      </w:pPr>
    </w:p>
    <w:bookmarkStart w:id="125" w:name="page126"/>
    <w:bookmarkEnd w:id="125"/>
    <w:p>
      <w:pPr>
        <w:jc w:val="both"/>
        <w:ind w:right="3119"/>
        <w:spacing w:after="0" w:line="239" w:lineRule="auto"/>
        <w:rPr>
          <w:sz w:val="20"/>
          <w:szCs w:val="20"/>
          <w:color w:val="auto"/>
        </w:rPr>
      </w:pPr>
      <w:r>
        <w:rPr>
          <w:rFonts w:ascii="Courier New" w:cs="Courier New" w:eastAsia="Courier New" w:hAnsi="Courier New"/>
          <w:sz w:val="15"/>
          <w:szCs w:val="15"/>
          <w:color w:val="auto"/>
        </w:rPr>
        <w:t>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INTERPRETATION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8.2 Claims Procedure. The Committee shall administer a reasonable claims procedure with respect to the Plan in accordance with Department of Labor Regulation section 2560.503-1, or any successor provision.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AMENDMENT OR TERMINATION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9.2 Amendment of Rate of Credited Earnings. No amendment shall change the Applicable Interest Rate with respect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MISCELLANEOUS PROVISIONS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10.2 Governing Law. This Plan shall be interpreted under the laws of the Commonwealth of Pennsylvania.</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801" w:right="1440" w:bottom="1440" w:gutter="0" w:footer="0" w:header="0"/>
        </w:sectPr>
      </w:pPr>
    </w:p>
    <w:bookmarkStart w:id="126" w:name="page127"/>
    <w:bookmarkEnd w:id="126"/>
    <w:p>
      <w:pPr>
        <w:ind w:left="440"/>
        <w:spacing w:after="0"/>
        <w:rPr>
          <w:sz w:val="20"/>
          <w:szCs w:val="20"/>
          <w:color w:val="auto"/>
        </w:rPr>
      </w:pPr>
      <w:r>
        <w:rPr>
          <w:rFonts w:ascii="Courier New" w:cs="Courier New" w:eastAsia="Courier New" w:hAnsi="Courier New"/>
          <w:sz w:val="15"/>
          <w:szCs w:val="15"/>
          <w:color w:val="auto"/>
        </w:rPr>
        <w:t>11. EFFECTIVE DATE</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effective date of the Plan this amendment and restatement of the Plan shall be December 15, 1998.</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15th day of December, 1998.</w:t>
      </w:r>
    </w:p>
    <w:p>
      <w:pPr>
        <w:spacing w:after="0" w:line="17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ATTEST: /s/ Arthur R. Block</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#54263 v16 (15VB16!.WPD)</w:t>
      </w:r>
    </w:p>
    <w:p>
      <w:pPr>
        <w:sectPr>
          <w:pgSz w:w="11900" w:h="16838" w:orient="portrait"/>
          <w:cols w:equalWidth="0" w:num="1">
            <w:col w:w="10219"/>
          </w:cols>
          <w:pgMar w:left="240" w:top="628" w:right="1440" w:bottom="1440" w:gutter="0" w:footer="0" w:header="0"/>
        </w:sectPr>
      </w:pPr>
    </w:p>
    <w:bookmarkStart w:id="127" w:name="page128"/>
    <w:bookmarkEnd w:id="127"/>
    <w:p>
      <w:pPr>
        <w:ind w:left="274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1990 RESTRICTED STOCK PLAN</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(As Amended and Restated, Effective December 15, 1998)</w:t>
      </w:r>
    </w:p>
    <w:p>
      <w:pPr>
        <w:spacing w:after="0" w:line="342" w:lineRule="exact"/>
        <w:rPr>
          <w:sz w:val="20"/>
          <w:szCs w:val="20"/>
          <w:color w:val="auto"/>
        </w:rPr>
      </w:pPr>
    </w:p>
    <w:p>
      <w:pPr>
        <w:ind w:left="449" w:hanging="449"/>
        <w:spacing w:after="0"/>
        <w:tabs>
          <w:tab w:leader="none" w:pos="44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174" w:lineRule="exact"/>
        <w:rPr>
          <w:sz w:val="20"/>
          <w:szCs w:val="20"/>
          <w:color w:val="auto"/>
        </w:rPr>
      </w:pPr>
    </w:p>
    <w:p>
      <w:pPr>
        <w:ind w:left="449" w:hanging="449"/>
        <w:spacing w:after="0"/>
        <w:tabs>
          <w:tab w:leader="none" w:pos="44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Grantee" means each Grantee who is actively employed by a Participating Company.</w:t>
      </w:r>
    </w:p>
    <w:p>
      <w:pPr>
        <w:spacing w:after="0" w:line="174"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3"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 award of Restricted Stock granted under the Plan.</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4"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1996 Stock Option Plan and the Comcast Corporation 1987 Stock Option Plan.</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pacing w:after="0" w:line="322" w:lineRule="exact"/>
        <w:rPr>
          <w:sz w:val="20"/>
          <w:szCs w:val="20"/>
          <w:color w:val="auto"/>
        </w:rPr>
      </w:pPr>
    </w:p>
    <w:p>
      <w:pPr>
        <w:ind w:left="9" w:right="3119" w:firstLine="435"/>
        <w:spacing w:after="0" w:line="238" w:lineRule="auto"/>
        <w:tabs>
          <w:tab w:leader="none" w:pos="80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174"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9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a Pennsylvania corporation, including any successor thereto by merger, consolidation, acquisition of all or substantially all the assets thereof, or otherwise.</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"Deceased Grantee" means:</w:t>
      </w:r>
    </w:p>
    <w:p>
      <w:pPr>
        <w:spacing w:after="0" w:line="174"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whose employment by a Participating Company is terminated by death; or</w:t>
      </w:r>
    </w:p>
    <w:p>
      <w:pPr>
        <w:spacing w:after="0" w:line="174"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 dies following termination of employment by a Participating Company.</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"Disabled Grantee" means:</w:t>
      </w:r>
    </w:p>
    <w:p>
      <w:pPr>
        <w:spacing w:after="0" w:line="174"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whose employment by a Participating Company is terminated by reason of disability;</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 becomes disabled (as determined by the Committee) following termination of employment by a Participating Company; or</w:t>
      </w:r>
    </w:p>
    <w:p>
      <w:pPr>
        <w:spacing w:after="0" w:line="175" w:lineRule="exact"/>
        <w:rPr>
          <w:sz w:val="20"/>
          <w:szCs w:val="20"/>
          <w:color w:val="auto"/>
        </w:rPr>
      </w:pPr>
    </w:p>
    <w:p>
      <w:pPr>
        <w:jc w:val="both"/>
        <w:ind w:left="1329" w:right="3119" w:hanging="443"/>
        <w:spacing w:after="0"/>
        <w:rPr>
          <w:sz w:val="20"/>
          <w:szCs w:val="20"/>
          <w:color w:val="auto"/>
        </w:rPr>
      </w:pPr>
      <w:r>
        <w:rPr>
          <w:rFonts w:ascii="Courier New" w:cs="Courier New" w:eastAsia="Courier New" w:hAnsi="Courier New"/>
          <w:sz w:val="15"/>
          <w:szCs w:val="15"/>
          <w:color w:val="auto"/>
        </w:rPr>
        <w:t>(iii)The duly-appointed</w:t>
      </w:r>
      <w:r>
        <w:rPr>
          <w:sz w:val="20"/>
          <w:szCs w:val="20"/>
          <w:color w:val="auto"/>
        </w:rPr>
        <w:t xml:space="preserve"> </w:t>
      </w:r>
      <w:r>
        <w:rPr>
          <w:rFonts w:ascii="Courier New" w:cs="Courier New" w:eastAsia="Courier New" w:hAnsi="Courier New"/>
          <w:sz w:val="15"/>
          <w:szCs w:val="15"/>
          <w:color w:val="auto"/>
        </w:rPr>
        <w:t>legal guardian of an individual described in Paragraph 2(l)(i) or 2(l)(ii) acting on behalf of such individual.</w:t>
      </w:r>
    </w:p>
    <w:p>
      <w:pPr>
        <w:spacing w:after="0" w:line="343" w:lineRule="exact"/>
        <w:rPr>
          <w:sz w:val="20"/>
          <w:szCs w:val="20"/>
          <w:color w:val="auto"/>
        </w:rPr>
      </w:pPr>
    </w:p>
    <w:p>
      <w:pPr>
        <w:jc w:val="both"/>
        <w:ind w:left="9" w:right="3119" w:firstLine="435"/>
        <w:spacing w:after="0" w:line="239" w:lineRule="auto"/>
        <w:tabs>
          <w:tab w:leader="none" w:pos="89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means a written election on a form provided by the Committee, filed with the Committee in accordance with Paragraph 8, pursuant to which a Grantee:</w:t>
      </w:r>
    </w:p>
    <w:p>
      <w:pPr>
        <w:spacing w:after="0" w:line="175"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within the time or times specified in Paragraph 8, to defer the distribution date of Restricted Stock; and</w:t>
      </w:r>
    </w:p>
    <w:p>
      <w:pPr>
        <w:spacing w:after="0" w:line="172" w:lineRule="exact"/>
        <w:rPr>
          <w:rFonts w:ascii="Courier New" w:cs="Courier New" w:eastAsia="Courier New" w:hAnsi="Courier New"/>
          <w:sz w:val="15"/>
          <w:szCs w:val="15"/>
          <w:color w:val="auto"/>
        </w:rPr>
      </w:pPr>
    </w:p>
    <w:p>
      <w:pPr>
        <w:ind w:left="1329" w:hanging="442"/>
        <w:spacing w:after="0"/>
        <w:tabs>
          <w:tab w:leader="none" w:pos="132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Designates the distribution date of Restricted Stock.</w:t>
      </w:r>
    </w:p>
    <w:p>
      <w:pPr>
        <w:spacing w:after="0" w:line="174" w:lineRule="exact"/>
        <w:rPr>
          <w:rFonts w:ascii="Courier New" w:cs="Courier New" w:eastAsia="Courier New" w:hAnsi="Courier New"/>
          <w:sz w:val="15"/>
          <w:szCs w:val="15"/>
          <w:color w:val="auto"/>
        </w:rPr>
      </w:pPr>
    </w:p>
    <w:p>
      <w:pPr>
        <w:ind w:left="9" w:right="3119" w:firstLine="435"/>
        <w:spacing w:after="0" w:line="238" w:lineRule="auto"/>
        <w:tabs>
          <w:tab w:leader="none" w:pos="89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 management employee of a Participating Company, as determined by the Committee.</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ectPr>
          <w:pgSz w:w="11900" w:h="16838" w:orient="portrait"/>
          <w:cols w:equalWidth="0" w:num="1">
            <w:col w:w="10228"/>
          </w:cols>
          <w:pgMar w:left="231" w:top="139" w:right="1440" w:bottom="116" w:gutter="0" w:footer="0" w:header="0"/>
        </w:sectPr>
      </w:pPr>
    </w:p>
    <w:bookmarkStart w:id="128" w:name="page129"/>
    <w:bookmarkEnd w:id="128"/>
    <w:p>
      <w:pPr>
        <w:jc w:val="right"/>
        <w:ind w:right="649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19"/>
          </w:cols>
          <w:pgMar w:left="240" w:top="139" w:right="1440" w:bottom="1440" w:gutter="0" w:footer="0" w:header="0"/>
        </w:sectPr>
      </w:pPr>
    </w:p>
    <w:bookmarkStart w:id="129" w:name="page130"/>
    <w:bookmarkEnd w:id="129"/>
    <w:p>
      <w:pPr>
        <w:jc w:val="both"/>
        <w:ind w:right="3119" w:firstLine="435"/>
        <w:spacing w:after="0" w:line="239" w:lineRule="auto"/>
        <w:tabs>
          <w:tab w:leader="none" w:pos="79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means a Grantee's termination of employment that is treated by the Participating Company as a retirement under its employment policies and practices as in effect from time to time.</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 means, as of any date, the excess, if any of:</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Grantee; over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4" w:lineRule="exact"/>
        <w:rPr>
          <w:rFonts w:ascii="Courier New" w:cs="Courier New" w:eastAsia="Courier New" w:hAnsi="Courier New"/>
          <w:sz w:val="15"/>
          <w:szCs w:val="15"/>
          <w:color w:val="auto"/>
        </w:rPr>
      </w:pPr>
    </w:p>
    <w:p>
      <w:pPr>
        <w:ind w:left="1760" w:right="3119" w:hanging="438"/>
        <w:spacing w:after="0" w:line="238" w:lineRule="auto"/>
        <w:tabs>
          <w:tab w:leader="none" w:pos="176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Grantee for less than six months; plus</w:t>
      </w:r>
    </w:p>
    <w:p>
      <w:pPr>
        <w:spacing w:after="0" w:line="174" w:lineRule="exact"/>
        <w:rPr>
          <w:rFonts w:ascii="Courier New" w:cs="Courier New" w:eastAsia="Courier New" w:hAnsi="Courier New"/>
          <w:sz w:val="15"/>
          <w:szCs w:val="15"/>
          <w:color w:val="auto"/>
        </w:rPr>
      </w:pPr>
    </w:p>
    <w:p>
      <w:pPr>
        <w:jc w:val="both"/>
        <w:ind w:left="1760" w:right="3119" w:hanging="438"/>
        <w:spacing w:after="0" w:line="262" w:lineRule="auto"/>
        <w:tabs>
          <w:tab w:leader="none" w:pos="1760"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Grantee that has, within the preceding six months, been the subject of a withholding certification pursuant to Paragraph 9(c)(ii) or any similar withholding certification under any other Comcast Plan; plus</w:t>
      </w:r>
    </w:p>
    <w:p>
      <w:pPr>
        <w:spacing w:after="0" w:line="160" w:lineRule="exact"/>
        <w:rPr>
          <w:rFonts w:ascii="Courier New" w:cs="Courier New" w:eastAsia="Courier New" w:hAnsi="Courier New"/>
          <w:sz w:val="14"/>
          <w:szCs w:val="14"/>
          <w:color w:val="auto"/>
        </w:rPr>
      </w:pPr>
    </w:p>
    <w:p>
      <w:pPr>
        <w:jc w:val="both"/>
        <w:ind w:left="1760" w:right="3119" w:hanging="438"/>
        <w:spacing w:after="0"/>
        <w:tabs>
          <w:tab w:leader="none" w:pos="176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Grantee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w:t>
      </w:r>
    </w:p>
    <w:p>
      <w:pPr>
        <w:spacing w:after="0" w:line="175"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For purposes of this Paragraph 2(q), a Share that is subject to a deferral election pursuant to Paragraph 8 or another Comcast Plan shall not be treated as owned by a Grantee until all conditions to the delivery of such Share have lapsed. For purposes of Paragraph 9(c), the number of Other Available Shares shall be determined separately for the Company's Class A Special Common Stock, par value, $1.00, and for the Company's Class A Common Stock, par value, $1.00.</w:t>
      </w:r>
    </w:p>
    <w:p>
      <w:pPr>
        <w:spacing w:after="0" w:line="164" w:lineRule="exact"/>
        <w:rPr>
          <w:sz w:val="20"/>
          <w:szCs w:val="20"/>
          <w:color w:val="auto"/>
        </w:rPr>
      </w:pPr>
    </w:p>
    <w:p>
      <w:pPr>
        <w:jc w:val="both"/>
        <w:ind w:right="3119" w:firstLine="435"/>
        <w:spacing w:after="0" w:line="239" w:lineRule="auto"/>
        <w:tabs>
          <w:tab w:leader="none" w:pos="79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Company" means all corporations that, at the time in question, are parent corporations of the Company within the meaning of section 424(e) of the Code.</w:t>
      </w:r>
    </w:p>
    <w:p>
      <w:pPr>
        <w:spacing w:after="0" w:line="175" w:lineRule="exact"/>
        <w:rPr>
          <w:rFonts w:ascii="Courier New" w:cs="Courier New" w:eastAsia="Courier New" w:hAnsi="Courier New"/>
          <w:sz w:val="15"/>
          <w:szCs w:val="15"/>
          <w:color w:val="auto"/>
        </w:rPr>
      </w:pPr>
    </w:p>
    <w:p>
      <w:pPr>
        <w:ind w:right="3119" w:firstLine="435"/>
        <w:spacing w:after="0" w:line="238" w:lineRule="auto"/>
        <w:tabs>
          <w:tab w:leader="none" w:pos="8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Company" means the Company and each of the Parent Companies and Subsidiary Companies.</w:t>
      </w:r>
    </w:p>
    <w:p>
      <w:pPr>
        <w:spacing w:after="0" w:line="174" w:lineRule="exact"/>
        <w:rPr>
          <w:rFonts w:ascii="Courier New" w:cs="Courier New" w:eastAsia="Courier New" w:hAnsi="Courier New"/>
          <w:sz w:val="15"/>
          <w:szCs w:val="15"/>
          <w:color w:val="auto"/>
        </w:rPr>
      </w:pPr>
    </w:p>
    <w:p>
      <w:pPr>
        <w:ind w:right="3119" w:firstLine="435"/>
        <w:spacing w:after="0" w:line="238" w:lineRule="auto"/>
        <w:tabs>
          <w:tab w:leader="none" w:pos="8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1990 Restricted Stock Plan, as set forth herein, and as amended from time to time.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19"/>
          </w:cols>
          <w:pgMar w:left="240" w:top="631" w:right="1440" w:bottom="1440" w:gutter="0" w:footer="0" w:header="0"/>
        </w:sectPr>
      </w:pPr>
    </w:p>
    <w:bookmarkStart w:id="130" w:name="page131"/>
    <w:bookmarkEnd w:id="130"/>
    <w:p>
      <w:pPr>
        <w:ind w:right="3119" w:firstLine="435"/>
        <w:spacing w:after="0" w:line="238" w:lineRule="auto"/>
        <w:tabs>
          <w:tab w:leader="none" w:pos="79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365-day period (or the 366-day period) extending from January 3 to the next following January 2.</w:t>
      </w:r>
    </w:p>
    <w:p>
      <w:pPr>
        <w:spacing w:after="0" w:line="174"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Shares subject to restrictions as set forth in</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 Award.</w:t>
      </w:r>
    </w:p>
    <w:p>
      <w:pPr>
        <w:spacing w:after="0" w:line="174" w:lineRule="exact"/>
        <w:rPr>
          <w:rFonts w:ascii="Courier New" w:cs="Courier New" w:eastAsia="Courier New" w:hAnsi="Courier New"/>
          <w:sz w:val="14"/>
          <w:szCs w:val="14"/>
          <w:color w:val="auto"/>
        </w:rPr>
      </w:pPr>
    </w:p>
    <w:p>
      <w:pPr>
        <w:ind w:right="3119" w:firstLine="435"/>
        <w:spacing w:after="0" w:line="238" w:lineRule="auto"/>
        <w:tabs>
          <w:tab w:leader="none" w:pos="88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Grantee" means a Grantee who has terminated employment pursuant to a Normal Retirement.</w:t>
      </w:r>
    </w:p>
    <w:p>
      <w:pPr>
        <w:spacing w:after="0" w:line="174"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 Roberts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Family:</w:t>
      </w:r>
    </w:p>
    <w:p>
      <w:pPr>
        <w:spacing w:after="0" w:line="171" w:lineRule="exact"/>
        <w:rPr>
          <w:rFonts w:ascii="Courier New" w:cs="Courier New" w:eastAsia="Courier New" w:hAnsi="Courier New"/>
          <w:sz w:val="14"/>
          <w:szCs w:val="14"/>
          <w:color w:val="auto"/>
        </w:rPr>
      </w:pPr>
    </w:p>
    <w:p>
      <w:pPr>
        <w:ind w:left="1320" w:hanging="442"/>
        <w:spacing w:after="0"/>
        <w:tabs>
          <w:tab w:leader="none" w:pos="132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4" w:lineRule="exact"/>
        <w:rPr>
          <w:sz w:val="20"/>
          <w:szCs w:val="20"/>
          <w:color w:val="auto"/>
        </w:rPr>
      </w:pPr>
    </w:p>
    <w:p>
      <w:pPr>
        <w:ind w:left="1320" w:right="3119" w:hanging="443"/>
        <w:spacing w:after="0" w:line="238" w:lineRule="auto"/>
        <w:rPr>
          <w:sz w:val="20"/>
          <w:szCs w:val="20"/>
          <w:color w:val="auto"/>
        </w:rPr>
      </w:pPr>
      <w:r>
        <w:rPr>
          <w:rFonts w:ascii="Courier New" w:cs="Courier New" w:eastAsia="Courier New" w:hAnsi="Courier New"/>
          <w:sz w:val="15"/>
          <w:szCs w:val="15"/>
          <w:color w:val="auto"/>
        </w:rPr>
        <w:t>(iii)a trust</w:t>
      </w:r>
      <w:r>
        <w:rPr>
          <w:sz w:val="20"/>
          <w:szCs w:val="20"/>
          <w:color w:val="auto"/>
        </w:rPr>
        <w:t xml:space="preserve"> </w:t>
      </w:r>
      <w:r>
        <w:rPr>
          <w:rFonts w:ascii="Courier New" w:cs="Courier New" w:eastAsia="Courier New" w:hAnsi="Courier New"/>
          <w:sz w:val="15"/>
          <w:szCs w:val="15"/>
          <w:color w:val="auto"/>
        </w:rPr>
        <w:t>established for the benefit of any of Ralph J. Roberts and/or a lineal descendant or descendants of Ralph J. Roberts.</w:t>
      </w:r>
    </w:p>
    <w:p>
      <w:pPr>
        <w:spacing w:after="0" w:line="175" w:lineRule="exact"/>
        <w:rPr>
          <w:sz w:val="20"/>
          <w:szCs w:val="20"/>
          <w:color w:val="auto"/>
        </w:rPr>
      </w:pPr>
    </w:p>
    <w:p>
      <w:pPr>
        <w:ind w:right="3119" w:firstLine="435"/>
        <w:spacing w:after="0" w:line="238" w:lineRule="auto"/>
        <w:tabs>
          <w:tab w:leader="none" w:pos="7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1934 Act, as in effect from time to time.</w:t>
      </w:r>
    </w:p>
    <w:p>
      <w:pPr>
        <w:spacing w:after="0" w:line="172" w:lineRule="exact"/>
        <w:rPr>
          <w:sz w:val="20"/>
          <w:szCs w:val="20"/>
          <w:color w:val="auto"/>
        </w:rPr>
      </w:pPr>
    </w:p>
    <w:p>
      <w:pPr>
        <w:ind w:left="880" w:hanging="445"/>
        <w:spacing w:after="0"/>
        <w:tabs>
          <w:tab w:leader="none" w:pos="8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w:t>
      </w:r>
    </w:p>
    <w:p>
      <w:pPr>
        <w:spacing w:after="0" w:line="174"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the Plan, a share or shares of Class A Special Common Stock, $1.00 par value, of the Company.</w:t>
      </w:r>
    </w:p>
    <w:p>
      <w:pPr>
        <w:spacing w:after="0" w:line="174" w:lineRule="exact"/>
        <w:rPr>
          <w:rFonts w:ascii="Courier New" w:cs="Courier New" w:eastAsia="Courier New" w:hAnsi="Courier New"/>
          <w:sz w:val="15"/>
          <w:szCs w:val="15"/>
          <w:color w:val="auto"/>
        </w:rPr>
      </w:pPr>
    </w:p>
    <w:p>
      <w:pPr>
        <w:jc w:val="both"/>
        <w:ind w:left="1320" w:right="3119" w:hanging="442"/>
        <w:spacing w:after="0" w:line="239" w:lineRule="auto"/>
        <w:tabs>
          <w:tab w:leader="none" w:pos="132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Paragraphs 2(q) and 9(c), the term "Share" or "Shares" also means a share or shares of the Company's Class A Common Stock, par value, $1.00.</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88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 means all corporations that, at the time in question, are subsidiary corporations of the Company within the meaning of section 424(f) of the Code.</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4" w:lineRule="exact"/>
        <w:rPr>
          <w:rFonts w:ascii="Courier New" w:cs="Courier New" w:eastAsia="Courier New" w:hAnsi="Courier New"/>
          <w:sz w:val="15"/>
          <w:szCs w:val="15"/>
          <w:color w:val="auto"/>
        </w:rPr>
      </w:pPr>
    </w:p>
    <w:p>
      <w:pPr>
        <w:jc w:val="both"/>
        <w:ind w:right="3119" w:firstLine="435"/>
        <w:spacing w:after="0" w:line="264" w:lineRule="auto"/>
        <w:tabs>
          <w:tab w:leader="none" w:pos="976"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56"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19"/>
          </w:cols>
          <w:pgMar w:left="240" w:top="631" w:right="1440" w:bottom="1440" w:gutter="0" w:footer="0" w:header="0"/>
        </w:sectPr>
      </w:pPr>
    </w:p>
    <w:bookmarkStart w:id="131" w:name="page132"/>
    <w:bookmarkEnd w:id="131"/>
    <w:p>
      <w:pPr>
        <w:ind w:left="889" w:hanging="445"/>
        <w:spacing w:after="0"/>
        <w:tabs>
          <w:tab w:leader="none" w:pos="88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4"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Rights that may be granted under the Plan are rights to  Restricted  Stock,</w:t>
      </w:r>
    </w:p>
    <w:p>
      <w:pPr>
        <w:spacing w:after="0" w:line="12"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which gives the Grantee ownership rights in the Shares subject to the Award, subject to a substantial risk of forfeiture, as set forth in Paragraph 7, and to deferred payment, as set forth in Paragraph 8.</w:t>
      </w:r>
    </w:p>
    <w:p>
      <w:pPr>
        <w:spacing w:after="0" w:line="172" w:lineRule="exact"/>
        <w:rPr>
          <w:sz w:val="20"/>
          <w:szCs w:val="20"/>
          <w:color w:val="auto"/>
        </w:rPr>
      </w:pPr>
    </w:p>
    <w:p>
      <w:pPr>
        <w:ind w:left="449" w:hanging="449"/>
        <w:spacing w:after="0"/>
        <w:tabs>
          <w:tab w:leader="none" w:pos="4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4" w:lineRule="exact"/>
        <w:rPr>
          <w:rFonts w:ascii="Courier New" w:cs="Courier New" w:eastAsia="Courier New" w:hAnsi="Courier New"/>
          <w:sz w:val="15"/>
          <w:szCs w:val="15"/>
          <w:color w:val="auto"/>
        </w:rPr>
      </w:pPr>
    </w:p>
    <w:p>
      <w:pPr>
        <w:jc w:val="both"/>
        <w:ind w:left="9" w:right="3119" w:firstLine="435"/>
        <w:spacing w:after="0" w:line="262" w:lineRule="auto"/>
        <w:tabs>
          <w:tab w:leader="none" w:pos="808"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4,875,000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60" w:lineRule="exact"/>
        <w:rPr>
          <w:rFonts w:ascii="Courier New" w:cs="Courier New" w:eastAsia="Courier New" w:hAnsi="Courier New"/>
          <w:sz w:val="14"/>
          <w:szCs w:val="14"/>
          <w:color w:val="auto"/>
        </w:rPr>
      </w:pPr>
    </w:p>
    <w:p>
      <w:pPr>
        <w:ind w:left="9" w:right="3119" w:firstLine="435"/>
        <w:spacing w:after="0" w:line="238" w:lineRule="auto"/>
        <w:tabs>
          <w:tab w:leader="none" w:pos="808"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Restricted Stock is forfeited pursuant to the times of an Award, other Awards with respect to such Shares may be granted.</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w:t>
      </w:r>
    </w:p>
    <w:p>
      <w:pPr>
        <w:spacing w:after="0" w:line="174"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4" w:lineRule="exact"/>
        <w:rPr>
          <w:rFonts w:ascii="Courier New" w:cs="Courier New" w:eastAsia="Courier New" w:hAnsi="Courier New"/>
          <w:sz w:val="15"/>
          <w:szCs w:val="15"/>
          <w:color w:val="auto"/>
        </w:rPr>
      </w:pPr>
    </w:p>
    <w:p>
      <w:pPr>
        <w:jc w:val="both"/>
        <w:ind w:left="1329" w:right="3119" w:hanging="442"/>
        <w:spacing w:after="0"/>
        <w:tabs>
          <w:tab w:leader="none" w:pos="1329"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6"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5" w:lineRule="exact"/>
        <w:rPr>
          <w:sz w:val="20"/>
          <w:szCs w:val="20"/>
          <w:color w:val="auto"/>
        </w:rPr>
      </w:pPr>
    </w:p>
    <w:p>
      <w:pPr>
        <w:jc w:val="both"/>
        <w:ind w:left="9" w:right="3119" w:firstLine="435"/>
        <w:spacing w:after="0" w:line="239" w:lineRule="auto"/>
        <w:tabs>
          <w:tab w:leader="none" w:pos="80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28" w:right="1440" w:bottom="1440" w:gutter="0" w:footer="0" w:header="0"/>
        </w:sectPr>
      </w:pPr>
    </w:p>
    <w:bookmarkStart w:id="132" w:name="page133"/>
    <w:bookmarkEnd w:id="132"/>
    <w:p>
      <w:pPr>
        <w:jc w:val="both"/>
        <w:ind w:left="9" w:right="3119" w:firstLine="435"/>
        <w:spacing w:after="0" w:line="260" w:lineRule="auto"/>
        <w:tabs>
          <w:tab w:leader="none" w:pos="808"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61" w:lineRule="exact"/>
        <w:rPr>
          <w:rFonts w:ascii="Courier New" w:cs="Courier New" w:eastAsia="Courier New" w:hAnsi="Courier New"/>
          <w:sz w:val="14"/>
          <w:szCs w:val="14"/>
          <w:color w:val="auto"/>
        </w:rPr>
      </w:pPr>
    </w:p>
    <w:p>
      <w:pPr>
        <w:jc w:val="both"/>
        <w:ind w:left="9" w:right="3119" w:firstLine="435"/>
        <w:spacing w:after="0"/>
        <w:tabs>
          <w:tab w:leader="none" w:pos="808"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74"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Awards may be granted  only to Eligible  Employees,  as  determined  by the</w:t>
      </w:r>
    </w:p>
    <w:p>
      <w:pPr>
        <w:spacing w:after="0" w:line="12"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Committee. No Awards shall be granted to an individual who is not an employee of a Participating Company.</w:t>
      </w:r>
    </w:p>
    <w:p>
      <w:pPr>
        <w:spacing w:after="0" w:line="172" w:lineRule="exact"/>
        <w:rPr>
          <w:sz w:val="20"/>
          <w:szCs w:val="20"/>
          <w:color w:val="auto"/>
        </w:rPr>
      </w:pPr>
    </w:p>
    <w:p>
      <w:pPr>
        <w:ind w:left="449" w:hanging="449"/>
        <w:spacing w:after="0"/>
        <w:tabs>
          <w:tab w:leader="none" w:pos="4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5" w:lineRule="exact"/>
        <w:rPr>
          <w:sz w:val="20"/>
          <w:szCs w:val="20"/>
          <w:color w:val="auto"/>
        </w:rPr>
      </w:pPr>
    </w:p>
    <w:p>
      <w:pPr>
        <w:ind w:left="9" w:right="3119" w:firstLine="435"/>
        <w:spacing w:after="0" w:line="238" w:lineRule="auto"/>
        <w:tabs>
          <w:tab w:leader="none" w:pos="80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ten (10) years from the date of adoption of the Plan by the Board.</w:t>
      </w:r>
    </w:p>
    <w:p>
      <w:pPr>
        <w:spacing w:after="0" w:line="174"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0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Awarded. The provisions of Awards need not be the same with respect to each Grantee. No cash or other consideration shall be required to be paid by the Grantee in exchange for an Award.</w:t>
      </w:r>
    </w:p>
    <w:p>
      <w:pPr>
        <w:spacing w:after="0" w:line="175"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75"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9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Subject to the provisions of the Plan and the Award, during a period set by the Committee commencing with the Date of Grant, which, for Grantees who are subject</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31" w:right="1440" w:bottom="1440" w:gutter="0" w:footer="0" w:header="0"/>
        </w:sectPr>
      </w:pPr>
    </w:p>
    <w:bookmarkStart w:id="133" w:name="page134"/>
    <w:bookmarkEnd w:id="133"/>
    <w:p>
      <w:pPr>
        <w:jc w:val="both"/>
        <w:ind w:left="9" w:right="3119"/>
        <w:spacing w:after="0" w:line="261" w:lineRule="auto"/>
        <w:rPr>
          <w:sz w:val="20"/>
          <w:szCs w:val="20"/>
          <w:color w:val="auto"/>
        </w:rPr>
      </w:pPr>
      <w:r>
        <w:rPr>
          <w:rFonts w:ascii="Courier New" w:cs="Courier New" w:eastAsia="Courier New" w:hAnsi="Courier New"/>
          <w:sz w:val="14"/>
          <w:szCs w:val="14"/>
          <w:color w:val="auto"/>
        </w:rPr>
        <w:t>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62" w:lineRule="exact"/>
        <w:rPr>
          <w:sz w:val="20"/>
          <w:szCs w:val="20"/>
          <w:color w:val="auto"/>
        </w:rPr>
      </w:pPr>
    </w:p>
    <w:p>
      <w:pPr>
        <w:jc w:val="both"/>
        <w:ind w:left="9" w:right="3119" w:firstLine="435"/>
        <w:spacing w:after="0"/>
        <w:tabs>
          <w:tab w:leader="none" w:pos="808"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178"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08"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76"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75" w:lineRule="exact"/>
        <w:rPr>
          <w:rFonts w:ascii="Courier New" w:cs="Courier New" w:eastAsia="Courier New" w:hAnsi="Courier New"/>
          <w:sz w:val="15"/>
          <w:szCs w:val="15"/>
          <w:color w:val="auto"/>
        </w:rPr>
      </w:pPr>
    </w:p>
    <w:p>
      <w:pPr>
        <w:jc w:val="both"/>
        <w:ind w:left="9" w:right="3119" w:firstLine="435"/>
        <w:spacing w:after="0" w:line="259" w:lineRule="auto"/>
        <w:tabs>
          <w:tab w:leader="none" w:pos="808"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62"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spacing w:after="0" w:line="174"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for Awards granted after  September 16, 1997, a Grantee may elect</w:t>
      </w:r>
    </w:p>
    <w:p>
      <w:pPr>
        <w:spacing w:after="0" w:line="12" w:lineRule="exact"/>
        <w:rPr>
          <w:sz w:val="20"/>
          <w:szCs w:val="20"/>
          <w:color w:val="auto"/>
        </w:rPr>
      </w:pPr>
    </w:p>
    <w:p>
      <w:pPr>
        <w:jc w:val="both"/>
        <w:ind w:left="9" w:right="3119"/>
        <w:spacing w:after="0" w:line="271" w:lineRule="auto"/>
        <w:rPr>
          <w:sz w:val="20"/>
          <w:szCs w:val="20"/>
          <w:color w:val="auto"/>
        </w:rPr>
      </w:pPr>
      <w:r>
        <w:rPr>
          <w:rFonts w:ascii="Courier New" w:cs="Courier New" w:eastAsia="Courier New" w:hAnsi="Courier New"/>
          <w:sz w:val="14"/>
          <w:szCs w:val="14"/>
          <w:color w:val="auto"/>
        </w:rPr>
        <w:t>to defer the receipt of Restricted Stock as to which restrictions have lapsed as provided by the Committee in the Award, consistent, however, with the following:</w:t>
      </w:r>
    </w:p>
    <w:p>
      <w:pPr>
        <w:spacing w:after="0" w:line="151" w:lineRule="exact"/>
        <w:rPr>
          <w:sz w:val="20"/>
          <w:szCs w:val="20"/>
          <w:color w:val="auto"/>
        </w:rPr>
      </w:pPr>
    </w:p>
    <w:p>
      <w:pPr>
        <w:ind w:left="449"/>
        <w:spacing w:after="0"/>
        <w:tabs>
          <w:tab w:leader="none" w:pos="869"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Deferral Election.</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31" w:right="1440" w:bottom="1440" w:gutter="0" w:footer="0" w:header="0"/>
        </w:sectPr>
      </w:pPr>
    </w:p>
    <w:bookmarkStart w:id="134" w:name="page135"/>
    <w:bookmarkEnd w:id="134"/>
    <w:p>
      <w:pPr>
        <w:jc w:val="both"/>
        <w:ind w:left="1320" w:right="3119" w:hanging="442"/>
        <w:spacing w:after="0" w:line="261" w:lineRule="auto"/>
        <w:tabs>
          <w:tab w:leader="none" w:pos="132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61" w:lineRule="exact"/>
        <w:rPr>
          <w:rFonts w:ascii="Courier New" w:cs="Courier New" w:eastAsia="Courier New" w:hAnsi="Courier New"/>
          <w:sz w:val="14"/>
          <w:szCs w:val="14"/>
          <w:color w:val="auto"/>
        </w:rPr>
      </w:pPr>
    </w:p>
    <w:p>
      <w:pPr>
        <w:jc w:val="both"/>
        <w:ind w:left="1320" w:right="3119" w:hanging="442"/>
        <w:spacing w:after="0"/>
        <w:tabs>
          <w:tab w:leader="none" w:pos="132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180" w:lineRule="exact"/>
        <w:rPr>
          <w:rFonts w:ascii="Courier New" w:cs="Courier New" w:eastAsia="Courier New" w:hAnsi="Courier New"/>
          <w:sz w:val="15"/>
          <w:szCs w:val="15"/>
          <w:color w:val="auto"/>
        </w:rPr>
      </w:pPr>
    </w:p>
    <w:p>
      <w:pPr>
        <w:jc w:val="both"/>
        <w:ind w:right="3119" w:firstLine="435"/>
        <w:spacing w:after="0"/>
        <w:tabs>
          <w:tab w:leader="none" w:pos="79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74" w:lineRule="exact"/>
        <w:rPr>
          <w:rFonts w:ascii="Courier New" w:cs="Courier New" w:eastAsia="Courier New" w:hAnsi="Courier New"/>
          <w:sz w:val="15"/>
          <w:szCs w:val="15"/>
          <w:color w:val="auto"/>
        </w:rPr>
      </w:pPr>
    </w:p>
    <w:p>
      <w:pPr>
        <w:jc w:val="both"/>
        <w:ind w:right="3119" w:firstLine="435"/>
        <w:spacing w:after="0"/>
        <w:tabs>
          <w:tab w:leader="none" w:pos="79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77"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Deferral Election.</w:t>
      </w:r>
    </w:p>
    <w:p>
      <w:pPr>
        <w:spacing w:after="0" w:line="174" w:lineRule="exact"/>
        <w:rPr>
          <w:rFonts w:ascii="Courier New" w:cs="Courier New" w:eastAsia="Courier New" w:hAnsi="Courier New"/>
          <w:sz w:val="15"/>
          <w:szCs w:val="15"/>
          <w:color w:val="auto"/>
        </w:rPr>
      </w:pPr>
    </w:p>
    <w:p>
      <w:pPr>
        <w:jc w:val="both"/>
        <w:ind w:left="1320" w:right="3119" w:hanging="442"/>
        <w:spacing w:after="0" w:line="260" w:lineRule="auto"/>
        <w:tabs>
          <w:tab w:leader="none" w:pos="132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19"/>
          </w:cols>
          <w:pgMar w:left="240" w:top="631" w:right="1440" w:bottom="1440" w:gutter="0" w:footer="0" w:header="0"/>
        </w:sectPr>
      </w:pPr>
    </w:p>
    <w:bookmarkStart w:id="135" w:name="page136"/>
    <w:bookmarkEnd w:id="135"/>
    <w:p>
      <w:pPr>
        <w:jc w:val="both"/>
        <w:ind w:left="1320" w:right="3119"/>
        <w:spacing w:after="0" w:line="239" w:lineRule="auto"/>
        <w:rPr>
          <w:sz w:val="20"/>
          <w:szCs w:val="20"/>
          <w:color w:val="auto"/>
        </w:rPr>
      </w:pPr>
      <w:r>
        <w:rPr>
          <w:rFonts w:ascii="Courier New" w:cs="Courier New" w:eastAsia="Courier New" w:hAnsi="Courier New"/>
          <w:sz w:val="15"/>
          <w:szCs w:val="15"/>
          <w:color w:val="auto"/>
        </w:rPr>
        <w:t>distribution date, by filing an Election with the Committee on or before the close of business on June 30 of the calendar year preceding the calendar year in which the distribution would otherwise be made.</w:t>
      </w:r>
    </w:p>
    <w:p>
      <w:pPr>
        <w:spacing w:after="0" w:line="176" w:lineRule="exact"/>
        <w:rPr>
          <w:sz w:val="20"/>
          <w:szCs w:val="20"/>
          <w:color w:val="auto"/>
        </w:rPr>
      </w:pPr>
    </w:p>
    <w:p>
      <w:pPr>
        <w:jc w:val="both"/>
        <w:ind w:left="1320" w:right="3119" w:hanging="442"/>
        <w:spacing w:after="0"/>
        <w:tabs>
          <w:tab w:leader="none" w:pos="13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86" w:lineRule="exact"/>
        <w:rPr>
          <w:sz w:val="20"/>
          <w:szCs w:val="20"/>
          <w:color w:val="auto"/>
        </w:rPr>
      </w:pPr>
    </w:p>
    <w:p>
      <w:pPr>
        <w:jc w:val="both"/>
        <w:ind w:left="1320" w:right="3119" w:hanging="443"/>
        <w:spacing w:after="0"/>
        <w:rPr>
          <w:sz w:val="20"/>
          <w:szCs w:val="20"/>
          <w:color w:val="auto"/>
        </w:rPr>
      </w:pPr>
      <w:r>
        <w:rPr>
          <w:rFonts w:ascii="Courier New" w:cs="Courier New" w:eastAsia="Courier New" w:hAnsi="Courier New"/>
          <w:sz w:val="15"/>
          <w:szCs w:val="15"/>
          <w:color w:val="auto"/>
        </w:rPr>
        <w:t>(iii)A Disabled Grantee may elect to accelerate the distribution</w:t>
      </w:r>
      <w:r>
        <w:rPr>
          <w:sz w:val="20"/>
          <w:szCs w:val="20"/>
          <w:color w:val="auto"/>
        </w:rPr>
        <w:t xml:space="preserve"> </w:t>
      </w:r>
      <w:r>
        <w:rPr>
          <w:rFonts w:ascii="Courier New" w:cs="Courier New" w:eastAsia="Courier New" w:hAnsi="Courier New"/>
          <w:sz w:val="15"/>
          <w:szCs w:val="15"/>
          <w:color w:val="auto"/>
        </w:rPr>
        <w:t>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 calendar year,</w:t>
      </w:r>
    </w:p>
    <w:p>
      <w:pPr>
        <w:spacing w:after="0" w:line="6" w:lineRule="exact"/>
        <w:rPr>
          <w:sz w:val="20"/>
          <w:szCs w:val="20"/>
          <w:color w:val="auto"/>
        </w:rPr>
      </w:pPr>
    </w:p>
    <w:p>
      <w:pPr>
        <w:jc w:val="both"/>
        <w:ind w:left="1320" w:right="3119" w:firstLine="2"/>
        <w:spacing w:after="0"/>
        <w:tabs>
          <w:tab w:leader="none" w:pos="1675"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175" w:lineRule="exact"/>
        <w:rPr>
          <w:rFonts w:ascii="Courier New" w:cs="Courier New" w:eastAsia="Courier New" w:hAnsi="Courier New"/>
          <w:sz w:val="15"/>
          <w:szCs w:val="15"/>
          <w:color w:val="auto"/>
        </w:rPr>
      </w:pPr>
    </w:p>
    <w:p>
      <w:pPr>
        <w:jc w:val="both"/>
        <w:ind w:left="1320" w:right="3119" w:hanging="442"/>
        <w:spacing w:after="0"/>
        <w:tabs>
          <w:tab w:leader="none" w:pos="13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19"/>
          </w:cols>
          <w:pgMar w:left="240" w:top="631" w:right="1440" w:bottom="1440" w:gutter="0" w:footer="0" w:header="0"/>
        </w:sectPr>
      </w:pPr>
    </w:p>
    <w:bookmarkStart w:id="136" w:name="page137"/>
    <w:bookmarkEnd w:id="136"/>
    <w:p>
      <w:pPr>
        <w:jc w:val="both"/>
        <w:ind w:left="1329" w:right="3119"/>
        <w:spacing w:after="0"/>
        <w:rPr>
          <w:sz w:val="20"/>
          <w:szCs w:val="20"/>
          <w:color w:val="auto"/>
        </w:rPr>
      </w:pPr>
      <w:r>
        <w:rPr>
          <w:rFonts w:ascii="Courier New" w:cs="Courier New" w:eastAsia="Courier New" w:hAnsi="Courier New"/>
          <w:sz w:val="15"/>
          <w:szCs w:val="15"/>
          <w:color w:val="auto"/>
        </w:rPr>
        <w:t>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75" w:lineRule="exact"/>
        <w:rPr>
          <w:sz w:val="20"/>
          <w:szCs w:val="20"/>
          <w:color w:val="auto"/>
        </w:rPr>
      </w:pPr>
    </w:p>
    <w:p>
      <w:pPr>
        <w:jc w:val="both"/>
        <w:ind w:left="9" w:right="3119" w:firstLine="435"/>
        <w:spacing w:after="0"/>
        <w:tabs>
          <w:tab w:leader="none" w:pos="80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77" w:lineRule="exact"/>
        <w:rPr>
          <w:rFonts w:ascii="Courier New" w:cs="Courier New" w:eastAsia="Courier New" w:hAnsi="Courier New"/>
          <w:sz w:val="15"/>
          <w:szCs w:val="15"/>
          <w:color w:val="auto"/>
        </w:rPr>
      </w:pPr>
    </w:p>
    <w:p>
      <w:pPr>
        <w:jc w:val="both"/>
        <w:ind w:left="9" w:right="3119" w:firstLine="435"/>
        <w:spacing w:after="0"/>
        <w:tabs>
          <w:tab w:leader="none" w:pos="896"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TAXES</w:t>
      </w:r>
    </w:p>
    <w:p>
      <w:pPr>
        <w:spacing w:after="0" w:line="174"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76"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75"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 Liabilities; Election to Withhold Shares or Pay Cash to Satisfy Tax Liability.</w:t>
      </w:r>
    </w:p>
    <w:p>
      <w:pPr>
        <w:spacing w:after="0" w:line="174" w:lineRule="exact"/>
        <w:rPr>
          <w:rFonts w:ascii="Courier New" w:cs="Courier New" w:eastAsia="Courier New" w:hAnsi="Courier New"/>
          <w:sz w:val="15"/>
          <w:szCs w:val="15"/>
          <w:color w:val="auto"/>
        </w:rPr>
      </w:pPr>
    </w:p>
    <w:p>
      <w:pPr>
        <w:jc w:val="both"/>
        <w:ind w:left="1329" w:right="3119" w:hanging="442"/>
        <w:spacing w:after="0" w:line="258" w:lineRule="auto"/>
        <w:tabs>
          <w:tab w:leader="none" w:pos="1329" w:val="left"/>
        </w:tabs>
        <w:numPr>
          <w:ilvl w:val="2"/>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w:t>
      </w:r>
    </w:p>
    <w:p>
      <w:pPr>
        <w:jc w:val="both"/>
        <w:ind w:left="1329" w:right="3119" w:firstLine="2"/>
        <w:spacing w:after="0" w:line="239" w:lineRule="auto"/>
        <w:tabs>
          <w:tab w:leader="none" w:pos="1773" w:val="left"/>
        </w:tabs>
        <w:numPr>
          <w:ilvl w:val="3"/>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the Grantee to remit to the Company an amount sufficient to satisfy any federal, state and/or local withholding tax requirements prior to the</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31" w:right="1440" w:bottom="1440" w:gutter="0" w:footer="0" w:header="0"/>
        </w:sectPr>
      </w:pPr>
    </w:p>
    <w:bookmarkStart w:id="137" w:name="page138"/>
    <w:bookmarkEnd w:id="137"/>
    <w:p>
      <w:pPr>
        <w:jc w:val="both"/>
        <w:ind w:left="1329" w:right="3119"/>
        <w:spacing w:after="0"/>
        <w:rPr>
          <w:sz w:val="20"/>
          <w:szCs w:val="20"/>
          <w:color w:val="auto"/>
        </w:rPr>
      </w:pPr>
      <w:r>
        <w:rPr>
          <w:rFonts w:ascii="Courier New" w:cs="Courier New" w:eastAsia="Courier New" w:hAnsi="Courier New"/>
          <w:sz w:val="15"/>
          <w:szCs w:val="15"/>
          <w:color w:val="auto"/>
        </w:rPr>
        <w:t>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76" w:lineRule="exact"/>
        <w:rPr>
          <w:sz w:val="20"/>
          <w:szCs w:val="20"/>
          <w:color w:val="auto"/>
        </w:rPr>
      </w:pPr>
    </w:p>
    <w:p>
      <w:pPr>
        <w:jc w:val="both"/>
        <w:ind w:left="1329" w:right="3119" w:hanging="442"/>
        <w:spacing w:after="0" w:line="258" w:lineRule="auto"/>
        <w:tabs>
          <w:tab w:leader="none" w:pos="1329"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344"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31" w:right="1440" w:bottom="1440" w:gutter="0" w:footer="0" w:header="0"/>
        </w:sectPr>
      </w:pPr>
    </w:p>
    <w:bookmarkStart w:id="138" w:name="page139"/>
    <w:bookmarkEnd w:id="138"/>
    <w:p>
      <w:pPr>
        <w:jc w:val="both"/>
        <w:ind w:left="9" w:right="3119" w:firstLine="444"/>
        <w:spacing w:after="0"/>
        <w:rPr>
          <w:sz w:val="20"/>
          <w:szCs w:val="20"/>
          <w:color w:val="auto"/>
        </w:rPr>
      </w:pPr>
      <w:r>
        <w:rPr>
          <w:rFonts w:ascii="Courier New" w:cs="Courier New" w:eastAsia="Courier New" w:hAnsi="Courier New"/>
          <w:sz w:val="15"/>
          <w:szCs w:val="15"/>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78" w:lineRule="exact"/>
        <w:rPr>
          <w:sz w:val="20"/>
          <w:szCs w:val="20"/>
          <w:color w:val="auto"/>
        </w:rPr>
      </w:pPr>
    </w:p>
    <w:p>
      <w:pPr>
        <w:ind w:left="449" w:hanging="449"/>
        <w:spacing w:after="0"/>
        <w:tabs>
          <w:tab w:leader="none" w:pos="4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176" w:lineRule="exact"/>
        <w:rPr>
          <w:sz w:val="20"/>
          <w:szCs w:val="20"/>
          <w:color w:val="auto"/>
        </w:rPr>
      </w:pPr>
    </w:p>
    <w:p>
      <w:pPr>
        <w:ind w:left="449" w:hanging="449"/>
        <w:spacing w:after="0"/>
        <w:tabs>
          <w:tab w:leader="none" w:pos="44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74"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57" w:lineRule="exact"/>
        <w:rPr>
          <w:sz w:val="20"/>
          <w:szCs w:val="20"/>
          <w:color w:val="auto"/>
        </w:rPr>
      </w:pPr>
    </w:p>
    <w:p>
      <w:pPr>
        <w:ind w:left="449" w:hanging="449"/>
        <w:spacing w:after="0"/>
        <w:tabs>
          <w:tab w:leader="none" w:pos="44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effective date of this amendment and restatement of the Plan is the date on which it is adopted by the Board.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34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631" w:right="1440" w:bottom="1440" w:gutter="0" w:footer="0" w:header="0"/>
        </w:sectPr>
      </w:pPr>
    </w:p>
    <w:bookmarkStart w:id="139" w:name="page140"/>
    <w:bookmarkEnd w:id="139"/>
    <w:p>
      <w:pPr>
        <w:ind w:left="449" w:hanging="449"/>
        <w:spacing w:after="0"/>
        <w:tabs>
          <w:tab w:leader="none" w:pos="44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75" w:lineRule="exact"/>
        <w:rPr>
          <w:sz w:val="20"/>
          <w:szCs w:val="20"/>
          <w:color w:val="auto"/>
        </w:rPr>
      </w:pPr>
    </w:p>
    <w:p>
      <w:pPr>
        <w:jc w:val="center"/>
        <w:ind w:right="10"/>
        <w:spacing w:after="0"/>
        <w:rPr>
          <w:sz w:val="20"/>
          <w:szCs w:val="20"/>
          <w:color w:val="auto"/>
        </w:rPr>
      </w:pPr>
      <w:r>
        <w:rPr>
          <w:rFonts w:ascii="Courier New" w:cs="Courier New" w:eastAsia="Courier New" w:hAnsi="Courier New"/>
          <w:sz w:val="14"/>
          <w:szCs w:val="14"/>
          <w:color w:val="auto"/>
        </w:rPr>
        <w:t>Executed as of the 15th day of December, 1998</w:t>
      </w:r>
    </w:p>
    <w:p>
      <w:pPr>
        <w:spacing w:after="0" w:line="35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BY: /s/ Stanley Wang</w:t>
      </w:r>
    </w:p>
    <w:p>
      <w:pPr>
        <w:spacing w:after="0" w:line="34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ATTEST: /s/ Arthur R. Block</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#54110 v11 (15R211!.WPD)</w:t>
      </w:r>
    </w:p>
    <w:p>
      <w:pPr>
        <w:sectPr>
          <w:pgSz w:w="11900" w:h="16838" w:orient="portrait"/>
          <w:cols w:equalWidth="0" w:num="1">
            <w:col w:w="10228"/>
          </w:cols>
          <w:pgMar w:left="231" w:top="799" w:right="1440" w:bottom="1440" w:gutter="0" w:footer="0" w:header="0"/>
        </w:sectPr>
      </w:pPr>
    </w:p>
    <w:bookmarkStart w:id="140" w:name="page141"/>
    <w:bookmarkEnd w:id="140"/>
    <w:p>
      <w:pPr>
        <w:spacing w:after="0" w:line="4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1996 CASH BONUS PLAN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(Amended and Restated, Effective December 15, 1998)</w:t>
      </w:r>
    </w:p>
    <w:p>
      <w:pPr>
        <w:spacing w:after="0" w:line="171" w:lineRule="exact"/>
        <w:rPr>
          <w:sz w:val="20"/>
          <w:szCs w:val="20"/>
          <w:color w:val="auto"/>
        </w:rPr>
      </w:pPr>
    </w:p>
    <w:p>
      <w:pPr>
        <w:ind w:left="880" w:hanging="445"/>
        <w:spacing w:after="0"/>
        <w:tabs>
          <w:tab w:leader="none" w:pos="88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The purpose of the Plan is to promote the ability of Comcast Corporation (the "Company") and its Subsidiaries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72" w:lineRule="exact"/>
        <w:rPr>
          <w:sz w:val="20"/>
          <w:szCs w:val="20"/>
          <w:color w:val="auto"/>
        </w:rPr>
      </w:pPr>
    </w:p>
    <w:p>
      <w:pPr>
        <w:ind w:left="880" w:hanging="445"/>
        <w:spacing w:after="0"/>
        <w:tabs>
          <w:tab w:leader="none" w:pos="8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6"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Percent" means the percentage that corresponds to a Modified Target, as identified in Exhibit A.</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Amount at Risk" means the amount designated by the Committee for each Plan Year as the maximum portion of the Award payable for such Plan Year, provided that the "Annual Amount at Risk" for the last Plan Year of an Award shall not include the Last Year Amount at Risk.</w:t>
      </w:r>
    </w:p>
    <w:p>
      <w:pPr>
        <w:spacing w:after="0" w:line="176"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or "Cash Bonus Award" means a cash bonus award granted under the Plan.</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Period" means the period extending from January 1 of the first Plan Year for which there is an Annual Amount at Risk through December 31 of the last Plan Year for which there is an Annual Amount at Risk.</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Year" means 1995, except as otherwise provided by the Committee and provided in an Award.</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119" w:firstLine="878"/>
        <w:spacing w:after="0" w:line="238" w:lineRule="auto"/>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means the Consolidated Operating Cash Flow of the Company, the Cable Division or the Cellular Division, as applicable, for the Base Year.</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Division" means the Company's cable television business, as determined by the Committee in its sole discretion.</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"Cellular Division" means the Company's cellular telephone business, as determined by the Committee in its sole discretion.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4"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Paragraph 2(m)(ii), "Company" means Comcast Corporation, a Pennsylvania corporation, including any successor thereto by merger, consolidation, acquisition of all or substantially all the assets thereof, or otherwise.</w:t>
      </w:r>
    </w:p>
    <w:p>
      <w:pPr>
        <w:spacing w:after="0" w:line="176" w:lineRule="exact"/>
        <w:rPr>
          <w:rFonts w:ascii="Courier New" w:cs="Courier New" w:eastAsia="Courier New" w:hAnsi="Courier New"/>
          <w:sz w:val="15"/>
          <w:szCs w:val="15"/>
          <w:color w:val="auto"/>
        </w:rPr>
      </w:pPr>
    </w:p>
    <w:p>
      <w:pPr>
        <w:ind w:right="3119" w:firstLine="1322"/>
        <w:spacing w:after="0" w:line="238" w:lineRule="auto"/>
        <w:tabs>
          <w:tab w:leader="none" w:pos="1775"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 Eligible Employee's employer, "Company" means Comcast Corporation, a Pennsylvania corporation.</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"Compounded Annual Growth Rate" means the value determined under the following mathematical formula:</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 [(1+r)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C, r and n have the definitions provided in this Paragraph 2 of the Plan.</w:t>
      </w:r>
    </w:p>
    <w:p>
      <w:pPr>
        <w:spacing w:after="0" w:line="183" w:lineRule="exact"/>
        <w:rPr>
          <w:sz w:val="20"/>
          <w:szCs w:val="20"/>
          <w:color w:val="auto"/>
        </w:rPr>
      </w:pPr>
    </w:p>
    <w:p>
      <w:pPr>
        <w:jc w:val="both"/>
        <w:ind w:right="3119" w:firstLine="878"/>
        <w:spacing w:after="0" w:line="260" w:lineRule="auto"/>
        <w:tabs>
          <w:tab w:leader="none" w:pos="14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Operating Cash Flow" means the consolidated operating income plus depreciation and amortization, of the Company, the Cable Division or the Cellular Division, as applicable, for a Plan Year, as determined by the Committee in accordance with generally accepted accounting principles. If the results of operations of a business acquired or disposed of after December 31 of the Base Year would, under generally accepted accounting principles, be included (in the case of an acquisition) or excluded (in the case of a disposition) from the consolidated financial statements of the Company, the</w:t>
      </w:r>
    </w:p>
    <w:p>
      <w:pPr>
        <w:sectPr>
          <w:pgSz w:w="11900" w:h="16883" w:orient="portrait"/>
          <w:cols w:equalWidth="0" w:num="1">
            <w:col w:w="10219"/>
          </w:cols>
          <w:pgMar w:left="240" w:top="139" w:right="1440" w:bottom="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Cable Division or the Cellular</w:t>
      </w:r>
    </w:p>
    <w:p>
      <w:pPr>
        <w:spacing w:after="0" w:line="171"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139" w:right="1440" w:bottom="1440" w:gutter="0" w:footer="0" w:header="0"/>
        </w:sectPr>
      </w:pPr>
    </w:p>
    <w:bookmarkStart w:id="142" w:name="page143"/>
    <w:bookmarkEnd w:id="142"/>
    <w:p>
      <w:pPr>
        <w:jc w:val="both"/>
        <w:ind w:right="3119"/>
        <w:spacing w:after="0"/>
        <w:rPr>
          <w:sz w:val="20"/>
          <w:szCs w:val="20"/>
          <w:color w:val="auto"/>
        </w:rPr>
      </w:pPr>
      <w:r>
        <w:rPr>
          <w:rFonts w:ascii="Courier New" w:cs="Courier New" w:eastAsia="Courier New" w:hAnsi="Courier New"/>
          <w:sz w:val="15"/>
          <w:szCs w:val="15"/>
          <w:color w:val="auto"/>
        </w:rPr>
        <w:t>Division, as applicable, from the date of acquisition or disposition, and, in such event, the Committee decides in its sole discretion that such inclusion or exclusion will materially affect the comparability of such amount for the Plan Year in which the acquisition or disposition occurs and each Plan Year thereafter to that for the Base Year, then for the purpose of determining whether the Target has been met for the Plan Year in which the acquisition or disposition occurs and each Plan Year thereafter only, the Consolidated Operating Cash Flow for the Base Year shall be restated to account for such acquisition or disposition as if it had occurred on January 1 of the Base Year, using actual historical financial information for the acquired or disposed of business. The Committee may also decide in its sole discretion that an event (such as a non-recurring item or the results of a start-up or development stage business) in a Plan Year will materially affect the comparability of the results of operations for such Plan Year to that for the Base Year, in which case the Committee may restate the results of operations for such Plan Year to make an equitable adjustment thereto.</w:t>
      </w:r>
    </w:p>
    <w:p>
      <w:pPr>
        <w:spacing w:after="0" w:line="183" w:lineRule="exact"/>
        <w:rPr>
          <w:sz w:val="20"/>
          <w:szCs w:val="20"/>
          <w:color w:val="auto"/>
        </w:rPr>
      </w:pPr>
    </w:p>
    <w:p>
      <w:pPr>
        <w:jc w:val="both"/>
        <w:ind w:right="3119" w:firstLine="878"/>
        <w:spacing w:after="0" w:line="239" w:lineRule="auto"/>
        <w:tabs>
          <w:tab w:leader="none" w:pos="124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Annual Amount at Risk" means, for any Plan Year, the sum of the Annual Amount at Risk for such Plan Year and each preceding Plan Year in the Award Period.</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Company or a Subsidiary, as determined by the Committee.</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"Last Year Amount at Risk" means the amount designated by the Committee as the portion of the Award at risk for the last Plan Year in the Award Period, provided that the "Last Year Amount at Risk" shall not include the portion of the Award designated by the Committee as the Annual Amount at Risk for the such Plan Year.</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"Modified Target" means for any Plan Year beginning after 1996, Consolidated Operating Cash Flow for the Company, the Cable Division or the Cellular Division, as applicable, which equals or exceeds a percentage of the Compounded Annual Growth Rate for such Plan Year as established by the Committee for the Company, the Cable Division or the Cellular Division, as applicable; provided that any fractional percentage shall be rounded to the nearest identified percentage.</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 means a value applied for purposes of determining the Compounded Annual Growth Rate for the Company, the Cable Division or the Cellular Division, as applicable, as follows:</w:t>
      </w:r>
    </w:p>
    <w:p>
      <w:pPr>
        <w:spacing w:after="0" w:line="175" w:lineRule="exact"/>
        <w:rPr>
          <w:rFonts w:ascii="Courier New" w:cs="Courier New" w:eastAsia="Courier New" w:hAnsi="Courier New"/>
          <w:sz w:val="15"/>
          <w:szCs w:val="15"/>
          <w:color w:val="auto"/>
        </w:rPr>
      </w:pPr>
    </w:p>
    <w:p>
      <w:pPr>
        <w:ind w:right="3119" w:firstLine="1322"/>
        <w:spacing w:after="0" w:line="238" w:lineRule="auto"/>
        <w:tabs>
          <w:tab w:leader="none" w:pos="1686"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the first Plan Year beginning after the Base Year, n = 1.</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801" w:right="1440" w:bottom="1440" w:gutter="0" w:footer="0" w:header="0"/>
        </w:sectPr>
      </w:pPr>
    </w:p>
    <w:bookmarkStart w:id="143" w:name="page144"/>
    <w:bookmarkEnd w:id="143"/>
    <w:p>
      <w:pPr>
        <w:ind w:right="3119" w:firstLine="1322"/>
        <w:spacing w:after="0" w:line="238" w:lineRule="auto"/>
        <w:tabs>
          <w:tab w:leader="none" w:pos="1775"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the second Plan Year beginning after the Base Year, n = 2.</w:t>
      </w:r>
    </w:p>
    <w:p>
      <w:pPr>
        <w:spacing w:after="0" w:line="174" w:lineRule="exact"/>
        <w:rPr>
          <w:rFonts w:ascii="Courier New" w:cs="Courier New" w:eastAsia="Courier New" w:hAnsi="Courier New"/>
          <w:sz w:val="15"/>
          <w:szCs w:val="15"/>
          <w:color w:val="auto"/>
        </w:rPr>
      </w:pPr>
    </w:p>
    <w:p>
      <w:pPr>
        <w:ind w:right="3119" w:firstLine="1322"/>
        <w:spacing w:after="0" w:line="238" w:lineRule="auto"/>
        <w:tabs>
          <w:tab w:leader="none" w:pos="1864"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the third Plan Year beginning after the Base Year, n = 3.</w:t>
      </w:r>
    </w:p>
    <w:p>
      <w:pPr>
        <w:spacing w:after="0" w:line="174" w:lineRule="exact"/>
        <w:rPr>
          <w:rFonts w:ascii="Courier New" w:cs="Courier New" w:eastAsia="Courier New" w:hAnsi="Courier New"/>
          <w:sz w:val="15"/>
          <w:szCs w:val="15"/>
          <w:color w:val="auto"/>
        </w:rPr>
      </w:pPr>
    </w:p>
    <w:p>
      <w:pPr>
        <w:ind w:right="3119" w:firstLine="1322"/>
        <w:spacing w:after="0" w:line="238" w:lineRule="auto"/>
        <w:tabs>
          <w:tab w:leader="none" w:pos="1775"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the fourth Plan Year beginning after the Base Year, n = 4.</w:t>
      </w:r>
    </w:p>
    <w:p>
      <w:pPr>
        <w:spacing w:after="0" w:line="174" w:lineRule="exact"/>
        <w:rPr>
          <w:rFonts w:ascii="Courier New" w:cs="Courier New" w:eastAsia="Courier New" w:hAnsi="Courier New"/>
          <w:sz w:val="15"/>
          <w:szCs w:val="15"/>
          <w:color w:val="auto"/>
        </w:rPr>
      </w:pPr>
    </w:p>
    <w:p>
      <w:pPr>
        <w:ind w:right="3119" w:firstLine="1322"/>
        <w:spacing w:after="0" w:line="238" w:lineRule="auto"/>
        <w:tabs>
          <w:tab w:leader="none" w:pos="1686"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the fifth Plan Year beginning after the Base Year, n = 5.</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1996 Cash Bonus Plan, as set forth herein, and as amended from time to time.</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calendar year.</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 means the interest rate established by the Committee for purposes of determining the Compounded Annual Growth Rate for the Company, the Cable Division or the Cellular Division, as applicable.</w:t>
      </w:r>
    </w:p>
    <w:p>
      <w:pPr>
        <w:spacing w:after="0" w:line="175" w:lineRule="exact"/>
        <w:rPr>
          <w:sz w:val="20"/>
          <w:szCs w:val="20"/>
          <w:color w:val="auto"/>
        </w:rPr>
      </w:pPr>
    </w:p>
    <w:p>
      <w:pPr>
        <w:ind w:left="1420" w:hanging="542"/>
        <w:spacing w:after="0"/>
        <w:tabs>
          <w:tab w:leader="none" w:pos="14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Roberts Family:</w:t>
      </w:r>
    </w:p>
    <w:p>
      <w:pPr>
        <w:spacing w:after="0" w:line="171" w:lineRule="exact"/>
        <w:rPr>
          <w:rFonts w:ascii="Courier New" w:cs="Courier New" w:eastAsia="Courier New" w:hAnsi="Courier New"/>
          <w:sz w:val="14"/>
          <w:szCs w:val="14"/>
          <w:color w:val="auto"/>
        </w:rPr>
      </w:pPr>
    </w:p>
    <w:p>
      <w:pPr>
        <w:ind w:left="1680" w:hanging="358"/>
        <w:spacing w:after="0"/>
        <w:tabs>
          <w:tab w:leader="none" w:pos="168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4" w:lineRule="exact"/>
        <w:rPr>
          <w:rFonts w:ascii="Courier New" w:cs="Courier New" w:eastAsia="Courier New" w:hAnsi="Courier New"/>
          <w:sz w:val="15"/>
          <w:szCs w:val="15"/>
          <w:color w:val="auto"/>
        </w:rPr>
      </w:pPr>
    </w:p>
    <w:p>
      <w:pPr>
        <w:ind w:right="3119" w:firstLine="1322"/>
        <w:spacing w:after="0" w:line="238" w:lineRule="auto"/>
        <w:tabs>
          <w:tab w:leader="none" w:pos="1864"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established for the benefit of any of Ralph J. Roberts and/or a lineal descendant or descendants of Ralph J. Roberts.</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4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corporation that, at the time in question, is a subsidiary corporation of the Company, within the meaning of section 424(f) of the Code.</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means, for any Plan Year beginning after the Base Year, Consolidated Operating Cash Flow for the Company, the Cable Division or the Cellular Division, as applicable, which equals or exceeds the Compounded Annual Growth Rate for such Plan Year, based on the annualized interest rate, "r," established by the Committee for the Company, the Cable Division or the Cellular Division, as applicable.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44" w:name="page145"/>
    <w:bookmarkEnd w:id="144"/>
    <w:p>
      <w:pPr>
        <w:ind w:left="1320" w:hanging="442"/>
        <w:spacing w:after="0"/>
        <w:tabs>
          <w:tab w:leader="none" w:pos="132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4" w:lineRule="exact"/>
        <w:rPr>
          <w:rFonts w:ascii="Courier New" w:cs="Courier New" w:eastAsia="Courier New" w:hAnsi="Courier New"/>
          <w:sz w:val="15"/>
          <w:szCs w:val="15"/>
          <w:color w:val="auto"/>
        </w:rPr>
      </w:pPr>
    </w:p>
    <w:p>
      <w:pPr>
        <w:jc w:val="both"/>
        <w:ind w:right="3119" w:firstLine="878"/>
        <w:spacing w:after="0" w:line="264" w:lineRule="auto"/>
        <w:tabs>
          <w:tab w:leader="none" w:pos="1331"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59" w:lineRule="exact"/>
        <w:rPr>
          <w:rFonts w:ascii="Courier New" w:cs="Courier New" w:eastAsia="Courier New" w:hAnsi="Courier New"/>
          <w:sz w:val="14"/>
          <w:szCs w:val="14"/>
          <w:color w:val="auto"/>
        </w:rPr>
      </w:pPr>
    </w:p>
    <w:p>
      <w:pPr>
        <w:ind w:right="3119" w:firstLine="878"/>
        <w:spacing w:after="0" w:line="238" w:lineRule="auto"/>
        <w:tabs>
          <w:tab w:leader="none" w:pos="142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Annual Amounts at Risk" means the sum of the Annual Amounts at Risk for an Award.</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Rights that may be granted under the Plan are rights to cash payments,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in accordance with the terms of the Plan and the Award document.</w:t>
      </w:r>
    </w:p>
    <w:p>
      <w:pPr>
        <w:spacing w:after="0" w:line="171" w:lineRule="exact"/>
        <w:rPr>
          <w:sz w:val="20"/>
          <w:szCs w:val="20"/>
          <w:color w:val="auto"/>
        </w:rPr>
      </w:pPr>
    </w:p>
    <w:p>
      <w:pPr>
        <w:ind w:left="880" w:hanging="445"/>
        <w:spacing w:after="0"/>
        <w:tabs>
          <w:tab w:leader="none" w:pos="8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4"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2"/>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864" w:val="left"/>
        </w:tabs>
        <w:numPr>
          <w:ilvl w:val="2"/>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5" w:lineRule="exact"/>
        <w:rPr>
          <w:sz w:val="20"/>
          <w:szCs w:val="20"/>
          <w:color w:val="auto"/>
        </w:rPr>
      </w:pPr>
    </w:p>
    <w:p>
      <w:pPr>
        <w:jc w:val="both"/>
        <w:ind w:right="3119" w:firstLine="878"/>
        <w:spacing w:after="0" w:line="239" w:lineRule="auto"/>
        <w:tabs>
          <w:tab w:leader="none" w:pos="133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6" w:lineRule="exact"/>
        <w:rPr>
          <w:rFonts w:ascii="Courier New" w:cs="Courier New" w:eastAsia="Courier New" w:hAnsi="Courier New"/>
          <w:sz w:val="15"/>
          <w:szCs w:val="15"/>
          <w:color w:val="auto"/>
        </w:rPr>
      </w:pPr>
    </w:p>
    <w:p>
      <w:pPr>
        <w:jc w:val="both"/>
        <w:ind w:right="3119" w:firstLine="878"/>
        <w:spacing w:after="0" w:line="239" w:lineRule="auto"/>
        <w:tabs>
          <w:tab w:leader="none" w:pos="124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Awards thereunder unless (i) the member 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28" w:right="1440" w:bottom="1440" w:gutter="0" w:footer="0" w:header="0"/>
        </w:sectPr>
      </w:pPr>
    </w:p>
    <w:bookmarkStart w:id="145" w:name="page146"/>
    <w:bookmarkEnd w:id="145"/>
    <w:p>
      <w:pPr>
        <w:ind w:left="9"/>
        <w:spacing w:after="0"/>
        <w:tabs>
          <w:tab w:leader="none" w:pos="429" w:val="left"/>
          <w:tab w:leader="none" w:pos="1409" w:val="left"/>
          <w:tab w:leader="none" w:pos="6809" w:val="left"/>
        </w:tabs>
        <w:rPr>
          <w:sz w:val="20"/>
          <w:szCs w:val="20"/>
          <w:color w:val="auto"/>
        </w:rPr>
      </w:pPr>
      <w:r>
        <w:rPr>
          <w:rFonts w:ascii="Courier New" w:cs="Courier New" w:eastAsia="Courier New" w:hAnsi="Courier New"/>
          <w:sz w:val="15"/>
          <w:szCs w:val="15"/>
          <w:color w:val="auto"/>
        </w:rPr>
        <w:t>the</w:t>
        <w:tab/>
        <w:t>Committee</w:t>
        <w:tab/>
        <w:t>has breached or failed to perform the duties of his office,</w:t>
        <w:tab/>
        <w:t>and</w:t>
      </w:r>
    </w:p>
    <w:p>
      <w:pPr>
        <w:spacing w:after="0" w:line="3" w:lineRule="exact"/>
        <w:rPr>
          <w:sz w:val="20"/>
          <w:szCs w:val="20"/>
          <w:color w:val="auto"/>
        </w:rPr>
      </w:pPr>
    </w:p>
    <w:p>
      <w:pPr>
        <w:jc w:val="both"/>
        <w:ind w:left="9" w:right="3119" w:hanging="9"/>
        <w:spacing w:after="0" w:line="239" w:lineRule="auto"/>
        <w:tabs>
          <w:tab w:leader="none" w:pos="54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failure to perform constitutes self-dealing, wilful misconduct or recklessness; provided, however, that the provisions of this Paragraph 4(d) shall not apply to the responsibility or liability of a member of the Committee pursuant to any criminal statute.</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251"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74"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sz w:val="20"/>
          <w:szCs w:val="20"/>
          <w:color w:val="auto"/>
        </w:rPr>
      </w:pPr>
    </w:p>
    <w:p>
      <w:pPr>
        <w:jc w:val="both"/>
        <w:ind w:left="9" w:right="3119" w:firstLine="887"/>
        <w:spacing w:after="0" w:line="264" w:lineRule="auto"/>
        <w:rPr>
          <w:sz w:val="20"/>
          <w:szCs w:val="20"/>
          <w:color w:val="auto"/>
        </w:rPr>
      </w:pPr>
      <w:r>
        <w:rPr>
          <w:rFonts w:ascii="Courier New" w:cs="Courier New" w:eastAsia="Courier New" w:hAnsi="Courier New"/>
          <w:sz w:val="14"/>
          <w:szCs w:val="14"/>
          <w:color w:val="auto"/>
        </w:rPr>
        <w:t>Awards may be granted only to Eligible Employees of the Company and its Subsidiaries, as determined by the Committee. No Awards shall be granted to an individual who is not an Eligible Employee of the Company or a Subsidiary.</w:t>
      </w:r>
    </w:p>
    <w:p>
      <w:pPr>
        <w:spacing w:after="0" w:line="157" w:lineRule="exact"/>
        <w:rPr>
          <w:sz w:val="20"/>
          <w:szCs w:val="20"/>
          <w:color w:val="auto"/>
        </w:rPr>
      </w:pPr>
    </w:p>
    <w:p>
      <w:pPr>
        <w:ind w:left="889" w:hanging="445"/>
        <w:spacing w:after="0"/>
        <w:tabs>
          <w:tab w:leader="none" w:pos="88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BONUS AWARDS</w:t>
      </w:r>
    </w:p>
    <w:p>
      <w:pPr>
        <w:spacing w:after="0" w:line="174" w:lineRule="exact"/>
        <w:rPr>
          <w:sz w:val="20"/>
          <w:szCs w:val="20"/>
          <w:color w:val="auto"/>
        </w:rPr>
      </w:pPr>
    </w:p>
    <w:p>
      <w:pPr>
        <w:jc w:val="both"/>
        <w:ind w:left="9" w:right="3119" w:firstLine="887"/>
        <w:spacing w:after="0" w:line="239"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5" w:lineRule="exact"/>
        <w:rPr>
          <w:sz w:val="20"/>
          <w:szCs w:val="20"/>
          <w:color w:val="auto"/>
        </w:rPr>
      </w:pPr>
    </w:p>
    <w:p>
      <w:pPr>
        <w:ind w:left="9" w:right="3119" w:firstLine="878"/>
        <w:spacing w:after="0" w:line="238" w:lineRule="auto"/>
        <w:tabs>
          <w:tab w:leader="none" w:pos="125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five years from the date of adoption of the Plan by the Board.</w:t>
      </w:r>
    </w:p>
    <w:p>
      <w:pPr>
        <w:spacing w:after="0" w:line="174" w:lineRule="exact"/>
        <w:rPr>
          <w:rFonts w:ascii="Courier New" w:cs="Courier New" w:eastAsia="Courier New" w:hAnsi="Courier New"/>
          <w:sz w:val="15"/>
          <w:szCs w:val="15"/>
          <w:color w:val="auto"/>
        </w:rPr>
      </w:pPr>
    </w:p>
    <w:p>
      <w:pPr>
        <w:ind w:left="9" w:right="3119" w:firstLine="878"/>
        <w:spacing w:after="0" w:line="238" w:lineRule="auto"/>
        <w:tabs>
          <w:tab w:leader="none" w:pos="125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Non-uniformity of Awards. The provisions of Awards need not be the same with respect to each Grantee.</w:t>
      </w:r>
    </w:p>
    <w:p>
      <w:pPr>
        <w:spacing w:after="0" w:line="174" w:lineRule="exact"/>
        <w:rPr>
          <w:rFonts w:ascii="Courier New" w:cs="Courier New" w:eastAsia="Courier New" w:hAnsi="Courier New"/>
          <w:sz w:val="15"/>
          <w:szCs w:val="15"/>
          <w:color w:val="auto"/>
        </w:rPr>
      </w:pPr>
    </w:p>
    <w:p>
      <w:pPr>
        <w:ind w:left="9" w:right="3119" w:firstLine="878"/>
        <w:spacing w:after="0" w:line="238" w:lineRule="auto"/>
        <w:tabs>
          <w:tab w:leader="none" w:pos="125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and Agreements. The terms of each Award shall be reflected in an Award document in form and substance satisfactory to the Committee.</w:t>
      </w:r>
    </w:p>
    <w:p>
      <w:pPr>
        <w:spacing w:after="0" w:line="174"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performance targets, as determined by the Committee. The Committee may, in its sole discretion, waive, in whole or in part, any remaining conditions to payment of a Grantee's Award. The Grantee shall not be permitted to sell, transfer, pledge or assign any amount payable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28"/>
          </w:cols>
          <w:pgMar w:left="231" w:top="799" w:right="1440" w:bottom="1440" w:gutter="0" w:footer="0" w:header="0"/>
        </w:sectPr>
      </w:pPr>
    </w:p>
    <w:bookmarkStart w:id="146" w:name="page147"/>
    <w:bookmarkEnd w:id="146"/>
    <w:p>
      <w:pPr>
        <w:ind w:right="3119"/>
        <w:spacing w:after="0" w:line="238" w:lineRule="auto"/>
        <w:rPr>
          <w:sz w:val="20"/>
          <w:szCs w:val="20"/>
          <w:color w:val="auto"/>
        </w:rPr>
      </w:pPr>
      <w:r>
        <w:rPr>
          <w:rFonts w:ascii="Courier New" w:cs="Courier New" w:eastAsia="Courier New" w:hAnsi="Courier New"/>
          <w:sz w:val="15"/>
          <w:szCs w:val="15"/>
          <w:color w:val="auto"/>
        </w:rPr>
        <w:t>pursuant to the Plan or an Award (provided that the right to payment under an Award may pass by will or the laws of descent and distribution).</w:t>
      </w:r>
    </w:p>
    <w:p>
      <w:pPr>
        <w:spacing w:after="0" w:line="172" w:lineRule="exact"/>
        <w:rPr>
          <w:sz w:val="20"/>
          <w:szCs w:val="20"/>
          <w:color w:val="auto"/>
        </w:rPr>
      </w:pPr>
    </w:p>
    <w:p>
      <w:pPr>
        <w:ind w:left="1240" w:hanging="362"/>
        <w:spacing w:after="0"/>
        <w:tabs>
          <w:tab w:leader="none" w:pos="12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w:t>
      </w:r>
    </w:p>
    <w:p>
      <w:pPr>
        <w:spacing w:after="0" w:line="174" w:lineRule="exact"/>
        <w:rPr>
          <w:rFonts w:ascii="Courier New" w:cs="Courier New" w:eastAsia="Courier New" w:hAnsi="Courier New"/>
          <w:sz w:val="15"/>
          <w:szCs w:val="15"/>
          <w:color w:val="auto"/>
        </w:rPr>
      </w:pPr>
    </w:p>
    <w:p>
      <w:pPr>
        <w:jc w:val="both"/>
        <w:ind w:right="3119" w:firstLine="1322"/>
        <w:spacing w:after="0" w:line="259" w:lineRule="auto"/>
        <w:tabs>
          <w:tab w:leader="none" w:pos="1686" w:val="left"/>
        </w:tabs>
        <w:numPr>
          <w:ilvl w:val="2"/>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an Eligible Employee between two employers, each of which is the Company or a Subsidiary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64" w:lineRule="exact"/>
        <w:rPr>
          <w:rFonts w:ascii="Courier New" w:cs="Courier New" w:eastAsia="Courier New" w:hAnsi="Courier New"/>
          <w:sz w:val="14"/>
          <w:szCs w:val="14"/>
          <w:color w:val="auto"/>
        </w:rPr>
      </w:pPr>
    </w:p>
    <w:p>
      <w:pPr>
        <w:jc w:val="both"/>
        <w:ind w:right="3119" w:firstLine="1322"/>
        <w:spacing w:after="0" w:line="239" w:lineRule="auto"/>
        <w:tabs>
          <w:tab w:leader="none" w:pos="1686"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Grantee terminates employment with the Company and its Subsidiaries, all Awards remaining subject to conditions to payment shall be forfeited by the Grantee and deemed canceled by the Company.</w:t>
      </w:r>
    </w:p>
    <w:p>
      <w:pPr>
        <w:spacing w:after="0" w:line="175"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Subject to Paragraph 11, and as further provided in Paragraphs 7, 8, 9 and 10,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PAYMENT OF CASH BONUS AWARDS</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otherwise  determined  by the  Committee and provided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an Award:</w:t>
      </w:r>
    </w:p>
    <w:p>
      <w:pPr>
        <w:spacing w:after="0" w:line="174" w:lineRule="exact"/>
        <w:rPr>
          <w:sz w:val="20"/>
          <w:szCs w:val="20"/>
          <w:color w:val="auto"/>
        </w:rPr>
      </w:pPr>
    </w:p>
    <w:p>
      <w:pPr>
        <w:ind w:right="3119" w:firstLine="878"/>
        <w:spacing w:after="0" w:line="238" w:lineRule="auto"/>
        <w:tabs>
          <w:tab w:leader="none" w:pos="1242"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on the payment of Awards of Grantees employed by the Company shall be determined pursuant to Paragraph 8.</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to the payment of Awards of Grantees employed by the Cable Division shall be determined pursuant to Paragraph 9.</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to the payment of Awards of Grantees employed by the Cellular Division shall be determined pursuant to Paragraph 10.</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TARGET AND CASH BONUS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47" w:name="page148"/>
    <w:bookmarkEnd w:id="147"/>
    <w:p>
      <w:pPr>
        <w:ind w:right="3119" w:firstLine="878"/>
        <w:spacing w:after="0" w:line="238" w:lineRule="auto"/>
        <w:tabs>
          <w:tab w:leader="none" w:pos="124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Cash Bonus Award. The amount of an Award to Eligible Employees of the Company shall be determined by the Committee.</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The Target for Eligible Employees of the Company shall be met for each Plan Year beginning after the Base Year if Consolidated Operating Cash Flow for the Company equals or exceeds the Compounded Annual Growth Rate for such Plan Year, where "r" equals 12 percent (0.12); provided that the Modified Target and Applicable Percent for purposes of this Paragraph 8 shall be determined in accordance with Exhibit A.</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Before July 1, 1996. Except as otherwise determined by the Committee and provided in the terms of an Award, the following rules shall apply if the Date of Grant of the Award is before July 1, 1996.</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775"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The Cash Bonus Award shall be paid to a Grantee at the following times if the following conditions are satisfied:</w:t>
      </w:r>
    </w:p>
    <w:p>
      <w:pPr>
        <w:spacing w:after="0" w:line="175"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77"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percent of the Award (less any portion of the Award previously paid to Grantee) (the "1998 Basic Award") shall be paid on or before March 15, 1999 if the Target is met for the 1998 Plan Year and the Grantee is an active employee of the Company or a Subsidiary continuously from the Date of Grant to December 31, 1998; provided, however, that if a Modified Target is met for the 1998 Plan Year, the Applicable Percent of the 1998 Award shall be paid.</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972" w:right="1440" w:bottom="1440" w:gutter="0" w:footer="0" w:header="0"/>
        </w:sectPr>
      </w:pPr>
    </w:p>
    <w:bookmarkStart w:id="148" w:name="page149"/>
    <w:bookmarkEnd w:id="148"/>
    <w:p>
      <w:pPr>
        <w:jc w:val="both"/>
        <w:ind w:left="2200" w:right="3119" w:hanging="434"/>
        <w:spacing w:after="0"/>
        <w:tabs>
          <w:tab w:leader="none" w:pos="220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percent of the Award (less any portion of the Award previously paid to Grantee) (the "1999 Basic Award") shall be paid on or before March 15, 2000 if the Target is met for the 1999 Plan Year and the Grantee is an active employee of the Company or a Subsidiary continuously from the Date of Grant to December 31, 1999; provided, however, that if a Modified Target is met for the 1999 Plan Year, the Applicable Percent of the 1999 Award shall be paid.</w:t>
      </w:r>
    </w:p>
    <w:p>
      <w:pPr>
        <w:spacing w:after="0" w:line="177"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percent of the Award (less any portion of the Award previously paid to Grantee) (the "2000 Basic Award") shall be paid on or before March 15, 2001 if the Target is met for the 2000 Plan Year and the Grantee is an active employee of the Company or a Subsidiary continuously from the Date of Grant to December 31, 2000; provided, however, that if a Modified Target is met for the 2000 Plan Year, the Applicable Percent of the 2000 Award shall be paid.</w:t>
      </w:r>
    </w:p>
    <w:p>
      <w:pPr>
        <w:spacing w:after="0" w:line="177" w:lineRule="exact"/>
        <w:rPr>
          <w:rFonts w:ascii="Courier New" w:cs="Courier New" w:eastAsia="Courier New" w:hAnsi="Courier New"/>
          <w:sz w:val="15"/>
          <w:szCs w:val="15"/>
          <w:color w:val="auto"/>
        </w:rPr>
      </w:pPr>
    </w:p>
    <w:p>
      <w:pPr>
        <w:jc w:val="both"/>
        <w:ind w:right="3119" w:firstLine="1322"/>
        <w:spacing w:after="0"/>
        <w:tabs>
          <w:tab w:leader="none" w:pos="177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Supplemental Cash Bonus Award. 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75"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percent of the Award if the Target was met for the 1996 Plan Year or, if a Modified Target was met for the 1996 Plan Year, the Applicable Percent of 5 percent of the Award.</w:t>
      </w:r>
    </w:p>
    <w:p>
      <w:pPr>
        <w:spacing w:after="0" w:line="176"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percent of the Award (less the amount described in Paragraph 8(c)(ii)(v)) (the "1997 Supplemental Award") if the Target was met for the 1997 Plan Year or, if a Modified Target was met for the 1997 Plan Year, the Applicable Percent of the 1997 Supplemental Award.</w:t>
      </w:r>
    </w:p>
    <w:p>
      <w:pPr>
        <w:spacing w:after="0" w:line="174" w:lineRule="exact"/>
        <w:rPr>
          <w:rFonts w:ascii="Courier New" w:cs="Courier New" w:eastAsia="Courier New" w:hAnsi="Courier New"/>
          <w:sz w:val="15"/>
          <w:szCs w:val="15"/>
          <w:color w:val="auto"/>
        </w:rPr>
      </w:pPr>
    </w:p>
    <w:p>
      <w:pPr>
        <w:ind w:left="2200" w:right="3119" w:hanging="434"/>
        <w:spacing w:after="0" w:line="238" w:lineRule="auto"/>
        <w:tabs>
          <w:tab w:leader="none" w:pos="22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(less the sum of the amounts described in Paragraphs 8(c)(ii)(v)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49" w:name="page150"/>
    <w:bookmarkEnd w:id="149"/>
    <w:p>
      <w:pPr>
        <w:ind w:left="2200"/>
        <w:spacing w:after="0"/>
        <w:tabs>
          <w:tab w:leader="none" w:pos="4860" w:val="left"/>
        </w:tabs>
        <w:rPr>
          <w:sz w:val="20"/>
          <w:szCs w:val="20"/>
          <w:color w:val="auto"/>
        </w:rPr>
      </w:pPr>
      <w:r>
        <w:rPr>
          <w:rFonts w:ascii="Courier New" w:cs="Courier New" w:eastAsia="Courier New" w:hAnsi="Courier New"/>
          <w:sz w:val="15"/>
          <w:szCs w:val="15"/>
          <w:color w:val="auto"/>
        </w:rPr>
        <w:t>(w)) (the "1998 Supplemental</w:t>
      </w:r>
      <w:r>
        <w:rPr>
          <w:sz w:val="20"/>
          <w:szCs w:val="20"/>
          <w:color w:val="auto"/>
        </w:rPr>
        <w:tab/>
      </w:r>
      <w:r>
        <w:rPr>
          <w:rFonts w:ascii="Courier New" w:cs="Courier New" w:eastAsia="Courier New" w:hAnsi="Courier New"/>
          <w:sz w:val="14"/>
          <w:szCs w:val="14"/>
          <w:color w:val="auto"/>
        </w:rPr>
        <w:t>Award") if the Target was</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met for the 1998 Plan Year or, if a Modified Target was</w:t>
      </w:r>
    </w:p>
    <w:p>
      <w:pPr>
        <w:spacing w:after="0" w:line="9" w:lineRule="exact"/>
        <w:rPr>
          <w:sz w:val="20"/>
          <w:szCs w:val="20"/>
          <w:color w:val="auto"/>
        </w:rPr>
      </w:pPr>
    </w:p>
    <w:p>
      <w:pPr>
        <w:ind w:left="2200"/>
        <w:spacing w:after="0"/>
        <w:tabs>
          <w:tab w:leader="none" w:pos="5120" w:val="left"/>
          <w:tab w:leader="none" w:pos="6180" w:val="left"/>
        </w:tabs>
        <w:rPr>
          <w:sz w:val="20"/>
          <w:szCs w:val="20"/>
          <w:color w:val="auto"/>
        </w:rPr>
      </w:pPr>
      <w:r>
        <w:rPr>
          <w:rFonts w:ascii="Courier New" w:cs="Courier New" w:eastAsia="Courier New" w:hAnsi="Courier New"/>
          <w:sz w:val="15"/>
          <w:szCs w:val="15"/>
          <w:color w:val="auto"/>
        </w:rPr>
        <w:t>met for the 1998 Plan Year, the</w:t>
        <w:tab/>
        <w:t>Applicable</w:t>
      </w:r>
      <w:r>
        <w:rPr>
          <w:sz w:val="20"/>
          <w:szCs w:val="20"/>
          <w:color w:val="auto"/>
        </w:rPr>
        <w:tab/>
      </w:r>
      <w:r>
        <w:rPr>
          <w:rFonts w:ascii="Courier New" w:cs="Courier New" w:eastAsia="Courier New" w:hAnsi="Courier New"/>
          <w:sz w:val="14"/>
          <w:szCs w:val="14"/>
          <w:color w:val="auto"/>
        </w:rPr>
        <w:t>Percent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1998 Supplemental Award.</w:t>
      </w:r>
    </w:p>
    <w:p>
      <w:pPr>
        <w:spacing w:after="0" w:line="174" w:lineRule="exact"/>
        <w:rPr>
          <w:sz w:val="20"/>
          <w:szCs w:val="20"/>
          <w:color w:val="auto"/>
        </w:rPr>
      </w:pPr>
    </w:p>
    <w:p>
      <w:pPr>
        <w:jc w:val="both"/>
        <w:ind w:left="2200" w:right="3119" w:hanging="434"/>
        <w:spacing w:after="0"/>
        <w:tabs>
          <w:tab w:leader="none" w:pos="2200"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Award (less the sum of the amounts described in Paragraphs 8(c)(ii)(v), (w) and (x)) (the "1999 Supplemental Award") if the Target was met for the 1999 Plan Year or, if a Modified Target was met for the 1999 Plan Year, the Applicable Percent of the 1999 Supplemental Award.</w:t>
      </w:r>
    </w:p>
    <w:p>
      <w:pPr>
        <w:spacing w:after="0" w:line="175"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percent of the Award (less the sum of the amounts described in Paragraphs 8(c)(ii)(v), (w), (x) and (y)) (the "2000 Supplemental Award") if the Target was met for the 2000 Plan Year or, if a Modified Target was met for the 2000 Plan Year, the Applicable Percent of the 2000 Supplemental Award.</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76" w:lineRule="exact"/>
        <w:rPr>
          <w:rFonts w:ascii="Courier New" w:cs="Courier New" w:eastAsia="Courier New" w:hAnsi="Courier New"/>
          <w:sz w:val="15"/>
          <w:szCs w:val="15"/>
          <w:color w:val="auto"/>
        </w:rPr>
      </w:pPr>
    </w:p>
    <w:p>
      <w:pPr>
        <w:jc w:val="both"/>
        <w:ind w:right="3119" w:firstLine="1322"/>
        <w:spacing w:after="0"/>
        <w:tabs>
          <w:tab w:leader="none" w:pos="1686"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75" w:lineRule="exact"/>
        <w:rPr>
          <w:rFonts w:ascii="Courier New" w:cs="Courier New" w:eastAsia="Courier New" w:hAnsi="Courier New"/>
          <w:sz w:val="15"/>
          <w:szCs w:val="15"/>
          <w:color w:val="auto"/>
        </w:rPr>
      </w:pPr>
    </w:p>
    <w:p>
      <w:pPr>
        <w:jc w:val="both"/>
        <w:ind w:right="3119" w:firstLine="1322"/>
        <w:spacing w:after="0" w:line="260" w:lineRule="auto"/>
        <w:tabs>
          <w:tab w:leader="none" w:pos="1775"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succeeding Plan Year in the Award Period, the Cumulative Annual Amount at Risk (less any portion of the Award previously paid to the Grantee) (the "Succeeding Plan Year Basic Award")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61" w:lineRule="exact"/>
        <w:rPr>
          <w:rFonts w:ascii="Courier New" w:cs="Courier New" w:eastAsia="Courier New" w:hAnsi="Courier New"/>
          <w:sz w:val="14"/>
          <w:szCs w:val="14"/>
          <w:color w:val="auto"/>
        </w:rPr>
      </w:pPr>
    </w:p>
    <w:p>
      <w:pPr>
        <w:jc w:val="both"/>
        <w:ind w:right="3119" w:firstLine="1322"/>
        <w:spacing w:after="0" w:line="239" w:lineRule="auto"/>
        <w:tabs>
          <w:tab w:leader="none" w:pos="1864"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Grantee is an active employee of the Company or a Subsidiary continuously from the Date of Grant to December 31 of the last Plan Year in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28" w:right="1440" w:bottom="1440" w:gutter="0" w:footer="0" w:header="0"/>
        </w:sectPr>
      </w:pPr>
    </w:p>
    <w:bookmarkStart w:id="150" w:name="page151"/>
    <w:bookmarkEnd w:id="150"/>
    <w:p>
      <w:pPr>
        <w:jc w:val="both"/>
        <w:ind w:right="3119"/>
        <w:spacing w:after="0" w:line="239" w:lineRule="auto"/>
        <w:rPr>
          <w:sz w:val="20"/>
          <w:szCs w:val="20"/>
          <w:color w:val="auto"/>
        </w:rPr>
      </w:pPr>
      <w:r>
        <w:rPr>
          <w:rFonts w:ascii="Courier New" w:cs="Courier New" w:eastAsia="Courier New" w:hAnsi="Courier New"/>
          <w:sz w:val="15"/>
          <w:szCs w:val="15"/>
          <w:color w:val="auto"/>
        </w:rPr>
        <w:t>Award Period, the Grantee shall be paid an additional portion of the Cash Bonus Award on or before March 15 of the next succeeding calendar year, determined as the sum of the following amounts:</w:t>
      </w:r>
    </w:p>
    <w:p>
      <w:pPr>
        <w:spacing w:after="0" w:line="175" w:lineRule="exact"/>
        <w:rPr>
          <w:sz w:val="20"/>
          <w:szCs w:val="20"/>
          <w:color w:val="auto"/>
        </w:rPr>
      </w:pPr>
    </w:p>
    <w:p>
      <w:pPr>
        <w:jc w:val="both"/>
        <w:ind w:left="2200" w:right="3119" w:hanging="434"/>
        <w:spacing w:after="0" w:line="239" w:lineRule="auto"/>
        <w:tabs>
          <w:tab w:leader="none" w:pos="2200" w:val="left"/>
        </w:tabs>
        <w:numPr>
          <w:ilvl w:val="2"/>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if the Target was met for the first Plan Year in the Award Period, or, if a Modified Target was met for the first Plan Year in the Award Period, the Applicable Percent of such amount.</w:t>
      </w:r>
    </w:p>
    <w:p>
      <w:pPr>
        <w:spacing w:after="0" w:line="176"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(less the sum of the amounts described in Paragraph 8(d)(iii)(x) and this Paragraph 8(d)(iii)(y) for all preceding Plan Years) (the "Supplemental Award") if the Target was met for a succeeding Plan Year in the Award Period, or if a Modified Target was met for such succeeding Plan Year, the Applicable Percent of the Supplemental Award, provided that the applicable amount for any Plan Year shall not be less than zero.</w:t>
      </w:r>
    </w:p>
    <w:p>
      <w:pPr>
        <w:spacing w:after="0" w:line="177"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2"/>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Award assigned to each Plan Year pursuant to this Paragraph 8(d)(iii) shall be equal to the product of (i) the Last Year Amount at Risk times</w:t>
      </w:r>
    </w:p>
    <w:p>
      <w:pPr>
        <w:spacing w:after="0" w:line="4" w:lineRule="exact"/>
        <w:rPr>
          <w:rFonts w:ascii="Courier New" w:cs="Courier New" w:eastAsia="Courier New" w:hAnsi="Courier New"/>
          <w:sz w:val="15"/>
          <w:szCs w:val="15"/>
          <w:color w:val="auto"/>
        </w:rPr>
      </w:pPr>
    </w:p>
    <w:p>
      <w:pPr>
        <w:jc w:val="both"/>
        <w:ind w:left="2200" w:right="3119" w:firstLine="10"/>
        <w:spacing w:after="0" w:line="239" w:lineRule="auto"/>
        <w:tabs>
          <w:tab w:leader="none" w:pos="2644" w:val="left"/>
        </w:tabs>
        <w:numPr>
          <w:ilvl w:val="3"/>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obtained by dividing the Cumulative Annual Amount at Risk for such Plan Year by the Total Annual Amounts at Risk.</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DIVISION TARGET AND CASH BONUS</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Cash Bonus Award. The amount of an Award to Eligible Employees of the Cable Division shall be determined by the Committee.</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The Target for Eligible Employees of the Cable Division shall be met for each Plan Year beginning after the Base Year if Consolidated Operating Cash Flow for the Cable Division equals or exceeds the Compounded Annual Growth Rate for such Plan Year, where "r" equals 10 percent (0.10); provided that the Modified Target and Applicable Percent for purposes of this Paragraph 9 shall be determined in accordance with Exhibit A.</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Before July 1, 1996. Except as otherwise determined by the Committee and provided in the terms of an Award, the following rules shall apply if the Date of Grant of the Award is before July 1, 1996.</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972" w:right="1440" w:bottom="1440" w:gutter="0" w:footer="0" w:header="0"/>
        </w:sectPr>
      </w:pPr>
    </w:p>
    <w:bookmarkStart w:id="151" w:name="page152"/>
    <w:bookmarkEnd w:id="151"/>
    <w:p>
      <w:pPr>
        <w:jc w:val="both"/>
        <w:ind w:right="3119" w:firstLine="1322"/>
        <w:spacing w:after="0" w:line="239" w:lineRule="auto"/>
        <w:tabs>
          <w:tab w:leader="none" w:pos="177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The Cash Bonus Award shall be paid to a Grantee at the following times if the following conditions are satisfied:</w:t>
      </w:r>
    </w:p>
    <w:p>
      <w:pPr>
        <w:spacing w:after="0" w:line="175"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77"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percent of the Award (less any portion of the Award previously paid to Grantee) (the "1998 Basic Award") shall be paid on or before March 15, 1999 if the Target is met for the 1998 Plan Year and the Grantee is an active employee of the Company or a Subsidiary continuously from the Date of Grant to December 31, 1998; provided, however, that if a Modified Target is met for the 1998 Plan Year, the Applicable Percent of the 1998 Award shall be paid.</w:t>
      </w:r>
    </w:p>
    <w:p>
      <w:pPr>
        <w:spacing w:after="0" w:line="177"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percent of the Award (less any portion of the Award previously paid to Grantee) (the "1999 Basic Award") shall be paid on or before March 15, 2000 if the Target is met for the 1999 Plan Year and the Grantee is an active employee of the Company or a Subsidiary continuously from the Date of Grant to December 31, 1999; provided, however, that if a Modified Target is met for the 1999 Plan Year, the Applicable Percent of the 1999 Award shall be paid.</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972" w:right="1440" w:bottom="1440" w:gutter="0" w:footer="0" w:header="0"/>
        </w:sectPr>
      </w:pPr>
    </w:p>
    <w:bookmarkStart w:id="152" w:name="page153"/>
    <w:bookmarkEnd w:id="152"/>
    <w:p>
      <w:pPr>
        <w:jc w:val="both"/>
        <w:ind w:left="2200" w:right="3119" w:hanging="434"/>
        <w:spacing w:after="0"/>
        <w:tabs>
          <w:tab w:leader="none" w:pos="220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percent of the Award (less any portion of the Award previously paid to Grantee) (the "2000 Basic Award") shall be paid on or before March 15, 2001 if the Target is met for the 2000 Plan Year and the Grantee is an active employee of the Company or a Subsidiary continuously from the Date of Grant to December 31, 2000; provided, however, that if a Modified Target is met for the 2000 Plan Year, the Applicable Percent of the 2000 Award shall be paid.</w:t>
      </w:r>
    </w:p>
    <w:p>
      <w:pPr>
        <w:spacing w:after="0" w:line="177" w:lineRule="exact"/>
        <w:rPr>
          <w:rFonts w:ascii="Courier New" w:cs="Courier New" w:eastAsia="Courier New" w:hAnsi="Courier New"/>
          <w:sz w:val="15"/>
          <w:szCs w:val="15"/>
          <w:color w:val="auto"/>
        </w:rPr>
      </w:pPr>
    </w:p>
    <w:p>
      <w:pPr>
        <w:jc w:val="both"/>
        <w:ind w:right="3119" w:firstLine="1322"/>
        <w:spacing w:after="0"/>
        <w:tabs>
          <w:tab w:leader="none" w:pos="177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Supplemental Cash Bonus Award. 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75"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percent of the Award if the Target was met for the 1996 Plan Year or, if a Modified Target was met for the 1996 Plan Year, the Applicable Percent of 5 percent of the Award.</w:t>
      </w:r>
    </w:p>
    <w:p>
      <w:pPr>
        <w:spacing w:after="0" w:line="176"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percent of the Award (less the amount described in Paragraph 9(c)(ii)(v)) (the "1997 Supplemental Award") if the Target was met for the 1997 Plan Year or, if a Modified Target was met for the 1997 Plan Year, the Applicable Percent of the 1997 Supplemental Award.</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(less the sum of the amounts described in Paragraphs 9(c)(ii)(v) and (w)) (the "1998 Supplemental Award") if the Target was met for the 1998 Plan Year or, if a Modified Target was met for the 1998 Plan Year, the Applicable Percent of the 1998 Supplemental Award.</w:t>
      </w:r>
    </w:p>
    <w:p>
      <w:pPr>
        <w:spacing w:after="0" w:line="175"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Award (less the sum of the amounts described in Paragraphs 9(c)(ii)(v), (w) and (x)) (the "1999 Supplemental Award") if the Target was met for the 1999 Plan Year or, if a Modified Target was met for the 1999 Plan Year,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53" w:name="page154"/>
    <w:bookmarkEnd w:id="153"/>
    <w:p>
      <w:pPr>
        <w:ind w:left="2200"/>
        <w:spacing w:after="0"/>
        <w:rPr>
          <w:sz w:val="20"/>
          <w:szCs w:val="20"/>
          <w:color w:val="auto"/>
        </w:rPr>
      </w:pPr>
      <w:r>
        <w:rPr>
          <w:rFonts w:ascii="Courier New" w:cs="Courier New" w:eastAsia="Courier New" w:hAnsi="Courier New"/>
          <w:sz w:val="15"/>
          <w:szCs w:val="15"/>
          <w:color w:val="auto"/>
        </w:rPr>
        <w:t>Applicable Percent of the 1999 Supplemental Award.</w:t>
      </w:r>
    </w:p>
    <w:p>
      <w:pPr>
        <w:spacing w:after="0" w:line="174" w:lineRule="exact"/>
        <w:rPr>
          <w:sz w:val="20"/>
          <w:szCs w:val="20"/>
          <w:color w:val="auto"/>
        </w:rPr>
      </w:pPr>
    </w:p>
    <w:p>
      <w:pPr>
        <w:jc w:val="both"/>
        <w:ind w:left="2200" w:right="3119" w:hanging="434"/>
        <w:spacing w:after="0"/>
        <w:tabs>
          <w:tab w:leader="none" w:pos="2200" w:val="left"/>
        </w:tabs>
        <w:numPr>
          <w:ilvl w:val="2"/>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percent of the Award (less the sum of the amounts described in Paragraphs 9(c)(ii)(v), (w), (x) and (y)) (the "2000 Supplemental Award") if the Target was met for the 2000 Plan Year or, if a Modified Target was met for the 2000 Plan Year, the Applicable Percent of the 2000 Supplemental Award.</w:t>
      </w:r>
    </w:p>
    <w:p>
      <w:pPr>
        <w:spacing w:after="0" w:line="175"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76" w:lineRule="exact"/>
        <w:rPr>
          <w:rFonts w:ascii="Courier New" w:cs="Courier New" w:eastAsia="Courier New" w:hAnsi="Courier New"/>
          <w:sz w:val="15"/>
          <w:szCs w:val="15"/>
          <w:color w:val="auto"/>
        </w:rPr>
      </w:pPr>
    </w:p>
    <w:p>
      <w:pPr>
        <w:jc w:val="both"/>
        <w:ind w:right="3119" w:firstLine="1322"/>
        <w:spacing w:after="0"/>
        <w:tabs>
          <w:tab w:leader="none" w:pos="1686"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75" w:lineRule="exact"/>
        <w:rPr>
          <w:rFonts w:ascii="Courier New" w:cs="Courier New" w:eastAsia="Courier New" w:hAnsi="Courier New"/>
          <w:sz w:val="15"/>
          <w:szCs w:val="15"/>
          <w:color w:val="auto"/>
        </w:rPr>
      </w:pPr>
    </w:p>
    <w:p>
      <w:pPr>
        <w:jc w:val="both"/>
        <w:ind w:right="3119" w:firstLine="1322"/>
        <w:spacing w:after="0" w:line="260" w:lineRule="auto"/>
        <w:tabs>
          <w:tab w:leader="none" w:pos="1775"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succeeding Plan Year in the Award Period, the Cumulative Annual Amount at Risk (less any portion of the Award previously paid to the Grantee) (the "Succeeding Plan Year Basic Award")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61" w:lineRule="exact"/>
        <w:rPr>
          <w:rFonts w:ascii="Courier New" w:cs="Courier New" w:eastAsia="Courier New" w:hAnsi="Courier New"/>
          <w:sz w:val="14"/>
          <w:szCs w:val="14"/>
          <w:color w:val="auto"/>
        </w:rPr>
      </w:pPr>
    </w:p>
    <w:p>
      <w:pPr>
        <w:jc w:val="both"/>
        <w:ind w:right="3119" w:firstLine="1322"/>
        <w:spacing w:after="0"/>
        <w:tabs>
          <w:tab w:leader="none" w:pos="1864"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Grantee is an active employee of the Company or a Subsidiary continuously from the Date of Grant to December 31 of the last Plan Year in the Award Period, the Grantee shall be paid an additional portion of the Cash Bonus Award on or before March 15 of the next succeeding calendar year, determined as the sum of the following amounts:</w:t>
      </w:r>
    </w:p>
    <w:p>
      <w:pPr>
        <w:spacing w:after="0" w:line="174"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if the Target was met for the first Plan Year in the Award Period, or, if a Modified Target was met for the first Plan Year in the Award Period, the Applicable Percent of such amount.</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970" w:right="1440" w:bottom="1440" w:gutter="0" w:footer="0" w:header="0"/>
        </w:sectPr>
      </w:pPr>
    </w:p>
    <w:bookmarkStart w:id="154" w:name="page155"/>
    <w:bookmarkEnd w:id="154"/>
    <w:p>
      <w:pPr>
        <w:jc w:val="both"/>
        <w:ind w:left="2200" w:right="3119" w:hanging="434"/>
        <w:spacing w:after="0"/>
        <w:tabs>
          <w:tab w:leader="none" w:pos="2200" w:val="left"/>
        </w:tabs>
        <w:numPr>
          <w:ilvl w:val="3"/>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(less the sum of the amounts described in Paragraph 9(d)(iii)(x) and this Paragraph 9(d)(iii)(y) for all preceding Plan Years) (the "Supplemental Award") if the Target was met for a succeeding Plan Year in the Award Period, or if a Modified Target was met for such succeeding Plan Year, the Applicable Percent of the Supplemental Award, provided that the applicable amount for any Plan Year shall not be less than zero.</w:t>
      </w:r>
    </w:p>
    <w:p>
      <w:pPr>
        <w:spacing w:after="0" w:line="177"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3"/>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Award assigned to each Plan Year pursuant to this Paragraph 9(d)(iii) shall be equal to the product of (i) the Last Year Amount at Risk times</w:t>
      </w:r>
    </w:p>
    <w:p>
      <w:pPr>
        <w:spacing w:after="0" w:line="4" w:lineRule="exact"/>
        <w:rPr>
          <w:rFonts w:ascii="Courier New" w:cs="Courier New" w:eastAsia="Courier New" w:hAnsi="Courier New"/>
          <w:sz w:val="15"/>
          <w:szCs w:val="15"/>
          <w:color w:val="auto"/>
        </w:rPr>
      </w:pPr>
    </w:p>
    <w:p>
      <w:pPr>
        <w:jc w:val="both"/>
        <w:ind w:left="2200" w:right="3119" w:firstLine="10"/>
        <w:spacing w:after="0" w:line="239" w:lineRule="auto"/>
        <w:tabs>
          <w:tab w:leader="none" w:pos="2644" w:val="left"/>
        </w:tabs>
        <w:numPr>
          <w:ilvl w:val="4"/>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obtained by dividing the Cumulative Annual Amount at Risk for such Plan Year by the Total Annual Amounts at Risk.</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CELLULAR DIVISION TARGET AND CASH BONUS</w:t>
      </w:r>
    </w:p>
    <w:p>
      <w:pPr>
        <w:spacing w:after="0" w:line="174"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Cash Bonus Award. The amount of an Award to Eligible Employees of the Cellular Division shall be determined by the Committee.</w:t>
      </w:r>
    </w:p>
    <w:p>
      <w:pPr>
        <w:spacing w:after="0" w:line="174" w:lineRule="exact"/>
        <w:rPr>
          <w:rFonts w:ascii="Courier New" w:cs="Courier New" w:eastAsia="Courier New" w:hAnsi="Courier New"/>
          <w:sz w:val="15"/>
          <w:szCs w:val="15"/>
          <w:color w:val="auto"/>
        </w:rPr>
      </w:pPr>
    </w:p>
    <w:p>
      <w:pPr>
        <w:jc w:val="both"/>
        <w:ind w:right="3119" w:firstLine="878"/>
        <w:spacing w:after="0" w:line="260" w:lineRule="auto"/>
        <w:tabs>
          <w:tab w:leader="none" w:pos="124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The Target for Eligible Employees of the Cellular Division shall be met for each Plan Year beginning after the Base Year if Consolidated Operating Cash Flow for the Cellular Division equals or exceeds the Compounded Annual Growth Rate for such Plan Year, where "r" equals 15 percent (0.15); provided that the Modified Target and Applicable Percent for purposes of this Paragraph 10 shall be determined in accordance with Exhibit A.</w:t>
      </w:r>
    </w:p>
    <w:p>
      <w:pPr>
        <w:spacing w:after="0" w:line="163" w:lineRule="exact"/>
        <w:rPr>
          <w:rFonts w:ascii="Courier New" w:cs="Courier New" w:eastAsia="Courier New" w:hAnsi="Courier New"/>
          <w:sz w:val="14"/>
          <w:szCs w:val="14"/>
          <w:color w:val="auto"/>
        </w:rPr>
      </w:pPr>
    </w:p>
    <w:p>
      <w:pPr>
        <w:jc w:val="both"/>
        <w:ind w:right="3119" w:firstLine="878"/>
        <w:spacing w:after="0" w:line="239" w:lineRule="auto"/>
        <w:tabs>
          <w:tab w:leader="none" w:pos="1331"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Before July 1, 1996. Except as otherwise determined by the Committee and provided in the terms of an Award, the following rules shall apply if the Date of Grant of an Award is before July 1, 1996.</w:t>
      </w:r>
    </w:p>
    <w:p>
      <w:pPr>
        <w:spacing w:after="0" w:line="176" w:lineRule="exact"/>
        <w:rPr>
          <w:rFonts w:ascii="Courier New" w:cs="Courier New" w:eastAsia="Courier New" w:hAnsi="Courier New"/>
          <w:sz w:val="15"/>
          <w:szCs w:val="15"/>
          <w:color w:val="auto"/>
        </w:rPr>
      </w:pPr>
    </w:p>
    <w:p>
      <w:pPr>
        <w:jc w:val="both"/>
        <w:ind w:right="3119" w:firstLine="1322"/>
        <w:spacing w:after="0"/>
        <w:tabs>
          <w:tab w:leader="none" w:pos="1686"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Performance Target Condition. Half of the Cash Bonus Award (hereinafter, the "Cellular Performance Award") shall be subject to service and performance conditions. If the Grantee is an active employee of the Company or a Subsidiary continuously from the Date of Grant to December 31, 2000, the Grantee shall be paid all or part of the Cellular Performance Award on or before March 15, 2001. The Cellular Performance Award shall be equal to the sum of the following amounts, provided that the amount determined under any of (v), (w), (x), (y) or (z) below shall not be less than zero.</w:t>
      </w:r>
    </w:p>
    <w:p>
      <w:pPr>
        <w:spacing w:after="0" w:line="177" w:lineRule="exact"/>
        <w:rPr>
          <w:rFonts w:ascii="Courier New" w:cs="Courier New" w:eastAsia="Courier New" w:hAnsi="Courier New"/>
          <w:sz w:val="15"/>
          <w:szCs w:val="15"/>
          <w:color w:val="auto"/>
        </w:rPr>
      </w:pPr>
    </w:p>
    <w:p>
      <w:pPr>
        <w:ind w:left="2200" w:right="3119" w:hanging="434"/>
        <w:spacing w:after="0" w:line="238" w:lineRule="auto"/>
        <w:tabs>
          <w:tab w:leader="none" w:pos="2200" w:val="left"/>
        </w:tabs>
        <w:numPr>
          <w:ilvl w:val="3"/>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Performance Award if the Target was met for the 1996 Plan Year or, if 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55" w:name="page156"/>
    <w:bookmarkEnd w:id="155"/>
    <w:p>
      <w:pPr>
        <w:jc w:val="both"/>
        <w:ind w:left="2200"/>
        <w:spacing w:after="0"/>
        <w:tabs>
          <w:tab w:leader="none" w:pos="3080" w:val="left"/>
          <w:tab w:leader="none" w:pos="3780" w:val="left"/>
          <w:tab w:leader="none" w:pos="6180" w:val="left"/>
          <w:tab w:leader="none" w:pos="6800" w:val="left"/>
        </w:tabs>
        <w:rPr>
          <w:sz w:val="20"/>
          <w:szCs w:val="20"/>
          <w:color w:val="auto"/>
        </w:rPr>
      </w:pPr>
      <w:r>
        <w:rPr>
          <w:rFonts w:ascii="Courier New" w:cs="Courier New" w:eastAsia="Courier New" w:hAnsi="Courier New"/>
          <w:sz w:val="15"/>
          <w:szCs w:val="15"/>
          <w:color w:val="auto"/>
        </w:rPr>
        <w:t>Modified</w:t>
        <w:tab/>
        <w:t>Target</w:t>
        <w:tab/>
        <w:t>was met for the 1996 Plan</w:t>
        <w:tab/>
        <w:t>Year,</w:t>
        <w:tab/>
        <w:t>the</w:t>
      </w:r>
    </w:p>
    <w:p>
      <w:pPr>
        <w:spacing w:after="0" w:line="1" w:lineRule="exact"/>
        <w:rPr>
          <w:sz w:val="20"/>
          <w:szCs w:val="20"/>
          <w:color w:val="auto"/>
        </w:rPr>
      </w:pPr>
    </w:p>
    <w:p>
      <w:pPr>
        <w:jc w:val="right"/>
        <w:ind w:right="3119"/>
        <w:spacing w:after="0"/>
        <w:tabs>
          <w:tab w:leader="none" w:pos="3800" w:val="left"/>
          <w:tab w:leader="none" w:pos="3000" w:val="left"/>
          <w:tab w:leader="none" w:pos="2660" w:val="left"/>
          <w:tab w:leader="none" w:pos="2300" w:val="left"/>
          <w:tab w:leader="none" w:pos="1500" w:val="left"/>
          <w:tab w:leader="none" w:pos="1140" w:val="left"/>
          <w:tab w:leader="none" w:pos="700" w:val="left"/>
        </w:tabs>
        <w:rPr>
          <w:sz w:val="20"/>
          <w:szCs w:val="20"/>
          <w:color w:val="auto"/>
        </w:rPr>
      </w:pPr>
      <w:r>
        <w:rPr>
          <w:rFonts w:ascii="Courier New" w:cs="Courier New" w:eastAsia="Courier New" w:hAnsi="Courier New"/>
          <w:sz w:val="15"/>
          <w:szCs w:val="15"/>
          <w:color w:val="auto"/>
        </w:rPr>
        <w:t>Applicable</w:t>
        <w:tab/>
        <w:t>Percent</w:t>
        <w:tab/>
        <w:t>of</w:t>
        <w:tab/>
        <w:t>20</w:t>
        <w:tab/>
        <w:t>percent</w:t>
        <w:tab/>
        <w:t>of</w:t>
        <w:tab/>
        <w:t>the</w:t>
        <w:tab/>
        <w:t>Cellular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Performance Award.</w:t>
      </w:r>
    </w:p>
    <w:p>
      <w:pPr>
        <w:spacing w:after="0" w:line="174" w:lineRule="exact"/>
        <w:rPr>
          <w:sz w:val="20"/>
          <w:szCs w:val="20"/>
          <w:color w:val="auto"/>
        </w:rPr>
      </w:pPr>
    </w:p>
    <w:p>
      <w:pPr>
        <w:jc w:val="both"/>
        <w:ind w:left="2200" w:right="3119" w:hanging="434"/>
        <w:spacing w:after="0"/>
        <w:tabs>
          <w:tab w:leader="none" w:pos="220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percent of the Cellular Performance Award (less the amount described in Paragraph 10(c)(i)(v)) (the "1997 Cellular Performance Award") if the Target was met for the 1997 Plan Year or, if a Modified Target was met for the 1997 Plan Year, the Applicable Percent of the 1997 Cellular Performance Award.</w:t>
      </w:r>
    </w:p>
    <w:p>
      <w:pPr>
        <w:spacing w:after="0" w:line="175" w:lineRule="exact"/>
        <w:rPr>
          <w:rFonts w:ascii="Courier New" w:cs="Courier New" w:eastAsia="Courier New" w:hAnsi="Courier New"/>
          <w:sz w:val="15"/>
          <w:szCs w:val="15"/>
          <w:color w:val="auto"/>
        </w:rPr>
      </w:pPr>
    </w:p>
    <w:p>
      <w:pPr>
        <w:jc w:val="both"/>
        <w:ind w:left="2200" w:right="3119" w:hanging="434"/>
        <w:spacing w:after="0" w:line="260" w:lineRule="auto"/>
        <w:tabs>
          <w:tab w:leader="none" w:pos="220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 percent of the Cellular Performance Award (less the sum of the amounts described in Paragraphs 10(c)(i)(v) and (w)) (the "1998 Cellular Performance Award") if the Target was met for the 1998 Plan Year or, if a Modified Target was met for the 1998 Plan Year, the Applicable Percent of the 1998 Cellular Performance Award.</w:t>
      </w:r>
    </w:p>
    <w:p>
      <w:pPr>
        <w:spacing w:after="0" w:line="163" w:lineRule="exact"/>
        <w:rPr>
          <w:rFonts w:ascii="Courier New" w:cs="Courier New" w:eastAsia="Courier New" w:hAnsi="Courier New"/>
          <w:sz w:val="14"/>
          <w:szCs w:val="14"/>
          <w:color w:val="auto"/>
        </w:rPr>
      </w:pPr>
    </w:p>
    <w:p>
      <w:pPr>
        <w:jc w:val="both"/>
        <w:ind w:left="2200" w:right="3119" w:hanging="434"/>
        <w:spacing w:after="0" w:line="260" w:lineRule="auto"/>
        <w:tabs>
          <w:tab w:leader="none" w:pos="220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80 percent of the Cellular Performance Award (less the amounts described in Paragraphs 10(c)(i)(v), (w) and (x)) (the "1999 Cellular Performance Award") if the Target was met for the 1999 Plan Year or, if a Modified Target was met for the 1999 Plan Year, the Applicable Percent of the 1999 Cellular Performance Award.</w:t>
      </w:r>
    </w:p>
    <w:p>
      <w:pPr>
        <w:spacing w:after="0" w:line="163" w:lineRule="exact"/>
        <w:rPr>
          <w:rFonts w:ascii="Courier New" w:cs="Courier New" w:eastAsia="Courier New" w:hAnsi="Courier New"/>
          <w:sz w:val="14"/>
          <w:szCs w:val="14"/>
          <w:color w:val="auto"/>
        </w:rPr>
      </w:pPr>
    </w:p>
    <w:p>
      <w:pPr>
        <w:jc w:val="both"/>
        <w:ind w:left="2200" w:right="3119" w:hanging="434"/>
        <w:spacing w:after="0" w:line="260" w:lineRule="auto"/>
        <w:tabs>
          <w:tab w:leader="none" w:pos="220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percent of the Cellular Performance Award (less the amounts described in Paragraphs 10(c)(i)(v), (w), (x) and (y)) (the "2000 Cellular Performance Award") if the Target was met for the 2000 Plan Year or, if a Modified Target was met for the 2000 Plan Year, the Applicable Percent of the 2000 Cellular Performance Award.</w:t>
      </w:r>
    </w:p>
    <w:p>
      <w:pPr>
        <w:spacing w:after="0" w:line="163" w:lineRule="exact"/>
        <w:rPr>
          <w:rFonts w:ascii="Courier New" w:cs="Courier New" w:eastAsia="Courier New" w:hAnsi="Courier New"/>
          <w:sz w:val="14"/>
          <w:szCs w:val="14"/>
          <w:color w:val="auto"/>
        </w:rPr>
      </w:pPr>
    </w:p>
    <w:p>
      <w:pPr>
        <w:jc w:val="both"/>
        <w:ind w:right="3119" w:firstLine="1322"/>
        <w:spacing w:after="0" w:line="239" w:lineRule="auto"/>
        <w:tabs>
          <w:tab w:leader="none" w:pos="177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Service Condition. Half of the Cash Bonus Award (hereinafter, the "Cellular Service Award") shall be subject to service conditions, and shall be paid to a Grantee at the following times if the following conditions are satisfied:</w:t>
      </w:r>
    </w:p>
    <w:p>
      <w:pPr>
        <w:spacing w:after="0" w:line="176" w:lineRule="exact"/>
        <w:rPr>
          <w:rFonts w:ascii="Courier New" w:cs="Courier New" w:eastAsia="Courier New" w:hAnsi="Courier New"/>
          <w:sz w:val="15"/>
          <w:szCs w:val="15"/>
          <w:color w:val="auto"/>
        </w:rPr>
      </w:pPr>
    </w:p>
    <w:p>
      <w:pPr>
        <w:ind w:left="2200" w:right="3119" w:hanging="434"/>
        <w:spacing w:after="0" w:line="238" w:lineRule="auto"/>
        <w:tabs>
          <w:tab w:leader="none" w:pos="220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29, 1996.</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28" w:right="1440" w:bottom="1440" w:gutter="0" w:footer="0" w:header="0"/>
        </w:sectPr>
      </w:pPr>
    </w:p>
    <w:bookmarkStart w:id="156" w:name="page157"/>
    <w:bookmarkEnd w:id="156"/>
    <w:p>
      <w:pPr>
        <w:jc w:val="both"/>
        <w:ind w:left="2200" w:right="3119" w:hanging="434"/>
        <w:spacing w:after="0"/>
        <w:tabs>
          <w:tab w:leader="none" w:pos="2200"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1998 if the Grantee is an active employee of the Company or a Subsidiary continuously from the Date of Grant to December 31, 1997.</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1999 if the Grantee is an active employee of the Company or a Subsidiary continuously from the Date of Grant to December 31, 1998.</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29, 2000 if the Grantee is an active employee of the Company or a Subsidiary continuously from the Date of Grant to December 31, 1999.</w:t>
      </w:r>
    </w:p>
    <w:p>
      <w:pPr>
        <w:spacing w:after="0" w:line="174"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2001 if the Grantee is an active employee of the Company or a Subsidiary continuously from the Date of Grant to December 31, 2000.</w:t>
      </w:r>
    </w:p>
    <w:p>
      <w:pPr>
        <w:spacing w:after="0" w:line="174" w:lineRule="exact"/>
        <w:rPr>
          <w:rFonts w:ascii="Courier New" w:cs="Courier New" w:eastAsia="Courier New" w:hAnsi="Courier New"/>
          <w:sz w:val="15"/>
          <w:szCs w:val="15"/>
          <w:color w:val="auto"/>
        </w:rPr>
      </w:pPr>
    </w:p>
    <w:p>
      <w:pPr>
        <w:jc w:val="both"/>
        <w:ind w:right="3119" w:firstLine="878"/>
        <w:spacing w:after="0" w:line="239" w:lineRule="auto"/>
        <w:tabs>
          <w:tab w:leader="none" w:pos="133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76" w:lineRule="exact"/>
        <w:rPr>
          <w:rFonts w:ascii="Courier New" w:cs="Courier New" w:eastAsia="Courier New" w:hAnsi="Courier New"/>
          <w:sz w:val="15"/>
          <w:szCs w:val="15"/>
          <w:color w:val="auto"/>
        </w:rPr>
      </w:pPr>
    </w:p>
    <w:p>
      <w:pPr>
        <w:jc w:val="both"/>
        <w:ind w:right="3119" w:firstLine="1322"/>
        <w:spacing w:after="0"/>
        <w:tabs>
          <w:tab w:leader="none" w:pos="1686"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Performance Target. Half of the Cash Bonus Award (hereinafter, the "Cellular Performance Award") shall be subject to service and performance conditions. If the Grantee is an active employee of the Company or a Subsidiary continuously from the Date of Grant to December 31 of the last Plan Year in the Award Period, the Grantee shall be paid all or part of the Cellular Performance Award on or before March 15 of the next succeeding calendar year. The Cellular Performance Award shall be equal to the sum of the following amounts:</w:t>
      </w:r>
    </w:p>
    <w:p>
      <w:pPr>
        <w:spacing w:after="0" w:line="176"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if the Target was met for the first Plan Year in the Award Period, or, if a Modified Target was met for the first Plan Year in the Award Period, the Applicable Percent of such amount.</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57" w:name="page158"/>
    <w:bookmarkEnd w:id="157"/>
    <w:p>
      <w:pPr>
        <w:jc w:val="both"/>
        <w:ind w:left="2200" w:right="3119" w:hanging="434"/>
        <w:spacing w:after="0"/>
        <w:tabs>
          <w:tab w:leader="none" w:pos="220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Award (less the sum of the amounts described in Paragraph 10(d)(i)(x) and this Paragraph 10(d)(i)(y) for all preceding Plan Years) (the "Performance Award Amount") if the Target was met for a succeeding Plan Year in the Award Period, or if a Modified Target was met for such succeeding Plan Year, the Applicable Percent of such Performance Award Amount, provided that the applicable amount for any Plan Year shall not be less than zero.</w:t>
      </w:r>
    </w:p>
    <w:p>
      <w:pPr>
        <w:spacing w:after="0" w:line="177" w:lineRule="exact"/>
        <w:rPr>
          <w:rFonts w:ascii="Courier New" w:cs="Courier New" w:eastAsia="Courier New" w:hAnsi="Courier New"/>
          <w:sz w:val="15"/>
          <w:szCs w:val="15"/>
          <w:color w:val="auto"/>
        </w:rPr>
      </w:pPr>
    </w:p>
    <w:p>
      <w:pPr>
        <w:jc w:val="both"/>
        <w:ind w:left="2200" w:right="3119" w:hanging="434"/>
        <w:spacing w:after="0"/>
        <w:tabs>
          <w:tab w:leader="none" w:pos="220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Award assigned to each Plan Year pursuant to this Paragraph 10(d)(i) shall be equal to the "Cumulative Cellular Performance Award." For purposes of this Paragraph 10(d)(i), the term "Cumulative Cellular Performance Award" means the product of the Cellular Performance Award times a fraction, the numerator of which is the value "n" assigned to such Plan Year pursuant to Paragraph 2(v), and the denominator of which is the total number of Plan Years in the Award Period.</w:t>
      </w:r>
    </w:p>
    <w:p>
      <w:pPr>
        <w:spacing w:after="0" w:line="178" w:lineRule="exact"/>
        <w:rPr>
          <w:rFonts w:ascii="Courier New" w:cs="Courier New" w:eastAsia="Courier New" w:hAnsi="Courier New"/>
          <w:sz w:val="15"/>
          <w:szCs w:val="15"/>
          <w:color w:val="auto"/>
        </w:rPr>
      </w:pPr>
    </w:p>
    <w:p>
      <w:pPr>
        <w:jc w:val="both"/>
        <w:ind w:right="3119" w:firstLine="1322"/>
        <w:spacing w:after="0"/>
        <w:tabs>
          <w:tab w:leader="none" w:pos="177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Service Condition. Half of the Cash Bonus Award (hereinafter, the "Cellular Service Award") shall be subject to service conditions, and shall be paid to a Grantee at the following times if the following conditions are satisfied, provided that no payment of a Cellular Service Award shall be made unless the Grantee shall have delivered to the Company a duly executed employment agreement in form and substance satisfactory to the Company:</w:t>
      </w:r>
    </w:p>
    <w:p>
      <w:pPr>
        <w:spacing w:after="0" w:line="175" w:lineRule="exact"/>
        <w:rPr>
          <w:rFonts w:ascii="Courier New" w:cs="Courier New" w:eastAsia="Courier New" w:hAnsi="Courier New"/>
          <w:sz w:val="15"/>
          <w:szCs w:val="15"/>
          <w:color w:val="auto"/>
        </w:rPr>
      </w:pPr>
    </w:p>
    <w:p>
      <w:pPr>
        <w:jc w:val="both"/>
        <w:ind w:left="2200" w:right="3119" w:hanging="434"/>
        <w:spacing w:after="0" w:line="239" w:lineRule="auto"/>
        <w:tabs>
          <w:tab w:leader="none" w:pos="220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Cellular Service Award shall be paid as soon as reasonably practicable following the Date of Grant.</w:t>
      </w:r>
    </w:p>
    <w:p>
      <w:pPr>
        <w:spacing w:after="0" w:line="175" w:lineRule="exact"/>
        <w:rPr>
          <w:rFonts w:ascii="Courier New" w:cs="Courier New" w:eastAsia="Courier New" w:hAnsi="Courier New"/>
          <w:sz w:val="15"/>
          <w:szCs w:val="15"/>
          <w:color w:val="auto"/>
        </w:rPr>
      </w:pPr>
    </w:p>
    <w:p>
      <w:pPr>
        <w:jc w:val="both"/>
        <w:ind w:left="2200" w:right="3119" w:hanging="434"/>
        <w:spacing w:after="0" w:line="260" w:lineRule="auto"/>
        <w:tabs>
          <w:tab w:leader="none" w:pos="220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of the Cellular Service Award shall be paid on or before the last day of February of the third Plan Year in the Award Period, if any, if the Grantee is an active employee of the Company or a Subsidiary continuously from the Date of Grant to December 31 of the second Plan Year in the Award Period.</w:t>
      </w:r>
    </w:p>
    <w:p>
      <w:pPr>
        <w:spacing w:after="0" w:line="163" w:lineRule="exact"/>
        <w:rPr>
          <w:rFonts w:ascii="Courier New" w:cs="Courier New" w:eastAsia="Courier New" w:hAnsi="Courier New"/>
          <w:sz w:val="14"/>
          <w:szCs w:val="14"/>
          <w:color w:val="auto"/>
        </w:rPr>
      </w:pPr>
    </w:p>
    <w:p>
      <w:pPr>
        <w:ind w:left="2200" w:right="3119" w:hanging="434"/>
        <w:spacing w:after="0" w:line="238" w:lineRule="auto"/>
        <w:tabs>
          <w:tab w:leader="none" w:pos="220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percentage of the Cellular Service Award shall be paid on or before the last day of February of each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31" w:right="1440" w:bottom="1440" w:gutter="0" w:footer="0" w:header="0"/>
        </w:sectPr>
      </w:pPr>
    </w:p>
    <w:bookmarkStart w:id="158" w:name="page159"/>
    <w:bookmarkEnd w:id="158"/>
    <w:p>
      <w:pPr>
        <w:ind w:left="2200"/>
        <w:spacing w:after="0"/>
        <w:tabs>
          <w:tab w:leader="none" w:pos="3260" w:val="left"/>
          <w:tab w:leader="none" w:pos="5380" w:val="left"/>
          <w:tab w:leader="none" w:pos="6180" w:val="left"/>
        </w:tabs>
        <w:rPr>
          <w:sz w:val="20"/>
          <w:szCs w:val="20"/>
          <w:color w:val="auto"/>
        </w:rPr>
      </w:pPr>
      <w:r>
        <w:rPr>
          <w:rFonts w:ascii="Courier New" w:cs="Courier New" w:eastAsia="Courier New" w:hAnsi="Courier New"/>
          <w:sz w:val="15"/>
          <w:szCs w:val="15"/>
          <w:color w:val="auto"/>
        </w:rPr>
        <w:t>succeeding</w:t>
        <w:tab/>
        <w:t>Plan Year in the Award</w:t>
        <w:tab/>
        <w:t>Period,</w:t>
      </w:r>
      <w:r>
        <w:rPr>
          <w:sz w:val="20"/>
          <w:szCs w:val="20"/>
          <w:color w:val="auto"/>
        </w:rPr>
        <w:tab/>
      </w:r>
      <w:r>
        <w:rPr>
          <w:rFonts w:ascii="Courier New" w:cs="Courier New" w:eastAsia="Courier New" w:hAnsi="Courier New"/>
          <w:sz w:val="14"/>
          <w:szCs w:val="14"/>
          <w:color w:val="auto"/>
        </w:rPr>
        <w:t>if any, if</w:t>
      </w:r>
    </w:p>
    <w:p>
      <w:pPr>
        <w:spacing w:after="0" w:line="1" w:lineRule="exact"/>
        <w:rPr>
          <w:sz w:val="20"/>
          <w:szCs w:val="20"/>
          <w:color w:val="auto"/>
        </w:rPr>
      </w:pPr>
    </w:p>
    <w:p>
      <w:pPr>
        <w:ind w:left="2200"/>
        <w:spacing w:after="0"/>
        <w:tabs>
          <w:tab w:leader="none" w:pos="2640" w:val="left"/>
          <w:tab w:leader="none" w:pos="4580" w:val="left"/>
        </w:tabs>
        <w:rPr>
          <w:sz w:val="20"/>
          <w:szCs w:val="20"/>
          <w:color w:val="auto"/>
        </w:rPr>
      </w:pPr>
      <w:r>
        <w:rPr>
          <w:rFonts w:ascii="Courier New" w:cs="Courier New" w:eastAsia="Courier New" w:hAnsi="Courier New"/>
          <w:sz w:val="15"/>
          <w:szCs w:val="15"/>
          <w:color w:val="auto"/>
        </w:rPr>
        <w:t>the</w:t>
        <w:tab/>
        <w:t>Grantee is an active</w:t>
      </w:r>
      <w:r>
        <w:rPr>
          <w:sz w:val="20"/>
          <w:szCs w:val="20"/>
          <w:color w:val="auto"/>
        </w:rPr>
        <w:tab/>
      </w:r>
      <w:r>
        <w:rPr>
          <w:rFonts w:ascii="Courier New" w:cs="Courier New" w:eastAsia="Courier New" w:hAnsi="Courier New"/>
          <w:sz w:val="14"/>
          <w:szCs w:val="14"/>
          <w:color w:val="auto"/>
        </w:rPr>
        <w:t>employee of the Company or a</w:t>
      </w:r>
    </w:p>
    <w:p>
      <w:pPr>
        <w:spacing w:after="0" w:line="1" w:lineRule="exact"/>
        <w:rPr>
          <w:sz w:val="20"/>
          <w:szCs w:val="20"/>
          <w:color w:val="auto"/>
        </w:rPr>
      </w:pPr>
    </w:p>
    <w:p>
      <w:pPr>
        <w:ind w:left="2200"/>
        <w:spacing w:after="0"/>
        <w:tabs>
          <w:tab w:leader="none" w:pos="3260" w:val="left"/>
          <w:tab w:leader="none" w:pos="4500" w:val="left"/>
          <w:tab w:leader="none" w:pos="5020" w:val="left"/>
          <w:tab w:leader="none" w:pos="5480" w:val="left"/>
          <w:tab w:leader="none" w:pos="6280" w:val="left"/>
          <w:tab w:leader="none" w:pos="6900" w:val="left"/>
        </w:tabs>
        <w:rPr>
          <w:sz w:val="20"/>
          <w:szCs w:val="20"/>
          <w:color w:val="auto"/>
        </w:rPr>
      </w:pPr>
      <w:r>
        <w:rPr>
          <w:rFonts w:ascii="Courier New" w:cs="Courier New" w:eastAsia="Courier New" w:hAnsi="Courier New"/>
          <w:sz w:val="15"/>
          <w:szCs w:val="15"/>
          <w:color w:val="auto"/>
        </w:rPr>
        <w:t>Subsidiary</w:t>
        <w:tab/>
        <w:t>continuously</w:t>
        <w:tab/>
        <w:t>from</w:t>
        <w:tab/>
        <w:t>the</w:t>
        <w:tab/>
        <w:t>Date of</w:t>
        <w:tab/>
        <w:t>Grant</w:t>
        <w:tab/>
        <w:t>to</w:t>
      </w:r>
    </w:p>
    <w:p>
      <w:pPr>
        <w:spacing w:after="0" w:line="1" w:lineRule="exact"/>
        <w:rPr>
          <w:sz w:val="20"/>
          <w:szCs w:val="20"/>
          <w:color w:val="auto"/>
        </w:rPr>
      </w:pPr>
    </w:p>
    <w:p>
      <w:pPr>
        <w:ind w:left="2200"/>
        <w:spacing w:after="0"/>
        <w:tabs>
          <w:tab w:leader="none" w:pos="6180" w:val="left"/>
        </w:tabs>
        <w:rPr>
          <w:sz w:val="20"/>
          <w:szCs w:val="20"/>
          <w:color w:val="auto"/>
        </w:rPr>
      </w:pPr>
      <w:r>
        <w:rPr>
          <w:rFonts w:ascii="Courier New" w:cs="Courier New" w:eastAsia="Courier New" w:hAnsi="Courier New"/>
          <w:sz w:val="15"/>
          <w:szCs w:val="15"/>
          <w:color w:val="auto"/>
        </w:rPr>
        <w:t>December 31 of the Plan Year preceding such</w:t>
        <w:tab/>
        <w:t>succeeding</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Plan Year in the Award Period.</w:t>
      </w:r>
    </w:p>
    <w:p>
      <w:pPr>
        <w:spacing w:after="0" w:line="174" w:lineRule="exact"/>
        <w:rPr>
          <w:sz w:val="20"/>
          <w:szCs w:val="20"/>
          <w:color w:val="auto"/>
        </w:rPr>
      </w:pPr>
    </w:p>
    <w:p>
      <w:pPr>
        <w:jc w:val="both"/>
        <w:ind w:left="2200" w:right="3119" w:hanging="434"/>
        <w:spacing w:after="0"/>
        <w:tabs>
          <w:tab w:leader="none" w:pos="22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Cellular Service Award assigned to each Plan Year pursuant to this Paragraph 10(d)(ii) shall be equal to the quotient obtained by dividing the Cellular Service Award by the number of Plan Years in the Award Period.</w:t>
      </w:r>
    </w:p>
    <w:p>
      <w:pPr>
        <w:spacing w:after="0" w:line="172" w:lineRule="exact"/>
        <w:rPr>
          <w:sz w:val="20"/>
          <w:szCs w:val="20"/>
          <w:color w:val="auto"/>
        </w:rPr>
      </w:pPr>
    </w:p>
    <w:p>
      <w:pPr>
        <w:ind w:left="880" w:hanging="445"/>
        <w:spacing w:after="0"/>
        <w:tabs>
          <w:tab w:leader="none" w:pos="8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4" w:lineRule="exact"/>
        <w:rPr>
          <w:sz w:val="20"/>
          <w:szCs w:val="20"/>
          <w:color w:val="auto"/>
        </w:rPr>
      </w:pPr>
    </w:p>
    <w:p>
      <w:pPr>
        <w:jc w:val="both"/>
        <w:ind w:right="3119" w:firstLine="887"/>
        <w:spacing w:after="0" w:line="239" w:lineRule="auto"/>
        <w:rPr>
          <w:sz w:val="20"/>
          <w:szCs w:val="20"/>
          <w:color w:val="auto"/>
        </w:rPr>
      </w:pPr>
      <w:r>
        <w:rPr>
          <w:rFonts w:ascii="Courier New" w:cs="Courier New" w:eastAsia="Courier New" w:hAnsi="Courier New"/>
          <w:sz w:val="15"/>
          <w:szCs w:val="15"/>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4" w:lineRule="exact"/>
        <w:rPr>
          <w:sz w:val="20"/>
          <w:szCs w:val="20"/>
          <w:color w:val="auto"/>
        </w:rPr>
      </w:pPr>
    </w:p>
    <w:p>
      <w:pPr>
        <w:ind w:left="880" w:hanging="445"/>
        <w:spacing w:after="0"/>
        <w:tabs>
          <w:tab w:leader="none" w:pos="88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72" w:lineRule="exact"/>
        <w:rPr>
          <w:sz w:val="20"/>
          <w:szCs w:val="20"/>
          <w:color w:val="auto"/>
        </w:rPr>
      </w:pPr>
    </w:p>
    <w:p>
      <w:pPr>
        <w:ind w:left="880" w:hanging="445"/>
        <w:spacing w:after="0"/>
        <w:tabs>
          <w:tab w:leader="none" w:pos="8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74" w:lineRule="exact"/>
        <w:rPr>
          <w:sz w:val="20"/>
          <w:szCs w:val="20"/>
          <w:color w:val="auto"/>
        </w:rPr>
      </w:pPr>
    </w:p>
    <w:p>
      <w:pPr>
        <w:jc w:val="both"/>
        <w:ind w:right="3119" w:firstLine="887"/>
        <w:spacing w:after="0" w:line="239" w:lineRule="auto"/>
        <w:rPr>
          <w:sz w:val="20"/>
          <w:szCs w:val="20"/>
          <w:color w:val="auto"/>
        </w:rPr>
      </w:pPr>
      <w:r>
        <w:rPr>
          <w:rFonts w:ascii="Courier New" w:cs="Courier New" w:eastAsia="Courier New" w:hAnsi="Courier New"/>
          <w:sz w:val="15"/>
          <w:szCs w:val="15"/>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74" w:lineRule="exact"/>
        <w:rPr>
          <w:sz w:val="20"/>
          <w:szCs w:val="20"/>
          <w:color w:val="auto"/>
        </w:rPr>
      </w:pPr>
    </w:p>
    <w:p>
      <w:pPr>
        <w:ind w:left="880" w:hanging="445"/>
        <w:spacing w:after="0"/>
        <w:tabs>
          <w:tab w:leader="none" w:pos="88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4" w:lineRule="exact"/>
        <w:rPr>
          <w:sz w:val="20"/>
          <w:szCs w:val="20"/>
          <w:color w:val="auto"/>
        </w:rPr>
      </w:pPr>
    </w:p>
    <w:p>
      <w:pPr>
        <w:jc w:val="both"/>
        <w:ind w:right="3119" w:firstLine="887"/>
        <w:spacing w:after="0"/>
        <w:rPr>
          <w:sz w:val="20"/>
          <w:szCs w:val="20"/>
          <w:color w:val="auto"/>
        </w:rPr>
      </w:pPr>
      <w:r>
        <w:rPr>
          <w:rFonts w:ascii="Courier New" w:cs="Courier New" w:eastAsia="Courier New" w:hAnsi="Courier New"/>
          <w:sz w:val="15"/>
          <w:szCs w:val="15"/>
          <w:color w:val="auto"/>
        </w:rPr>
        <w:t>The effective date of this amendment and restatement of the Plan is December 15, 1998, the date on which it was adopted by the Committee. To the extent provided by the Committee, the rules of the Plan, as amended and restated, shall apply to the determination of payments to be made pursuant to the Plan on and after the effective date of this amendment and restatement of the Plan.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28" w:right="1440" w:bottom="1440" w:gutter="0" w:footer="0" w:header="0"/>
        </w:sectPr>
      </w:pPr>
    </w:p>
    <w:bookmarkStart w:id="159" w:name="page160"/>
    <w:bookmarkEnd w:id="159"/>
    <w:p>
      <w:pPr>
        <w:ind w:left="880" w:hanging="445"/>
        <w:spacing w:after="0"/>
        <w:tabs>
          <w:tab w:leader="none" w:pos="88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34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Executed this 15th day of December, 1998.</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ATTEST: /s/ Arthur R. Block</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PHLEGAL: #300985 v11 (6G8P11!.WPD)</w:t>
      </w:r>
    </w:p>
    <w:p>
      <w:pPr>
        <w:sectPr>
          <w:pgSz w:w="11900" w:h="16838" w:orient="portrait"/>
          <w:cols w:equalWidth="0" w:num="1">
            <w:col w:w="10219"/>
          </w:cols>
          <w:pgMar w:left="240" w:top="628" w:right="1440" w:bottom="1440" w:gutter="0" w:footer="0" w:header="0"/>
        </w:sectPr>
      </w:pPr>
    </w:p>
    <w:bookmarkStart w:id="160" w:name="page161"/>
    <w:bookmarkEnd w:id="160"/>
    <w:p>
      <w:pPr>
        <w:ind w:left="2300"/>
        <w:spacing w:after="0"/>
        <w:rPr>
          <w:sz w:val="20"/>
          <w:szCs w:val="20"/>
          <w:color w:val="auto"/>
        </w:rPr>
      </w:pPr>
      <w:r>
        <w:rPr>
          <w:rFonts w:ascii="Courier New" w:cs="Courier New" w:eastAsia="Courier New" w:hAnsi="Courier New"/>
          <w:sz w:val="15"/>
          <w:szCs w:val="15"/>
          <w:color w:val="auto"/>
        </w:rPr>
        <w:t>EXHIBIT A</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Applicable Percents and Modified Targets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gridSpan w:val="2"/>
          </w:tcPr>
          <w:p>
            <w:pPr>
              <w:jc w:val="center"/>
              <w:ind w:right="1086"/>
              <w:spacing w:after="0"/>
              <w:rPr>
                <w:sz w:val="20"/>
                <w:szCs w:val="20"/>
                <w:color w:val="auto"/>
              </w:rPr>
            </w:pPr>
            <w:r>
              <w:rPr>
                <w:rFonts w:ascii="Courier New" w:cs="Courier New" w:eastAsia="Courier New" w:hAnsi="Courier New"/>
                <w:sz w:val="15"/>
                <w:szCs w:val="15"/>
                <w:color w:val="auto"/>
                <w:w w:val="98"/>
              </w:rPr>
              <w:t>Achievement Range</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Percent Vested</w:t>
            </w:r>
          </w:p>
        </w:tc>
      </w:tr>
      <w:tr>
        <w:trPr>
          <w:trHeight w:val="341"/>
        </w:trPr>
        <w:tc>
          <w:tcPr>
            <w:tcW w:w="440" w:type="dxa"/>
            <w:vAlign w:val="bottom"/>
          </w:tcPr>
          <w:p>
            <w:pPr>
              <w:spacing w:after="0"/>
              <w:rPr>
                <w:sz w:val="24"/>
                <w:szCs w:val="24"/>
                <w:color w:val="auto"/>
              </w:rPr>
            </w:pPr>
          </w:p>
        </w:tc>
        <w:tc>
          <w:tcPr>
            <w:tcW w:w="2220" w:type="dxa"/>
            <w:vAlign w:val="bottom"/>
          </w:tcPr>
          <w:p>
            <w:pPr>
              <w:jc w:val="right"/>
              <w:ind w:right="1806"/>
              <w:spacing w:after="0"/>
              <w:rPr>
                <w:sz w:val="20"/>
                <w:szCs w:val="20"/>
                <w:color w:val="auto"/>
              </w:rPr>
            </w:pPr>
            <w:r>
              <w:rPr>
                <w:rFonts w:ascii="Courier New" w:cs="Courier New" w:eastAsia="Courier New" w:hAnsi="Courier New"/>
                <w:sz w:val="15"/>
                <w:szCs w:val="15"/>
                <w:color w:val="auto"/>
                <w:w w:val="88"/>
              </w:rPr>
              <w:t>100%</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- 99%</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95%</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- 94%</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- 89%</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- 84%</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- 79%</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2220" w:type="dxa"/>
            <w:vAlign w:val="bottom"/>
          </w:tcPr>
          <w:p>
            <w:pPr>
              <w:jc w:val="center"/>
              <w:ind w:right="1546"/>
              <w:spacing w:after="0"/>
              <w:rPr>
                <w:sz w:val="20"/>
                <w:szCs w:val="20"/>
                <w:color w:val="auto"/>
              </w:rPr>
            </w:pPr>
            <w:r>
              <w:rPr>
                <w:rFonts w:ascii="Courier New" w:cs="Courier New" w:eastAsia="Courier New" w:hAnsi="Courier New"/>
                <w:sz w:val="15"/>
                <w:szCs w:val="15"/>
                <w:color w:val="auto"/>
                <w:w w:val="97"/>
              </w:rPr>
              <w:t>- 74%</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r>
      <w:tr>
        <w:trPr>
          <w:trHeight w:val="171"/>
        </w:trPr>
        <w:tc>
          <w:tcPr>
            <w:tcW w:w="2660" w:type="dxa"/>
            <w:vAlign w:val="bottom"/>
            <w:gridSpan w:val="2"/>
          </w:tcPr>
          <w:p>
            <w:pPr>
              <w:jc w:val="right"/>
              <w:ind w:right="1446"/>
              <w:spacing w:after="0"/>
              <w:rPr>
                <w:sz w:val="20"/>
                <w:szCs w:val="20"/>
                <w:color w:val="auto"/>
              </w:rPr>
            </w:pPr>
            <w:r>
              <w:rPr>
                <w:rFonts w:ascii="Courier New" w:cs="Courier New" w:eastAsia="Courier New" w:hAnsi="Courier New"/>
                <w:sz w:val="15"/>
                <w:szCs w:val="15"/>
                <w:color w:val="auto"/>
                <w:w w:val="95"/>
              </w:rPr>
              <w:t>less than 70%</w:t>
            </w:r>
          </w:p>
        </w:tc>
        <w:tc>
          <w:tcPr>
            <w:tcW w:w="2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99" w:right="1440" w:bottom="1440" w:gutter="0" w:footer="0" w:header="0"/>
        </w:sectPr>
      </w:pPr>
    </w:p>
    <w:bookmarkStart w:id="161" w:name="page162"/>
    <w:bookmarkEnd w:id="161"/>
    <w:p>
      <w:pPr>
        <w:spacing w:after="0"/>
        <w:tabs>
          <w:tab w:leader="none" w:pos="1560" w:val="left"/>
        </w:tabs>
        <w:rPr>
          <w:sz w:val="20"/>
          <w:szCs w:val="20"/>
          <w:color w:val="auto"/>
        </w:rPr>
      </w:pPr>
      <w:r>
        <w:rPr>
          <w:rFonts w:ascii="Courier New" w:cs="Courier New" w:eastAsia="Courier New" w:hAnsi="Courier New"/>
          <w:sz w:val="15"/>
          <w:szCs w:val="15"/>
          <w:color w:val="auto"/>
        </w:rPr>
        <w:t>Exhibit 10.34</w:t>
      </w:r>
      <w:r>
        <w:rPr>
          <w:sz w:val="20"/>
          <w:szCs w:val="20"/>
          <w:color w:val="auto"/>
        </w:rPr>
        <w:tab/>
      </w:r>
      <w:r>
        <w:rPr>
          <w:rFonts w:ascii="Courier New" w:cs="Courier New" w:eastAsia="Courier New" w:hAnsi="Courier New"/>
          <w:sz w:val="14"/>
          <w:szCs w:val="14"/>
          <w:color w:val="auto"/>
        </w:rPr>
        <w:t>Material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PURCHASE AND SALE AGREEMENT</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January 19, 1999</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SBC COMMUNICATIONS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CELLULAR HOLDINGS CORPORATION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FINANCIAL CORPORATION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1"/>
        </w:trPr>
        <w:tc>
          <w:tcPr>
            <w:tcW w:w="1240" w:type="dxa"/>
            <w:vAlign w:val="bottom"/>
          </w:tcPr>
          <w:p>
            <w:pPr>
              <w:spacing w:after="0"/>
              <w:rPr>
                <w:sz w:val="24"/>
                <w:szCs w:val="24"/>
                <w:color w:val="auto"/>
              </w:rPr>
            </w:pPr>
          </w:p>
        </w:tc>
        <w:tc>
          <w:tcPr>
            <w:tcW w:w="550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98"/>
              </w:rPr>
              <w:t>TABLE OF CONTENTS</w:t>
            </w:r>
          </w:p>
        </w:tc>
        <w:tc>
          <w:tcPr>
            <w:tcW w:w="360" w:type="dxa"/>
            <w:vAlign w:val="bottom"/>
          </w:tcPr>
          <w:p>
            <w:pPr>
              <w:spacing w:after="0"/>
              <w:rPr>
                <w:sz w:val="24"/>
                <w:szCs w:val="24"/>
                <w:color w:val="auto"/>
              </w:rPr>
            </w:pPr>
          </w:p>
        </w:tc>
      </w:tr>
      <w:tr>
        <w:trPr>
          <w:trHeight w:val="341"/>
        </w:trPr>
        <w:tc>
          <w:tcPr>
            <w:tcW w:w="1240" w:type="dxa"/>
            <w:vAlign w:val="bottom"/>
          </w:tcPr>
          <w:p>
            <w:pPr>
              <w:spacing w:after="0"/>
              <w:rPr>
                <w:sz w:val="24"/>
                <w:szCs w:val="24"/>
                <w:color w:val="auto"/>
              </w:rPr>
            </w:pPr>
          </w:p>
        </w:tc>
        <w:tc>
          <w:tcPr>
            <w:tcW w:w="550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r>
      <w:tr>
        <w:trPr>
          <w:trHeight w:val="341"/>
        </w:trPr>
        <w:tc>
          <w:tcPr>
            <w:tcW w:w="1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1"/>
        </w:trPr>
        <w:tc>
          <w:tcPr>
            <w:tcW w:w="1240" w:type="dxa"/>
            <w:vAlign w:val="bottom"/>
          </w:tcPr>
          <w:p>
            <w:pPr>
              <w:spacing w:after="0"/>
              <w:rPr>
                <w:sz w:val="24"/>
                <w:szCs w:val="24"/>
                <w:color w:val="auto"/>
              </w:rPr>
            </w:pPr>
          </w:p>
        </w:tc>
        <w:tc>
          <w:tcPr>
            <w:tcW w:w="5500" w:type="dxa"/>
            <w:vAlign w:val="bottom"/>
          </w:tcPr>
          <w:p>
            <w:pPr>
              <w:jc w:val="center"/>
              <w:ind w:right="746"/>
              <w:spacing w:after="0"/>
              <w:rPr>
                <w:sz w:val="20"/>
                <w:szCs w:val="20"/>
                <w:color w:val="auto"/>
              </w:rPr>
            </w:pPr>
            <w:r>
              <w:rPr>
                <w:rFonts w:ascii="Courier New" w:cs="Courier New" w:eastAsia="Courier New" w:hAnsi="Courier New"/>
                <w:sz w:val="15"/>
                <w:szCs w:val="15"/>
                <w:color w:val="auto"/>
                <w:w w:val="98"/>
              </w:rPr>
              <w:t>ARTICLE 1</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550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98"/>
              </w:rPr>
              <w:t>DEFINITIONS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5"/>
              </w:rPr>
              <w:t>Definitions....................................................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r>
      <w:tr>
        <w:trPr>
          <w:trHeight w:val="341"/>
        </w:trPr>
        <w:tc>
          <w:tcPr>
            <w:tcW w:w="1240" w:type="dxa"/>
            <w:vAlign w:val="bottom"/>
          </w:tcPr>
          <w:p>
            <w:pPr>
              <w:spacing w:after="0"/>
              <w:rPr>
                <w:sz w:val="24"/>
                <w:szCs w:val="24"/>
                <w:color w:val="auto"/>
              </w:rPr>
            </w:pPr>
          </w:p>
        </w:tc>
        <w:tc>
          <w:tcPr>
            <w:tcW w:w="5500" w:type="dxa"/>
            <w:vAlign w:val="bottom"/>
          </w:tcPr>
          <w:p>
            <w:pPr>
              <w:jc w:val="center"/>
              <w:ind w:right="746"/>
              <w:spacing w:after="0"/>
              <w:rPr>
                <w:sz w:val="20"/>
                <w:szCs w:val="20"/>
                <w:color w:val="auto"/>
              </w:rPr>
            </w:pPr>
            <w:r>
              <w:rPr>
                <w:rFonts w:ascii="Courier New" w:cs="Courier New" w:eastAsia="Courier New" w:hAnsi="Courier New"/>
                <w:sz w:val="15"/>
                <w:szCs w:val="15"/>
                <w:color w:val="auto"/>
                <w:w w:val="98"/>
              </w:rPr>
              <w:t>ARTICLE 2</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550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98"/>
              </w:rPr>
              <w:t>PURCHASE AND SALE</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Purchase and Sale.............................................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Closing.......................................................</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Initial Purchase Price Adjustment.............................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Final Purchase Price Adjustment...............................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341"/>
        </w:trPr>
        <w:tc>
          <w:tcPr>
            <w:tcW w:w="1240" w:type="dxa"/>
            <w:vAlign w:val="bottom"/>
          </w:tcPr>
          <w:p>
            <w:pPr>
              <w:spacing w:after="0"/>
              <w:rPr>
                <w:sz w:val="24"/>
                <w:szCs w:val="24"/>
                <w:color w:val="auto"/>
              </w:rPr>
            </w:pPr>
          </w:p>
        </w:tc>
        <w:tc>
          <w:tcPr>
            <w:tcW w:w="5500" w:type="dxa"/>
            <w:vAlign w:val="bottom"/>
          </w:tcPr>
          <w:p>
            <w:pPr>
              <w:jc w:val="center"/>
              <w:ind w:right="746"/>
              <w:spacing w:after="0"/>
              <w:rPr>
                <w:sz w:val="20"/>
                <w:szCs w:val="20"/>
                <w:color w:val="auto"/>
              </w:rPr>
            </w:pPr>
            <w:r>
              <w:rPr>
                <w:rFonts w:ascii="Courier New" w:cs="Courier New" w:eastAsia="Courier New" w:hAnsi="Courier New"/>
                <w:sz w:val="15"/>
                <w:szCs w:val="15"/>
                <w:color w:val="auto"/>
                <w:w w:val="98"/>
              </w:rPr>
              <w:t>ARTICLE 3</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5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REPRESENTATIONS AND WARRANTIES OF SELLERS AND SELLER GUARANTOR</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Corporate Existence and Power.................................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Corporate Authorization.......................................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Governmental Authorization....................................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Non-Contravention.............................................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Capitalization................................................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Ownership of Shares...........................................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Company; Subsidiaries and Joint Ventures......................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SEC Filings; Financial Statements.............................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Absence of Certain Changes....................................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No Undisclosed Liabilities....................................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Intercompany Accounts.........................................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Material Contracts............................................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Litigation....................................................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Compliance with Laws and Court Orders; No Defaults............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Real Property.................................................</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Properties....................................................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Insurance.....................................................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Intellectual Property.........................................</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Finders' Fees.................................................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3.20.</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Labor Matters.................................................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Employee Benefit Plans........................................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Environmental Matters.........................................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Regulatory Matters............................................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Assets of the Excluded Subsidiaries...........................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3.25.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6"/>
              </w:rPr>
              <w:t>Sufficiency of Transfers......................................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r>
    </w:tbl>
    <w:p>
      <w:pPr>
        <w:sectPr>
          <w:pgSz w:w="11900" w:h="16838" w:orient="portrait"/>
          <w:cols w:equalWidth="0" w:num="1">
            <w:col w:w="10219"/>
          </w:cols>
          <w:pgMar w:left="240" w:top="139" w:right="1440" w:bottom="798" w:gutter="0" w:footer="0" w:header="0"/>
        </w:sectPr>
      </w:pPr>
    </w:p>
    <w:bookmarkStart w:id="162" w:name="page163"/>
    <w:bookmarkEnd w:id="162"/>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3.26.</w:t>
        <w:tab/>
        <w:t>Year 2000 Compliance</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3.27.</w:t>
        <w:tab/>
        <w:t>No Other Representations and Warranties</w:t>
      </w:r>
      <w:r>
        <w:rPr>
          <w:sz w:val="20"/>
          <w:szCs w:val="20"/>
          <w:color w:val="auto"/>
        </w:rPr>
        <w:tab/>
      </w:r>
      <w:r>
        <w:rPr>
          <w:rFonts w:ascii="Courier New" w:cs="Courier New" w:eastAsia="Courier New" w:hAnsi="Courier New"/>
          <w:sz w:val="15"/>
          <w:szCs w:val="15"/>
          <w:color w:val="auto"/>
        </w:rPr>
        <w:t>32</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4</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REPRESENTATIONS AND WARRANTIES OF BUYER</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4.01.</w:t>
        <w:tab/>
        <w:t>Corporate Existence and Power</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4.02.</w:t>
        <w:tab/>
        <w:t>Corporate Authorization</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4.03.</w:t>
        <w:tab/>
        <w:t>Governmental Authorization</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4.04.</w:t>
        <w:tab/>
        <w:t>Non-Contravention</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4.05.</w:t>
        <w:tab/>
        <w:t>Litigation</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4.06.</w:t>
        <w:tab/>
        <w:t>Compliance with Laws and Court Orders; No Defaults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4.07.</w:t>
        <w:tab/>
        <w:t>Finders' Fees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4.08.</w:t>
        <w:tab/>
        <w:t>Purchase for Investment</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4.09.</w:t>
        <w:tab/>
        <w:t>No Other Representations and Warranties</w:t>
      </w:r>
      <w:r>
        <w:rPr>
          <w:sz w:val="20"/>
          <w:szCs w:val="20"/>
          <w:color w:val="auto"/>
        </w:rPr>
        <w:tab/>
      </w:r>
      <w:r>
        <w:rPr>
          <w:rFonts w:ascii="Courier New" w:cs="Courier New" w:eastAsia="Courier New" w:hAnsi="Courier New"/>
          <w:sz w:val="15"/>
          <w:szCs w:val="15"/>
          <w:color w:val="auto"/>
        </w:rPr>
        <w:t>35</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5</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COVENANTS OF SELLERS AND SELLER GUARANTOR</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5.01.</w:t>
        <w:tab/>
        <w:t>Conduct of the Company</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5.02.</w:t>
        <w:tab/>
        <w:t>Access to Information</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5.03.</w:t>
        <w:tab/>
        <w:t>Notices of Certain Events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5.04.</w:t>
        <w:tab/>
        <w:t>Resignations</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5.05.</w:t>
        <w:tab/>
        <w:t>Non-competition</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5.06.</w:t>
        <w:tab/>
        <w:t>Transfer of the Excluded Subsidiaries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5.07.</w:t>
        <w:tab/>
        <w:t>Intercompany Accounts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5.08.</w:t>
        <w:tab/>
        <w:t>Nonsolicitation</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5.09.</w:t>
        <w:tab/>
        <w:t>Confidentiality</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5.10.</w:t>
        <w:tab/>
        <w:t>Exchange of Preferred Stock for Common Stock</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5.11.</w:t>
        <w:tab/>
        <w:t>Regulatory Compliance</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5.12.</w:t>
        <w:tab/>
        <w:t>Expenditures</w:t>
      </w:r>
      <w:r>
        <w:rPr>
          <w:sz w:val="20"/>
          <w:szCs w:val="20"/>
          <w:color w:val="auto"/>
        </w:rPr>
        <w:tab/>
      </w:r>
      <w:r>
        <w:rPr>
          <w:rFonts w:ascii="Courier New" w:cs="Courier New" w:eastAsia="Courier New" w:hAnsi="Courier New"/>
          <w:sz w:val="15"/>
          <w:szCs w:val="15"/>
          <w:color w:val="auto"/>
        </w:rPr>
        <w:t>43</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6</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COVENANTS OF BUYER</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6.01.</w:t>
        <w:tab/>
        <w:t>Notices of Certain Events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6.02.</w:t>
        <w:tab/>
        <w:t>Confidentiality</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6.03.</w:t>
        <w:tab/>
        <w:t>Access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6.04.</w:t>
        <w:tab/>
        <w:t>Redemption of the Senior Notes</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6.05.</w:t>
        <w:tab/>
        <w:t>Cellular Services</w:t>
      </w:r>
      <w:r>
        <w:rPr>
          <w:sz w:val="20"/>
          <w:szCs w:val="20"/>
          <w:color w:val="auto"/>
        </w:rPr>
        <w:tab/>
      </w:r>
      <w:r>
        <w:rPr>
          <w:rFonts w:ascii="Courier New" w:cs="Courier New" w:eastAsia="Courier New" w:hAnsi="Courier New"/>
          <w:sz w:val="15"/>
          <w:szCs w:val="15"/>
          <w:color w:val="auto"/>
        </w:rPr>
        <w:t>45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799" w:right="1440" w:bottom="1440" w:gutter="0" w:footer="0" w:header="0"/>
        </w:sectPr>
      </w:pPr>
    </w:p>
    <w:bookmarkStart w:id="163" w:name="page164"/>
    <w:bookmarkEnd w:id="163"/>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7</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COVENANTS OF BUYER, SELLERS AND SELLER GUARANTOR</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7.01.</w:t>
        <w:tab/>
        <w:t>Best Efforts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7.02.</w:t>
        <w:tab/>
        <w:t>Certain Filings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7.03.</w:t>
        <w:tab/>
        <w:t>Public Announcements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7.04.</w:t>
        <w:tab/>
        <w:t>Seller Trademarks; Tradenames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7.05.</w:t>
        <w:tab/>
        <w:t>38 GHz Authorizations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7.06.</w:t>
        <w:tab/>
        <w:t>Illinois Properties</w:t>
      </w:r>
      <w:r>
        <w:rPr>
          <w:sz w:val="20"/>
          <w:szCs w:val="20"/>
          <w:color w:val="auto"/>
        </w:rPr>
        <w:tab/>
      </w:r>
      <w:r>
        <w:rPr>
          <w:rFonts w:ascii="Courier New" w:cs="Courier New" w:eastAsia="Courier New" w:hAnsi="Courier New"/>
          <w:sz w:val="15"/>
          <w:szCs w:val="15"/>
          <w:color w:val="auto"/>
        </w:rPr>
        <w:t>49</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8</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TAX MATTERS</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8.01.</w:t>
        <w:tab/>
        <w:t>Tax Representations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8.02.</w:t>
        <w:tab/>
        <w:t>Sellers Tax Covenants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8.03.</w:t>
        <w:tab/>
        <w:t>Buyer Tax Covenants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8.04.</w:t>
        <w:tab/>
        <w:t>Tax Sharing</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8.05.</w:t>
        <w:tab/>
        <w:t>Other Tax Matters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8.06.</w:t>
        <w:tab/>
        <w:t>Cooperation on Tax Matters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8.07.</w:t>
        <w:tab/>
        <w:t>Certain Disputes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8.08.</w:t>
        <w:tab/>
        <w:t>Sellers Tax Indemnification of Buyer</w:t>
      </w:r>
      <w:r>
        <w:rPr>
          <w:sz w:val="20"/>
          <w:szCs w:val="20"/>
          <w:color w:val="auto"/>
        </w:rPr>
        <w:tab/>
      </w:r>
      <w:r>
        <w:rPr>
          <w:rFonts w:ascii="Courier New" w:cs="Courier New" w:eastAsia="Courier New" w:hAnsi="Courier New"/>
          <w:sz w:val="15"/>
          <w:szCs w:val="15"/>
          <w:color w:val="auto"/>
        </w:rPr>
        <w:t>55</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EMPLOYEE BENEFITS</w:t>
      </w:r>
    </w:p>
    <w:p>
      <w:pPr>
        <w:spacing w:after="0" w:line="17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9.01.</w:t>
        <w:tab/>
        <w:t>Benefits Following the Closing Date</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9.02.</w:t>
        <w:tab/>
        <w:t>Post-Closing Benefit Liabilities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9.03.</w:t>
        <w:tab/>
        <w:t>Thrift Plan</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9.04.</w:t>
        <w:tab/>
        <w:t>Retention Payments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9.05.</w:t>
        <w:tab/>
        <w:t>Pre-closing Bonus Period</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9.06.</w:t>
        <w:tab/>
        <w:t>Cooperation</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1300" w:val="left"/>
          <w:tab w:leader="dot" w:pos="6800" w:val="left"/>
        </w:tabs>
        <w:rPr>
          <w:sz w:val="20"/>
          <w:szCs w:val="20"/>
          <w:color w:val="auto"/>
        </w:rPr>
      </w:pPr>
      <w:r>
        <w:rPr>
          <w:rFonts w:ascii="Courier New" w:cs="Courier New" w:eastAsia="Courier New" w:hAnsi="Courier New"/>
          <w:sz w:val="15"/>
          <w:szCs w:val="15"/>
          <w:color w:val="auto"/>
        </w:rPr>
        <w:t>SECTION 9.07.</w:t>
        <w:tab/>
        <w:t>No Third Party Beneficiaries</w:t>
      </w:r>
      <w:r>
        <w:rPr>
          <w:sz w:val="20"/>
          <w:szCs w:val="20"/>
          <w:color w:val="auto"/>
        </w:rPr>
        <w:tab/>
      </w:r>
      <w:r>
        <w:rPr>
          <w:rFonts w:ascii="Courier New" w:cs="Courier New" w:eastAsia="Courier New" w:hAnsi="Courier New"/>
          <w:sz w:val="15"/>
          <w:szCs w:val="15"/>
          <w:color w:val="auto"/>
        </w:rPr>
        <w:t>61</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CONDITIONS TO CLOSING</w:t>
      </w:r>
    </w:p>
    <w:p>
      <w:pPr>
        <w:spacing w:after="0" w:line="17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Conditions to Obligations of Buyer and Sellers for</w:t>
      </w:r>
    </w:p>
    <w:p>
      <w:pPr>
        <w:spacing w:after="0" w:line="1" w:lineRule="exact"/>
        <w:rPr>
          <w:sz w:val="20"/>
          <w:szCs w:val="20"/>
          <w:color w:val="auto"/>
        </w:rPr>
      </w:pPr>
    </w:p>
    <w:p>
      <w:pPr>
        <w:ind w:left="1580"/>
        <w:spacing w:after="0"/>
        <w:tabs>
          <w:tab w:leader="dot" w:pos="680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10.02.</w:t>
        <w:tab/>
        <w:t>Conditions to Obligation of Buyer for Closing</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Conditions to Obligation of Sellers and Seller Guarantor</w:t>
      </w:r>
    </w:p>
    <w:p>
      <w:pPr>
        <w:spacing w:after="0" w:line="1" w:lineRule="exact"/>
        <w:rPr>
          <w:sz w:val="20"/>
          <w:szCs w:val="20"/>
          <w:color w:val="auto"/>
        </w:rPr>
      </w:pPr>
    </w:p>
    <w:p>
      <w:pPr>
        <w:ind w:left="1580"/>
        <w:spacing w:after="0"/>
        <w:tabs>
          <w:tab w:leader="dot" w:pos="6800" w:val="left"/>
        </w:tabs>
        <w:rPr>
          <w:sz w:val="20"/>
          <w:szCs w:val="20"/>
          <w:color w:val="auto"/>
        </w:rPr>
      </w:pPr>
      <w:r>
        <w:rPr>
          <w:rFonts w:ascii="Courier New" w:cs="Courier New" w:eastAsia="Courier New" w:hAnsi="Courier New"/>
          <w:sz w:val="15"/>
          <w:szCs w:val="15"/>
          <w:color w:val="auto"/>
        </w:rPr>
        <w:t>for Closing</w:t>
      </w:r>
      <w:r>
        <w:rPr>
          <w:sz w:val="20"/>
          <w:szCs w:val="20"/>
          <w:color w:val="auto"/>
        </w:rPr>
        <w:tab/>
      </w: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58" w:right="1440" w:bottom="1440" w:gutter="0" w:footer="0" w:header="0"/>
        </w:sectPr>
      </w:pPr>
    </w:p>
    <w:bookmarkStart w:id="164" w:name="page165"/>
    <w:bookmarkEnd w:id="164"/>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11</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SURVIVAL; INDEMNIFICATION</w:t>
      </w:r>
    </w:p>
    <w:p>
      <w:pPr>
        <w:spacing w:after="0" w:line="17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11.01.</w:t>
        <w:tab/>
        <w:t>Survival</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11.02.</w:t>
        <w:tab/>
        <w:t>Indemnification</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11.03.</w:t>
        <w:tab/>
        <w:t>Procedures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11.04.</w:t>
        <w:tab/>
        <w:t>Calculation of Damages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11.05.</w:t>
        <w:tab/>
        <w:t>Assignment of Claims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11.06.</w:t>
        <w:tab/>
        <w:t>Exclusivity</w:t>
      </w:r>
      <w:r>
        <w:rPr>
          <w:sz w:val="20"/>
          <w:szCs w:val="20"/>
          <w:color w:val="auto"/>
        </w:rPr>
        <w:tab/>
      </w:r>
      <w:r>
        <w:rPr>
          <w:rFonts w:ascii="Courier New" w:cs="Courier New" w:eastAsia="Courier New" w:hAnsi="Courier New"/>
          <w:sz w:val="15"/>
          <w:szCs w:val="15"/>
          <w:color w:val="auto"/>
        </w:rPr>
        <w:t>68</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12</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SELLER GUARANTEE</w:t>
      </w:r>
    </w:p>
    <w:p>
      <w:pPr>
        <w:spacing w:after="0" w:line="17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12.01.</w:t>
        <w:tab/>
        <w:t>Seller Guarantor</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12.02.</w:t>
        <w:tab/>
        <w:t>Guaranty Unconditional</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12.03.</w:t>
        <w:tab/>
        <w:t>Waivers of the Seller Guarantor</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12.04.</w:t>
      </w:r>
      <w:r>
        <w:rPr>
          <w:sz w:val="20"/>
          <w:szCs w:val="20"/>
          <w:color w:val="auto"/>
        </w:rPr>
        <w:tab/>
      </w:r>
      <w:r>
        <w:rPr>
          <w:rFonts w:ascii="Courier New" w:cs="Courier New" w:eastAsia="Courier New" w:hAnsi="Courier New"/>
          <w:sz w:val="14"/>
          <w:szCs w:val="14"/>
          <w:color w:val="auto"/>
        </w:rPr>
        <w:t>Discharge Only upon Performance in Full; Restatement</w:t>
      </w:r>
    </w:p>
    <w:p>
      <w:pPr>
        <w:spacing w:after="0" w:line="1" w:lineRule="exact"/>
        <w:rPr>
          <w:sz w:val="20"/>
          <w:szCs w:val="20"/>
          <w:color w:val="auto"/>
        </w:rPr>
      </w:pPr>
    </w:p>
    <w:p>
      <w:pPr>
        <w:ind w:left="1580"/>
        <w:spacing w:after="0"/>
        <w:tabs>
          <w:tab w:leader="dot" w:pos="6800" w:val="left"/>
        </w:tabs>
        <w:rPr>
          <w:sz w:val="20"/>
          <w:szCs w:val="20"/>
          <w:color w:val="auto"/>
        </w:rPr>
      </w:pPr>
      <w:r>
        <w:rPr>
          <w:rFonts w:ascii="Courier New" w:cs="Courier New" w:eastAsia="Courier New" w:hAnsi="Courier New"/>
          <w:sz w:val="15"/>
          <w:szCs w:val="15"/>
          <w:color w:val="auto"/>
        </w:rPr>
        <w:t>in Certain Circumstances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12.05.</w:t>
        <w:tab/>
        <w:t>Subrogation</w:t>
      </w:r>
      <w:r>
        <w:rPr>
          <w:sz w:val="20"/>
          <w:szCs w:val="20"/>
          <w:color w:val="auto"/>
        </w:rPr>
        <w:tab/>
      </w:r>
      <w:r>
        <w:rPr>
          <w:rFonts w:ascii="Courier New" w:cs="Courier New" w:eastAsia="Courier New" w:hAnsi="Courier New"/>
          <w:sz w:val="15"/>
          <w:szCs w:val="15"/>
          <w:color w:val="auto"/>
        </w:rPr>
        <w:t>70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TERMINATION</w:t>
      </w:r>
    </w:p>
    <w:p>
      <w:pPr>
        <w:spacing w:after="0" w:line="17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13.01.</w:t>
        <w:tab/>
        <w:t>Grounds for Termination</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13.02.</w:t>
        <w:tab/>
        <w:t>Effect of Termination</w:t>
      </w:r>
      <w:r>
        <w:rPr>
          <w:sz w:val="20"/>
          <w:szCs w:val="20"/>
          <w:color w:val="auto"/>
        </w:rPr>
        <w:tab/>
      </w:r>
      <w:r>
        <w:rPr>
          <w:rFonts w:ascii="Courier New" w:cs="Courier New" w:eastAsia="Courier New" w:hAnsi="Courier New"/>
          <w:sz w:val="15"/>
          <w:szCs w:val="15"/>
          <w:color w:val="auto"/>
        </w:rPr>
        <w:t>71</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14</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14.01.</w:t>
        <w:tab/>
        <w:t>Notices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14.02.</w:t>
        <w:tab/>
        <w:t>Amendments and Waivers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14.03.</w:t>
        <w:tab/>
        <w:t>Expenses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14.04.</w:t>
        <w:tab/>
        <w:t>Successors and Assigns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14.05.</w:t>
        <w:tab/>
        <w:t>Governing Law</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14.06.</w:t>
        <w:tab/>
        <w:t>Jurisdiction</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14.07.</w:t>
        <w:tab/>
        <w:t>Waiver of Jury Trial</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14.08.</w:t>
        <w:tab/>
        <w:t>Counterparts; No Third Party Beneficiaries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14.09.</w:t>
        <w:tab/>
        <w:t>Table of Contents: Headings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spacing w:after="0"/>
        <w:tabs>
          <w:tab w:leader="none" w:pos="1400" w:val="left"/>
          <w:tab w:leader="dot" w:pos="6800" w:val="left"/>
        </w:tabs>
        <w:rPr>
          <w:sz w:val="20"/>
          <w:szCs w:val="20"/>
          <w:color w:val="auto"/>
        </w:rPr>
      </w:pPr>
      <w:r>
        <w:rPr>
          <w:rFonts w:ascii="Courier New" w:cs="Courier New" w:eastAsia="Courier New" w:hAnsi="Courier New"/>
          <w:sz w:val="15"/>
          <w:szCs w:val="15"/>
          <w:color w:val="auto"/>
        </w:rPr>
        <w:t>SECTION 14.10.</w:t>
        <w:tab/>
        <w:t>Entire Agreement</w:t>
      </w:r>
      <w:r>
        <w:rPr>
          <w:sz w:val="20"/>
          <w:szCs w:val="20"/>
          <w:color w:val="auto"/>
        </w:rPr>
        <w:tab/>
      </w:r>
      <w:r>
        <w:rPr>
          <w:rFonts w:ascii="Courier New" w:cs="Courier New" w:eastAsia="Courier New" w:hAnsi="Courier New"/>
          <w:sz w:val="15"/>
          <w:szCs w:val="15"/>
          <w:color w:val="auto"/>
        </w:rPr>
        <w:t>74</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457" w:right="1440" w:bottom="1440" w:gutter="0" w:footer="0" w:header="0"/>
        </w:sectPr>
      </w:pPr>
    </w:p>
    <w:bookmarkStart w:id="165" w:name="page166"/>
    <w:bookmarkEnd w:id="165"/>
    <w:p>
      <w:pPr>
        <w:ind w:left="318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19"/>
          </w:cols>
          <w:pgMar w:left="240" w:top="972" w:right="1440" w:bottom="1440" w:gutter="0" w:footer="0" w:header="0"/>
        </w:sectPr>
      </w:pPr>
    </w:p>
    <w:p>
      <w:pPr>
        <w:spacing w:after="0" w:line="183" w:lineRule="exact"/>
        <w:rPr>
          <w:sz w:val="20"/>
          <w:szCs w:val="20"/>
          <w:color w:val="auto"/>
        </w:rPr>
      </w:pPr>
    </w:p>
    <w:p>
      <w:pPr>
        <w:ind w:right="160"/>
        <w:spacing w:after="0" w:line="258" w:lineRule="auto"/>
        <w:rPr>
          <w:sz w:val="20"/>
          <w:szCs w:val="20"/>
          <w:color w:val="auto"/>
        </w:rPr>
      </w:pPr>
      <w:r>
        <w:rPr>
          <w:rFonts w:ascii="Courier New" w:cs="Courier New" w:eastAsia="Courier New" w:hAnsi="Courier New"/>
          <w:sz w:val="14"/>
          <w:szCs w:val="14"/>
          <w:color w:val="auto"/>
        </w:rPr>
        <w:t>Schedule 1.1 Schedule 1.2 Schedule 1.3 Schedule 3.04 Schedule 3.07(a) Schedule 3.07(c) Schedule 3.07(d) Schedule 3.09 Schedule 3.10 Schedule 3.11 Schedule 3.12 Schedule 3.12(c) Schedule 3.15(a) Schedule 3.15(b) Schedule 3.16 Schedule 3.17 Schedule 3.18 Schedule 3.21 Schedule 3.21(f) Schedule 3.22 Schedule 3.23(a) Schedule 4.03 Schedule 5.05 Schedule 5.08 Schedule 5.12 Schedule 7.04 Schedule 7.05 Schedule 8.01(a) Schedule 8.01(b) Schedule 9.04(a) Schedule 9.04(b) Schedule 10.01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Base Working Capital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Performance and Similar Bonds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Non-Contravention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Joint Ventures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Obligations to Joint Ventures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Absence of Certain Changes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Liabilities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Intercompany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Material Contracts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Subscriber Activations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Owned Real Property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Leased Real Property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Liens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Insurance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Intellectual Property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Employee Benefits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Employee Benefit Plans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Environmental Matters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Regulatory Matters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Governmental Authorization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Non-Competition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Nonsolicitation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Expenditures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Seller Trademarks and Tradenames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-- 38 GHz Authorizations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Tax Representations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Tax Filing Jurisdictions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Retention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Salary Allowance Ranges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Governmental Required Consents</w:t>
      </w:r>
    </w:p>
    <w:p>
      <w:pPr>
        <w:spacing w:after="0" w:line="200" w:lineRule="exact"/>
        <w:rPr>
          <w:sz w:val="20"/>
          <w:szCs w:val="20"/>
          <w:color w:val="auto"/>
        </w:rPr>
      </w:pPr>
    </w:p>
    <w:p>
      <w:pPr>
        <w:sectPr>
          <w:pgSz w:w="11900" w:h="16838" w:orient="portrait"/>
          <w:cols w:equalWidth="0" w:num="2">
            <w:col w:w="1580" w:space="720"/>
            <w:col w:w="7919"/>
          </w:cols>
          <w:pgMar w:left="240" w:top="972" w:right="1440" w:bottom="1440" w:gutter="0" w:footer="0" w:header="0"/>
          <w:type w:val="continuous"/>
        </w:sect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v</w:t>
      </w:r>
    </w:p>
    <w:p>
      <w:pPr>
        <w:sectPr>
          <w:pgSz w:w="11900" w:h="16838" w:orient="portrait"/>
          <w:cols w:equalWidth="0" w:num="1">
            <w:col w:w="10219"/>
          </w:cols>
          <w:pgMar w:left="240" w:top="972" w:right="1440" w:bottom="1440" w:gutter="0" w:footer="0" w:header="0"/>
          <w:type w:val="continuous"/>
        </w:sectPr>
      </w:pPr>
    </w:p>
    <w:bookmarkStart w:id="166" w:name="page167"/>
    <w:bookmarkEnd w:id="166"/>
    <w:p>
      <w:pPr>
        <w:ind w:left="2380"/>
        <w:spacing w:after="0"/>
        <w:rPr>
          <w:sz w:val="20"/>
          <w:szCs w:val="20"/>
          <w:color w:val="auto"/>
        </w:rPr>
      </w:pPr>
      <w:r>
        <w:rPr>
          <w:rFonts w:ascii="Courier New" w:cs="Courier New" w:eastAsia="Courier New" w:hAnsi="Courier New"/>
          <w:sz w:val="15"/>
          <w:szCs w:val="15"/>
          <w:color w:val="auto"/>
        </w:rPr>
        <w:t>PURCHASE AND SALE AGREEMENT</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AGREEMENT dated as of January 19, 1999 among SBC Communications Inc., a Delaware corporation ("Buyer"), Comcast Cellular Holdings Corporation, a Delaware corporation ("Holdings") and Comcast Financial Corporation, a Delaware corporation ("Comcast Financial") (collectively, "Sellers" and, each individually, a "Seller") and Comcast Corporation, a Pennsylvania corporation ("Seller Guarantor").</w:t>
      </w:r>
    </w:p>
    <w:p>
      <w:pPr>
        <w:spacing w:after="0" w:line="200" w:lineRule="exact"/>
        <w:rPr>
          <w:sz w:val="20"/>
          <w:szCs w:val="20"/>
          <w:color w:val="auto"/>
        </w:rPr>
      </w:pPr>
    </w:p>
    <w:p>
      <w:pPr>
        <w:spacing w:after="0" w:line="31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W I T N E S S E T H :</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WHEREAS, Buyer desires to purchase from Sellers, and Sellers desire to sell to Buyer, all the issued and outstanding shares of capital stock of Comcast Cellular Corporation, a Delaware corporation (the "Company"); and</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WHEREAS, Buyer desires to pay Seller Guarantor, and Seller Guarantor desires to receive payment from Buyer, for Seller Guarantor's agreement not to compete set forth in Section 5.05 hereof.</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200" w:lineRule="exact"/>
        <w:rPr>
          <w:sz w:val="20"/>
          <w:szCs w:val="20"/>
          <w:color w:val="auto"/>
        </w:rPr>
      </w:pPr>
    </w:p>
    <w:p>
      <w:pPr>
        <w:spacing w:after="0" w:line="31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1</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SECTION 1.01. Definitions. (a) The following terms, as used herein, have the following meanings:</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"Administrative Agent" means the Administrative Agent under the Credit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"Affiliate" means, with respect to any Person, any other Person directly or indirectly controlling, controlled by, or under common control with such Person; provided that neither the Company nor any Included Subsidiary shall be considered an Affiliate of either Seller or of Seller Guarantor. For purposes hereof, "control" (and the derivative terms "controlling" and "controlled") shall have the meaning assigned to such terms in Rule 405 promulgated under the Securities Act.</w:t>
      </w:r>
    </w:p>
    <w:p>
      <w:pPr>
        <w:sectPr>
          <w:pgSz w:w="11900" w:h="16838" w:orient="portrait"/>
          <w:cols w:equalWidth="0" w:num="1">
            <w:col w:w="10219"/>
          </w:cols>
          <w:pgMar w:left="240" w:top="457" w:right="1440" w:bottom="1440" w:gutter="0" w:footer="0" w:header="0"/>
        </w:sectPr>
      </w:pPr>
    </w:p>
    <w:bookmarkStart w:id="167" w:name="page168"/>
    <w:bookmarkEnd w:id="167"/>
    <w:p>
      <w:pPr>
        <w:ind w:right="3399" w:firstLine="444"/>
        <w:spacing w:after="0" w:line="271" w:lineRule="auto"/>
        <w:rPr>
          <w:sz w:val="20"/>
          <w:szCs w:val="20"/>
          <w:color w:val="auto"/>
        </w:rPr>
      </w:pPr>
      <w:r>
        <w:rPr>
          <w:rFonts w:ascii="Courier New" w:cs="Courier New" w:eastAsia="Courier New" w:hAnsi="Courier New"/>
          <w:sz w:val="14"/>
          <w:szCs w:val="14"/>
          <w:color w:val="auto"/>
        </w:rPr>
        <w:t>"Agreed Rate" means the rate of interest announced from time to time by Morgan Guaranty Trust Company of New York as its prime rate in New York City.</w:t>
      </w:r>
    </w:p>
    <w:p>
      <w:pPr>
        <w:spacing w:after="0" w:line="15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"Bank Debt Amount" means the aggregate principal amount of all loans outstanding under the Credit Agreement as of the Closing Date, together with interest thereon.</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"Base Balance Sheet" means the consolidated balance sheet of the Company and the Included Subsidiaries as of September 30, 1998, attached hereto as Schedule 1.1 hereto.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Balance Sheet Date" means September 30, 1998.</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"Base Working Capital Amount" means thirty six million one hundred eighty six thousand U.S. dollars ($36,186,000); provided that if the Illinois Properties are transferred to one or more of Sellers' Affiliates pursuant to Section 7.06 hereof, the Base Working Capital Amount shall equal thirty five million six hundred nineteen thousand seven hundred and fifty U.S. dollars ($35,619,750).</w:t>
      </w:r>
    </w:p>
    <w:p>
      <w:pPr>
        <w:spacing w:after="0" w:line="175" w:lineRule="exact"/>
        <w:rPr>
          <w:sz w:val="20"/>
          <w:szCs w:val="20"/>
          <w:color w:val="auto"/>
        </w:rPr>
      </w:pPr>
    </w:p>
    <w:p>
      <w:pPr>
        <w:jc w:val="both"/>
        <w:ind w:right="3659" w:firstLine="444"/>
        <w:spacing w:after="0" w:line="239" w:lineRule="auto"/>
        <w:rPr>
          <w:sz w:val="20"/>
          <w:szCs w:val="20"/>
          <w:color w:val="auto"/>
        </w:rPr>
      </w:pPr>
      <w:r>
        <w:rPr>
          <w:rFonts w:ascii="Courier New" w:cs="Courier New" w:eastAsia="Courier New" w:hAnsi="Courier New"/>
          <w:sz w:val="15"/>
          <w:szCs w:val="15"/>
          <w:color w:val="auto"/>
        </w:rPr>
        <w:t>"Base Working Capital Report" means the report of the Company Working Capital Amount as of the Base Balance Sheet Date set forth on Schedule 1.2 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"Benefit Arrangement" means any employment, severance or similar contract or arrangement or any plan, policy, fund, program or contract or arrangement providing for compensation, bonus,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as the case may be, by Sellers, any of their Affiliates or the Company or any of the Included Subsidiaries and (iii) covers any employee or former employee of the Company or any Included Subsidiary.</w:t>
      </w:r>
    </w:p>
    <w:p>
      <w:pPr>
        <w:spacing w:after="0" w:line="180"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"Buyer Group" means, with respect to Federal Taxes, the affiliated group of corporations (as defined in Section 1504(a) of the Code) of which the Buyer is a member, and with respect to Combined State Taxes, the consolidated, combined or unitary group of which Buyer or any of its Affiliates is a member.</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68" w:name="page169"/>
    <w:bookmarkEnd w:id="168"/>
    <w:p>
      <w:pPr>
        <w:ind w:right="3119" w:firstLine="444"/>
        <w:spacing w:after="0"/>
        <w:rPr>
          <w:sz w:val="20"/>
          <w:szCs w:val="20"/>
          <w:color w:val="auto"/>
        </w:rPr>
      </w:pPr>
      <w:r>
        <w:rPr>
          <w:rFonts w:ascii="Courier New" w:cs="Courier New" w:eastAsia="Courier New" w:hAnsi="Courier New"/>
          <w:sz w:val="15"/>
          <w:szCs w:val="15"/>
          <w:color w:val="auto"/>
        </w:rPr>
        <w:t>"Cellular Telephone System" means any business that provides, operates or manages commercial mobile radio service systems, as defined in 47 C.F.R. ss.20.3 and ss.20.9 as in effect on the date hereof ("CMRS"), consisting of cellular radiotelephone service or broadband Personal Communications Services (each as defined in 47 C.F.R. ss.22.99 and ss.24.5 as in effect on the date hereof), but shall exclude any business that provides, resells, operates or manages paging, long distance, wireline telephony or transport services, any fixed wireless services used for purposes other than the provision of CMRS or any non-CMRS services in the Wireless Communications Services (as defined in 47 C.F.R. ss.27.4 as in effect on the date hereof).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Date" means the date of the Closing.</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"Closing Date Balance Sheet" means the consolidated balance sheet of the Company and the Included Subsidiaries as of the Closing Date.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Long Term Debt" means the Company Long Term Debt as of the Closing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"Closing Working Capital Amount" means the Company Working Capital Amount as of the Closing Date.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means the United States Internal Revenue Code of 1986, as amended.</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"Combined State Tax" means, with respect to each such state or any local taxing jurisdiction and with respect to any Person, any income or franchise Tax payable to any state or local taxing jurisdiction in which such Person or its Subsidiaries file Returns with (i) a member of the Seller Group, if such Person is the Company, and (ii) a member of the Buyer Group, if such Person is Buyer, on a consolidated, combined or unitary basis for purposes of such income or franchise Tax.</w:t>
      </w:r>
    </w:p>
    <w:p>
      <w:pPr>
        <w:spacing w:after="0" w:line="176"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"Common Stock" means the common stock, par value $0.01 share, of the Company.</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"Communications Act" means the Communications Act of 1934, as amended, and any rules and regulations promulgated thereunder.</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"Company Group" means the Company and the Included Subsidiaries, taken as a whole.</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69" w:name="page170"/>
    <w:bookmarkEnd w:id="169"/>
    <w:p>
      <w:pPr>
        <w:ind w:left="9" w:right="3119" w:firstLine="444"/>
        <w:spacing w:after="0"/>
        <w:rPr>
          <w:sz w:val="20"/>
          <w:szCs w:val="20"/>
          <w:color w:val="auto"/>
        </w:rPr>
      </w:pPr>
      <w:r>
        <w:rPr>
          <w:rFonts w:ascii="Courier New" w:cs="Courier New" w:eastAsia="Courier New" w:hAnsi="Courier New"/>
          <w:sz w:val="15"/>
          <w:szCs w:val="15"/>
          <w:color w:val="auto"/>
        </w:rPr>
        <w:t>"Company Long Term Debt" means, as of the date in question, without duplication and disregarding any obligations of the Company or any of the Included Companies, on the one hand, to the Company or any other Included Subsidiary, on the other hand, (i) all obligations of the Company and the Included Subsidiaries for borrowed money, including any accrued interest thereon and the current portion thereof (for the avoidance of doubt, the 9 1/2% Senior Notes due 2007 issued pursuant to the Indenture and the Bank Debt Amount and the current portions thereof and any accrued interest thereon are included in the Company Long Term Debt), (ii) all obligations of the Company and the Included Subsidiaries in respect of letters of credit, bankers' acceptances or other similar instruments or reimbursement obligations with respect thereto, (iii) all obligations of the Company and the Included Subsidiaries to pay the deferred purchase price of property (excluding any trade payables in the ordinary course of business), (iv) all obligations of the Company and the Included Subsidiaries under capitalized leases and (v) all obligations of other Persons of the types described in clauses (i) through (iv) above guaranteed by the Company or any Included Subsidiary, except, in each case, any obligations under performance bonds or similar bonds for the benefit of municipalities arising in the ordinary course of business and listed on Schedule 1.3 hereto or any such obligation arising on or after the date hereof in the ordinary course of business consistent with past practices.</w:t>
      </w:r>
    </w:p>
    <w:p>
      <w:pPr>
        <w:spacing w:after="0" w:line="18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"Company Tax Indemnification Period" means (a) with respect to any Tax described in clause (i) of the definition of "Tax," any Pre-Closing Tax Period of the Company or any Included Subsidiary, (b) with respect to any Tax described in clause (ii) of the definition of "Tax," any Pre-Closing Tax Period and the Tax year of any member of a group described in such clause (ii) that includes (but does not end on) the Closing Date, and (c) with respect to any Tax described in clause (iii) of the definition of "Tax," the survival period of the obligation under the applicable contract or arrangement.</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"Company Tax Sharing Agreements" means all existing Tax sharing agreements or arrangements (whether or not written) binding the Company or its Subsidiaries including the Tax Sharing Agreement among Seller Guarantor and the Company dated as of October 14, 1997 (the "Tax Sharing Agreement") and any agreements or arrangements which afford any other person the benefit of any Tax Asset of the Company or its Subsidiaries, afford the Company or its Subsidiaries the benefit of any Tax Asset of any other person or require or permit the transfer or assignment of income, revenues, receipts, or gains.</w:t>
      </w:r>
    </w:p>
    <w:p>
      <w:pPr>
        <w:spacing w:after="0" w:line="177"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"Company Working Capital Amount" means, as of the date in question, (i) the consolidated current assets (other than deferred taxes (as defined under SFAS</w:t>
      </w:r>
    </w:p>
    <w:p>
      <w:pPr>
        <w:ind w:left="449" w:hanging="449"/>
        <w:spacing w:after="0" w:line="236" w:lineRule="auto"/>
        <w:tabs>
          <w:tab w:leader="none" w:pos="449"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any intercompany balances) of the Company and the Included</w:t>
      </w:r>
    </w:p>
    <w:p>
      <w:pPr>
        <w:spacing w:after="0" w:line="3" w:lineRule="exact"/>
        <w:rPr>
          <w:rFonts w:ascii="Courier New" w:cs="Courier New" w:eastAsia="Courier New" w:hAnsi="Courier New"/>
          <w:sz w:val="15"/>
          <w:szCs w:val="15"/>
          <w:color w:val="auto"/>
        </w:rPr>
      </w:pPr>
    </w:p>
    <w:p>
      <w:pPr>
        <w:ind w:left="9" w:right="38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minus (ii) without duplication, all debts, liabilities and obligations of</w:t>
      </w:r>
    </w:p>
    <w:p>
      <w:pPr>
        <w:spacing w:after="0" w:line="34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170" w:name="page171"/>
    <w:bookmarkEnd w:id="170"/>
    <w:p>
      <w:pPr>
        <w:jc w:val="both"/>
        <w:ind w:left="9" w:right="3119"/>
        <w:spacing w:after="0" w:line="258" w:lineRule="auto"/>
        <w:rPr>
          <w:sz w:val="20"/>
          <w:szCs w:val="20"/>
          <w:color w:val="auto"/>
        </w:rPr>
      </w:pPr>
      <w:r>
        <w:rPr>
          <w:rFonts w:ascii="Courier New" w:cs="Courier New" w:eastAsia="Courier New" w:hAnsi="Courier New"/>
          <w:sz w:val="14"/>
          <w:szCs w:val="14"/>
          <w:color w:val="auto"/>
        </w:rPr>
        <w:t>the Company and the Included Subsidiaries (other than (v) all liabilities and obligations arising under Article 9 hereof, (w) all liabilities and obligations related to taxes, (x) all intercompany balances, (y) all minority interests and</w:t>
      </w:r>
    </w:p>
    <w:p>
      <w:pPr>
        <w:spacing w:after="0" w:line="1" w:lineRule="exact"/>
        <w:rPr>
          <w:sz w:val="20"/>
          <w:szCs w:val="20"/>
          <w:color w:val="auto"/>
        </w:rPr>
      </w:pPr>
    </w:p>
    <w:p>
      <w:pPr>
        <w:jc w:val="both"/>
        <w:ind w:left="9" w:right="3119" w:hanging="9"/>
        <w:spacing w:after="0"/>
        <w:tabs>
          <w:tab w:leader="none" w:pos="36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Long Term Debt), determined in each case (other than in case of clauses (v) and (z)) in accordance with generally accepted accounting principles consistent with past practice and the principles applied in preparation of the Base Balance Sheet, plus (iii) each Excess Investment Amount, if any, minus (iv) each Shortfall Investment Amount, if any.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"Credit Agreement" means the Credit Agreement dated as of October 14, 1997 among Comcast Cellular Communications, Inc., a wholly-owned Subsidiary of the Company, the banks listed therein, The Bank of New York, Barclays Bank PLC, The Chase Manhattan Bank, PNC Bank National Association, and The Toronto-Dominion Bank, as Arranging Agents, and Toronto Dominion (Texas), Inc., as Administrative Agent.</w:t>
      </w:r>
    </w:p>
    <w:p>
      <w:pPr>
        <w:spacing w:after="0" w:line="175"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"Employee" means any individual employed by the Company or any Included Subsidiary as of the Closing Date, excluding any Inactive Employees.</w:t>
      </w:r>
    </w:p>
    <w:p>
      <w:pPr>
        <w:spacing w:after="0" w:line="1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"Employee Plan" means any "employee benefit plan", as defined in Section 3(3) of ERISA, that (i) is subject to any provision of ERISA, (ii) is maintained, administered or contributed to by Seller Guarantor, any of its Affiliates, the Company or any Included Subsidiary and (iii) covers any employee or former employee of the Company or any Included Subsidiary.</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"Environmental Laws" means any federal, state or local law (including, without limitation, common law), treaty, judicial decision, regulation, rule, judgment, order, decree, injunction, permit or governmental restriction or requirement or any agreement with any governmental authority, in each case as now in effect, relating to the protection of the environment or the effect of Hazardous Substances on human health.</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"Environmental Permits" means all permits, licenses, franchises, certificates, approvals and other similar authorizations of governmental authorities relating to or required by Environmental Laws and affecting, or relating in any way to, the business of the Company or any Included Subsidiary.</w:t>
      </w:r>
    </w:p>
    <w:p>
      <w:pPr>
        <w:spacing w:after="0" w:line="161" w:lineRule="exact"/>
        <w:rPr>
          <w:sz w:val="20"/>
          <w:szCs w:val="20"/>
          <w:color w:val="auto"/>
        </w:rPr>
      </w:pPr>
    </w:p>
    <w:p>
      <w:pPr>
        <w:ind w:left="9" w:right="3659" w:firstLine="444"/>
        <w:spacing w:after="0" w:line="238"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and the rules and regulations promulgated thereunder.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"ERISA Affiliate" of any entity means any other entity which, together with such entity, would be treated as a single employer under Section 414 of the Code.</w:t>
      </w:r>
    </w:p>
    <w:p>
      <w:pPr>
        <w:spacing w:after="0" w:line="34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31" w:right="1440" w:bottom="1440" w:gutter="0" w:footer="0" w:header="0"/>
        </w:sectPr>
      </w:pPr>
    </w:p>
    <w:bookmarkStart w:id="171" w:name="page172"/>
    <w:bookmarkEnd w:id="171"/>
    <w:p>
      <w:pPr>
        <w:ind w:left="449"/>
        <w:spacing w:after="0"/>
        <w:rPr>
          <w:sz w:val="20"/>
          <w:szCs w:val="20"/>
          <w:color w:val="auto"/>
        </w:rPr>
      </w:pPr>
      <w:r>
        <w:rPr>
          <w:rFonts w:ascii="Courier New" w:cs="Courier New" w:eastAsia="Courier New" w:hAnsi="Courier New"/>
          <w:sz w:val="15"/>
          <w:szCs w:val="15"/>
          <w:color w:val="auto"/>
        </w:rPr>
        <w:t>"Excess Investment Amount" for each Category means the excess, if any, of</w:t>
      </w:r>
    </w:p>
    <w:p>
      <w:pPr>
        <w:spacing w:after="0" w:line="3" w:lineRule="exact"/>
        <w:rPr>
          <w:sz w:val="20"/>
          <w:szCs w:val="20"/>
          <w:color w:val="auto"/>
        </w:rPr>
      </w:pPr>
    </w:p>
    <w:p>
      <w:pPr>
        <w:jc w:val="both"/>
        <w:ind w:left="9" w:right="3299" w:hanging="9"/>
        <w:spacing w:after="0" w:line="258" w:lineRule="auto"/>
        <w:tabs>
          <w:tab w:leader="none" w:pos="36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actually expended by the Company and the Included Subsidiaries from the date hereof through the Closing Date in respect of such Category over</w:t>
      </w:r>
    </w:p>
    <w:p>
      <w:pPr>
        <w:ind w:left="349" w:hanging="349"/>
        <w:spacing w:after="0"/>
        <w:tabs>
          <w:tab w:leader="none" w:pos="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 of the Required Expenditure Amount for such Category, calculated in</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case in accordance with generally accepted accounting principles applied on a basis consistent with those used in the 1999 Expenditures Plan and in accordance with the accounting policies and practices used in the preparation of the 1999 Expenditures Plan. The expenditure of any such excess amount shall have been approved by Buyer in accordance with Section 5.12 hereof.</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rules and regulations promulgated thereunder.</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"Excluded Subsidiaries" means (i) Comcast Publishing Holdings Corporation, a Pennsylvania corporation, (ii) Comcast Directory Services, Inc., a Delaware corporation, (iii) Comcast Publishing Holdings Financial Corporation, a Delaware corporation, and (iv) the Illinois Properties, but only if the Illinois Properties are transferred to one or more of Sellers' Affiliates pursuant to Section 7.06 hereof.</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"FAA" means the Federal Aviation Administration or its successor agency.</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"FCC" means the Federal Communications Commission or its successor agency.</w:t>
      </w:r>
    </w:p>
    <w:p>
      <w:pPr>
        <w:spacing w:after="0" w:line="183"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"FCC License" means any license, authorization, certification or permit issued by the FCC.</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"Federal Tax" means any Tax imposed under Subtitle A of the Code.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"Final Determination" means (i) with respect to Federal Taxes, a "determination" as defined in Section 1313(a) of the Code or execution of an Internal Revenue Service Form 870AD and, with respect to Taxes other than Federal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or (ii) the payment of Tax by Buyer, Sellers or any of their Affiliates, whichever is responsible for payment of such Tax under applicable law, with respect to any item disallowed or adjusted by a Taxing</w:t>
      </w:r>
    </w:p>
    <w:p>
      <w:pPr>
        <w:spacing w:after="0" w:line="347"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28" w:right="1440" w:bottom="1440" w:gutter="0" w:footer="0" w:header="0"/>
        </w:sectPr>
      </w:pPr>
    </w:p>
    <w:bookmarkStart w:id="172" w:name="page173"/>
    <w:bookmarkEnd w:id="172"/>
    <w:p>
      <w:pPr>
        <w:jc w:val="both"/>
        <w:ind w:right="3119"/>
        <w:spacing w:after="0" w:line="238" w:lineRule="auto"/>
        <w:rPr>
          <w:sz w:val="20"/>
          <w:szCs w:val="20"/>
          <w:color w:val="auto"/>
        </w:rPr>
      </w:pPr>
      <w:r>
        <w:rPr>
          <w:rFonts w:ascii="Courier New" w:cs="Courier New" w:eastAsia="Courier New" w:hAnsi="Courier New"/>
          <w:sz w:val="15"/>
          <w:szCs w:val="15"/>
          <w:color w:val="auto"/>
        </w:rPr>
        <w:t>Authority, provided that such responsible party determines that no action should be taken to recoup such payment and the other party agrees.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"Former Employee" means any former employee of the Company or any Included Subsidiary (i) who is not, as of the Closing Date, employed by Sellers or any of their Affiliates, and (ii) whose last employer, among Affiliates of Sellers, was the Company or an Included Subsidiary.</w:t>
      </w:r>
    </w:p>
    <w:p>
      <w:pPr>
        <w:spacing w:after="0" w:line="17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"Governmental Entity" means any governmental or regulatory authority, court, agency, commission, body or other governmental entity.</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"Hazardous Substances" means any substance, waste, pollutant, contaminant or any toxic, radioactive or hazardous substance, in each case in any concentrations regulated under, defined in, or identified pursuant to, any Environmental Laws.</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"HSR Act" means the Hart-Scott-Rodino Antitrust Improvements Act of 1976, as amended.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"Illinois Management Contract" means the Agreement dated January 1, 1989, as amended, by and between Aurora/Elgin Cellular Telephone Company, Inc. and Joliet Cellular Telephone Company, Inc. and Cellular One--Chicago, a division of Southwestern Bell Mobile Systems, Inc.</w:t>
      </w:r>
    </w:p>
    <w:p>
      <w:pPr>
        <w:spacing w:after="0" w:line="176"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"Illinois Properties" means (i) all of the capital stock of Aurora/Elgin Cellular Telephone Company, Inc. owned by the Company and the Included Subsidiaries, (ii) all of the capital stock of Joliet Cellular Telephone Company, Inc. owned by the Company and the Included Subsidiaries and (iii) American Cellular Network Corp.'s interest in Kankakee Cellular L.L.C.</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"Inactive Employee" means any individual included on the payroll records of the Company or any Included Subsidiary as an employee of such entity as of the Closing Date, but who is absent from active employment on that date by reason of long- or short-term disability, military service or other approved leave of absence.</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"Included Subsidiary" means any Subsidiary of the Company other than an Excluded Subsidiary.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"Indenture" means the Indenture dated as of May 8, 1997 by and between the Company and The Bank of New York, as Trustee, respect of the 9 1/2% Senior Notes due 2007.</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73" w:name="page174"/>
    <w:bookmarkEnd w:id="173"/>
    <w:p>
      <w:pPr>
        <w:ind w:right="3219" w:firstLine="444"/>
        <w:spacing w:after="0"/>
        <w:rPr>
          <w:sz w:val="20"/>
          <w:szCs w:val="20"/>
          <w:color w:val="auto"/>
        </w:rPr>
      </w:pPr>
      <w:r>
        <w:rPr>
          <w:rFonts w:ascii="Courier New" w:cs="Courier New" w:eastAsia="Courier New" w:hAnsi="Courier New"/>
          <w:sz w:val="15"/>
          <w:szCs w:val="15"/>
          <w:color w:val="auto"/>
        </w:rPr>
        <w:t>"Intellectual Property Right" means any trademark, service mark, trade name, mask work, invention, patent, trade secret, copyright, computer software program and applications, know-how (including any registrations or applications for registration of any of the foregoing) or any other similar type of proprietary intellectual property right.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"Knowledge of Sellers," "Sellers' Knowledge" or any other similar knowledge qualification in this Agreement means to the actual knowledge, after due inquiry into the subject matter of the representations and warranties set forth in Article 3, of (i) the senior officers of Holdings and the Company (including, in any event, David Watson, Anna Hillman, David Juliano, Jeffrey Smith, Karen Heisler and Raymond Dombroski); and (ii) any other senior officers of Seller Guarantor or its Subsidiaries that have managerial authority with respect to the subject matter of the representations and warranties set forth in Article 3.</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"Lien" means, with respect to any property or asset, any mortgage, lien, pledge, charge, security interest or encumbrance in respect of such property or asset. For the purposes 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"Material Adverse Effect" means, with respect to any Person, a material adverse effect on the business, properties, assets or results of operations of such Person and its Subsidiaries, taken as whole, except any such effect resulting from or arising in connection with (i) this Agreement or the transactions contemplated hereby, (ii) changes or conditions affecting the commercial mobile radio services industry generally, including without limitation changes in the regulation thereof, or (iii) changes in economic or political conditions generally.</w:t>
      </w:r>
    </w:p>
    <w:p>
      <w:pPr>
        <w:spacing w:after="0" w:line="177"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"Multiemployer Plan" means each Employee Plan that is a multiemployer plan, as defined in Section 3(37) of ERISA.</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"Organizational Documents" means, with respect to an entity, the certificate of incorporation, articles of incorporation, charter, by-laws, certificate of limited partnership, partnership agreement, certificate of formation, limited liability company agreement, operating agreement or other similar organizational instrument or document governing such entity.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"PBGC" means the Pension Benefit Guaranty Corporation.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74" w:name="page175"/>
    <w:bookmarkEnd w:id="174"/>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"Person" means an individual, corporation, partnership, association, trust or other entity or organization, including a government or political subdivision or an agency or instrumentality thereof.</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"Post-Closing Tax Period" means any Tax period (or portion thereof)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beginning after the close of business on the Closing Date.</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"Pre-Closing Tax Period" means any Tax period (or portion thereof) ending on or before the close of business on the Closing Date.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"Preferred Stock" means Series A Preferred Stock of the Company.</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"Required Expenditure Amount" in respect of any Category means (A) the amount set forth in Schedule 5.12 in the column "Monthly Requirement" in respect of such Category multiplied by (B) the number of days elapsed from the date hereof through the Closing Date divided by 30.</w:t>
      </w:r>
    </w:p>
    <w:p>
      <w:pPr>
        <w:spacing w:after="0" w:line="176" w:lineRule="exact"/>
        <w:rPr>
          <w:sz w:val="20"/>
          <w:szCs w:val="20"/>
          <w:color w:val="auto"/>
        </w:rPr>
      </w:pPr>
    </w:p>
    <w:p>
      <w:pPr>
        <w:ind w:left="9" w:right="3579" w:firstLine="444"/>
        <w:spacing w:after="0" w:line="238" w:lineRule="auto"/>
        <w:rPr>
          <w:sz w:val="20"/>
          <w:szCs w:val="20"/>
          <w:color w:val="auto"/>
        </w:rPr>
      </w:pPr>
      <w:r>
        <w:rPr>
          <w:rFonts w:ascii="Courier New" w:cs="Courier New" w:eastAsia="Courier New" w:hAnsi="Courier New"/>
          <w:sz w:val="15"/>
          <w:szCs w:val="15"/>
          <w:color w:val="auto"/>
        </w:rPr>
        <w:t>"Securities Act" means the Securities Act of 1933, as amended, and the rules and regulations promulgated thereunder.</w:t>
      </w:r>
    </w:p>
    <w:p>
      <w:pPr>
        <w:spacing w:after="0" w:line="175"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"Seller Group" means, with respect to Federal Taxes, the affiliated group of corporations (as defined in Section 1504(a) of the Code) of which Sellers are members, and with respect to Combined State Taxes, the consolidated, combined or unitary group of which Sellers or any of their Affiliates is a member.</w:t>
      </w:r>
    </w:p>
    <w:p>
      <w:pPr>
        <w:spacing w:after="0" w:line="15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"Shares" means all outstanding shares of Common Stock.</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"Shortfall Investment Amount" for each Category means the excess if any, of</w:t>
      </w:r>
    </w:p>
    <w:p>
      <w:pPr>
        <w:spacing w:after="0" w:line="12" w:lineRule="exact"/>
        <w:rPr>
          <w:sz w:val="20"/>
          <w:szCs w:val="20"/>
          <w:color w:val="auto"/>
        </w:rPr>
      </w:pPr>
    </w:p>
    <w:p>
      <w:pPr>
        <w:ind w:left="9" w:right="3119" w:hanging="9"/>
        <w:spacing w:after="0"/>
        <w:tabs>
          <w:tab w:leader="none" w:pos="36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 of the Required Expenditure Amount for such Category over (y) the amount actually expended by the Company and the Included Subsidiaries from the date hereof through the Closing Date in respect of such Category, calculated in each case in accordance with generally accepted accounting principles applied on a basis consistent with those used in the 1999 Expenditures Plan and in accordance with the accounting policies and practices used in the preparation of the 1999 Expenditures Plan.</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"Subsidiary" means, with respect to any Person, any entity of which securities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"Tax" means, with respect to any Person, (i) any net income, alternative or add-on minimum tax, gross income, gross receipts, sales, use, ad valorem, value</w:t>
      </w:r>
    </w:p>
    <w:p>
      <w:pPr>
        <w:spacing w:after="0" w:line="32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75" w:name="page176"/>
    <w:bookmarkEnd w:id="175"/>
    <w:p>
      <w:pPr>
        <w:ind w:right="3119"/>
        <w:spacing w:after="0" w:line="259" w:lineRule="auto"/>
        <w:rPr>
          <w:sz w:val="20"/>
          <w:szCs w:val="20"/>
          <w:color w:val="auto"/>
        </w:rPr>
      </w:pPr>
      <w:r>
        <w:rPr>
          <w:rFonts w:ascii="Courier New" w:cs="Courier New" w:eastAsia="Courier New" w:hAnsi="Courier New"/>
          <w:sz w:val="14"/>
          <w:szCs w:val="14"/>
          <w:color w:val="auto"/>
        </w:rPr>
        <w:t>added, transfer, franchise, profits, license, withholding on amounts paid to or by such Person or its Subsidiaries, payroll, employment, excise, severance, stamp, occupation, premium, property, environmental or windfall profit tax, custom, duty or other tax, governmental fee or other like assessment or charge of any kind whatsoever, together with any interest, penalty, addition to tax or additional amount imposed by any governmental authority (domestic or foreign) responsible for the imposition of any such tax (a "Taxing Authority"), (ii) any liability of such Person or its Subsidiaries for the payment of any amounts of the type described in (i) as a result of being a member of an affiliated, consolidated, combined or unitary group with any other corporation at any time on or prior to the Closing Date, if such Person is the Company, and (iii) liability of such Person or its Subsidiaries for the payment of any amounts as a result of being party to any Tax Sharing Agreement or with respect to the payment of any amounts of the type described in (i) or (ii) as a result of any express or implied obligation to indemnify any other Person.</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"Tax Asset" means, with respect to any Person, any net operating loss, net capital loss, excess credit, or any other similar tax attribute of such Person or its Subsidiaries which could reduce Taxes.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"Title IV Plan" means an Employee Plan subject to Title IV of ERISA other than any Multiemployer Plan.</w:t>
      </w:r>
    </w:p>
    <w:p>
      <w:pPr>
        <w:spacing w:after="0" w:line="175" w:lineRule="exact"/>
        <w:rPr>
          <w:sz w:val="20"/>
          <w:szCs w:val="20"/>
          <w:color w:val="auto"/>
        </w:rPr>
      </w:pPr>
    </w:p>
    <w:p>
      <w:pPr>
        <w:ind w:right="3839" w:firstLine="435"/>
        <w:spacing w:after="0" w:line="238" w:lineRule="auto"/>
        <w:tabs>
          <w:tab w:leader="none" w:pos="7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terms is defined in the Section set forth opposite such term:</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9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Applicable Tax Rate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8.08(c)</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Claim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11.03(a)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Buyer Post-Retirement Medical Plan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9.01(a)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Buyer Thrift Plan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9.03(a)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Category ...............................</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Closing ................................</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Closing Date Balance Sheet .............</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Company Intellectual Property Rights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3.18(a)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Company Plans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9.02(a)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Company Securities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3.05(b)(iii)</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Company Subsidiary Securities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3.07(b)</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Damages ................................</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11.02</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Estimated Closing Long Term Debt .......</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2.03(a)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Estimated Closing Working Capital Amount</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2.03(a)</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FAA Rules ..............................</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5.11</w:t>
            </w:r>
          </w:p>
        </w:tc>
      </w:tr>
      <w:tr>
        <w:trPr>
          <w:trHeight w:val="512"/>
        </w:trPr>
        <w:tc>
          <w:tcPr>
            <w:tcW w:w="4380" w:type="dxa"/>
            <w:vAlign w:val="bottom"/>
          </w:tcPr>
          <w:p>
            <w:pPr>
              <w:ind w:left="3460"/>
              <w:spacing w:after="0"/>
              <w:rPr>
                <w:sz w:val="20"/>
                <w:szCs w:val="20"/>
                <w:color w:val="auto"/>
              </w:rPr>
            </w:pPr>
            <w:r>
              <w:rPr>
                <w:rFonts w:ascii="Courier New" w:cs="Courier New" w:eastAsia="Courier New" w:hAnsi="Courier New"/>
                <w:sz w:val="15"/>
                <w:szCs w:val="15"/>
                <w:color w:val="auto"/>
              </w:rPr>
              <w:t>10</w:t>
            </w:r>
          </w:p>
        </w:tc>
        <w:tc>
          <w:tcPr>
            <w:tcW w:w="192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FCC Consents .....................</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10.02(g)(i)</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FCC Opinion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10.02(g)</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FCC Rules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5.11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Final Purchase Price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2.04(e)</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Indemnified Party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Indemnifying Party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Independent Accountants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2.04(d)</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Initial Purchase Price Adjustment</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2.03(b)</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Joint Venture Affiliate ..........</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3.07(c)(i)</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Licenses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3.23(a)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Loss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1999 Expenditures Plan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1999 Seller Group Return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8.02(d)</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Permitted Liens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Potential Contributor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11.05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Purchase Price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Regulatory Material Adverse Effect</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7.01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Restricted Activities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5.05(a)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Retention Date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9.04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Retention Payment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9.04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Returns ..........................</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8.01(a)(i)</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SEC Reports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Sections 271 and 272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5.11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Securities Sale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8.08(f)</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Seller Guarantor Plan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9.02(a)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Seller Guarantor Thrift Plan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Seller Guarantor Welfare Plans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9.01(c)</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Seller Obligations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12.01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Seller Trademarks and Tradenames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7.04(a)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Senior Notes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6.04(a)</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Tax Attributes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8.02(d)</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Tax Attribute Shortfall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8.08(f)</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Tax Benefit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8.08(c)</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38 GHz Licenses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7.05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38 GHz Facilities ................</w:t>
            </w:r>
          </w:p>
        </w:tc>
        <w:tc>
          <w:tcPr>
            <w:tcW w:w="2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7.05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Third Party Claim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11.03(b)</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Transition Period ................</w:t>
            </w:r>
          </w:p>
        </w:tc>
        <w:tc>
          <w:tcPr>
            <w:tcW w:w="2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9.01(c)</w:t>
            </w:r>
          </w:p>
        </w:tc>
      </w:tr>
      <w:tr>
        <w:trPr>
          <w:trHeight w:val="683"/>
        </w:trPr>
        <w:tc>
          <w:tcPr>
            <w:tcW w:w="3240" w:type="dxa"/>
            <w:vAlign w:val="bottom"/>
          </w:tcPr>
          <w:p>
            <w:pPr>
              <w:spacing w:after="0"/>
              <w:rPr>
                <w:sz w:val="24"/>
                <w:szCs w:val="24"/>
                <w:color w:val="auto"/>
              </w:rPr>
            </w:pPr>
          </w:p>
        </w:tc>
        <w:tc>
          <w:tcPr>
            <w:tcW w:w="234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628" w:right="1440" w:bottom="1440" w:gutter="0" w:footer="0" w:header="0"/>
        </w:sectPr>
      </w:pPr>
    </w:p>
    <w:bookmarkStart w:id="177" w:name="page178"/>
    <w:bookmarkEnd w:id="177"/>
    <w:p>
      <w:pPr>
        <w:jc w:val="center"/>
        <w:ind w:right="3039"/>
        <w:spacing w:after="0"/>
        <w:rPr>
          <w:sz w:val="20"/>
          <w:szCs w:val="20"/>
          <w:color w:val="auto"/>
        </w:rPr>
      </w:pPr>
      <w:r>
        <w:rPr>
          <w:rFonts w:ascii="Courier New" w:cs="Courier New" w:eastAsia="Courier New" w:hAnsi="Courier New"/>
          <w:sz w:val="15"/>
          <w:szCs w:val="15"/>
          <w:color w:val="auto"/>
        </w:rPr>
        <w:t>ARTICLE 2</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PURCHASE AND SALE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2.01. Purchase and Sale. Upon the terms and subject to the conditions of this Agreement, each of the Sellers agree to sell to Buyer and Buyer agrees to purchase from Sellers, the Shares at the Closing. The purchase price for the Shares (the "Purchase Price") is one billion five hundred seventy three million seven hundred thousand United States dollars ($1,573,700,000) in cash. The Purchase Price shall be paid as provided in Section 2.02 and shall be subject to adjustment as provided in (i) Sections 2.03 and 2.04, and (ii) Section 7.06 if Sellers transfer the Illinois Properties to one or more of their Affiliates pursuant to Section 7.06.</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2.02. Closing. The closing (the "Closing") of the purchase and sale of the Shares hereunder shall take place at the offices of Davis Polk &amp; Wardwell, 450 Lexington Avenue, New York, New York, as soon as possible, but in no event later than five business days after satisfaction (or waiver) of the conditions set forth in Article 10 (except for the conditions which by their terms are to be satisfied at or immediately prior to the Closing, but subject to satisfaction of such conditions), or at such other time or place as Buyer and Holdings may agree. At the Closing:</w:t>
      </w:r>
    </w:p>
    <w:p>
      <w:pPr>
        <w:spacing w:after="0" w:line="177" w:lineRule="exact"/>
        <w:rPr>
          <w:sz w:val="20"/>
          <w:szCs w:val="20"/>
          <w:color w:val="auto"/>
        </w:rPr>
      </w:pPr>
    </w:p>
    <w:p>
      <w:pPr>
        <w:jc w:val="both"/>
        <w:ind w:right="3219" w:firstLine="435"/>
        <w:spacing w:after="0" w:line="239" w:lineRule="auto"/>
        <w:tabs>
          <w:tab w:leader="none" w:pos="79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deliver to the Administrative Agent an amount equal to the Bank Debt Amount in immediately available funds by wire transfer to the account of the Administrative Agent designated by Seller by notice to Buyer not later than two business days prior to the Closing Date.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deliver to Holdings an amount equal to the Purchase Price, as adjusted pursuant to Section 2.03, in immediately available funds by wire transfer to an account of Holdings designated by Holdings by notice to Buyer, not later than two business days prior to the Closing Date (or if not so designated, then by certified or official bank check payable in immediately available funds to the order of Holdings in such amount).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Seller Guarantor's agreement set forth in Section 5.05, Buyer shall deliver to Seller Guarantor an amount equal to one hundred million United States dollars ($100,000,000) in immediately available funds by wire transfer to an account of Seller Guarantor designated by Seller Guarantor by notice to Buyer, not later than two business days prior to the Closing Date (or if not so designated, then by certified or official bank check payable in immediately available funds to the order of Seller Guarantor in such amount).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78" w:name="page179"/>
    <w:bookmarkEnd w:id="178"/>
    <w:p>
      <w:pPr>
        <w:ind w:right="3299" w:firstLine="435"/>
        <w:spacing w:after="0" w:line="239" w:lineRule="auto"/>
        <w:tabs>
          <w:tab w:leader="none" w:pos="79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shall deliver to Buyer certificates for the Shares duly endorsed in blank for transfer or accompanied by stock powers duly endorsed in blank, with any required transfer stamps affixed thereto.</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shall deliver to Buyer a certificate of a senior officer of Holdings to the effect that the payment by Buyer pursuant to Section 2.02(a) constitutes payment in full of all amounts outstanding at such time under the Credit Agreement.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2.03. Initial Purchase Price Adjustment. (a) No later than two days prior to the Closing Date, Holdings shall in good faith prepare, based on the books and records of the Company and the Included Subsidiaries and other information then available, (i) Holdings' best estimate of (A) the Closing Working Capital Amount (the "Estimated Closing Working Capital Amount") and (B) the Closing Long Term Debt (the "Estimated Closing Long Term Debt") and (ii) Holdings' basis for such estimate.</w:t>
      </w:r>
    </w:p>
    <w:p>
      <w:pPr>
        <w:spacing w:after="0" w:line="176" w:lineRule="exact"/>
        <w:rPr>
          <w:sz w:val="20"/>
          <w:szCs w:val="20"/>
          <w:color w:val="auto"/>
        </w:rPr>
      </w:pPr>
    </w:p>
    <w:p>
      <w:pPr>
        <w:ind w:right="3399" w:firstLine="435"/>
        <w:spacing w:after="0"/>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payable pursuant to Section 2.01 shall be (A) decreased by the amount equal to the Estimated Closing Long Term Debt and (B) increased by the amount by which the Estimated Working Capital Amount exceeds the Base Working Capital Amount or decreased by the amount by which the Base Working Capital Amount exceeds the Estimated Working Capital Amount (such adjustment, the "Initial Purchase Price Adjustment").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2.04. Final Purchase Price Adjustment. (a) As promptly as practicable, but no later than 60 days, after the Closing Date, Buyer will cause to be prepared and delivered to Holdings the Closing Date Balance Sheet, and a report of (x) the Closing Working Capital Amount and (y) the Closing Long Term Debt.</w:t>
      </w:r>
    </w:p>
    <w:p>
      <w:pPr>
        <w:spacing w:after="0" w:line="174" w:lineRule="exact"/>
        <w:rPr>
          <w:sz w:val="20"/>
          <w:szCs w:val="20"/>
          <w:color w:val="auto"/>
        </w:rPr>
      </w:pPr>
    </w:p>
    <w:p>
      <w:pPr>
        <w:ind w:right="3299" w:firstLine="435"/>
        <w:spacing w:after="0"/>
        <w:tabs>
          <w:tab w:leader="none" w:pos="79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Date Balance Sheet ("Closing Date Balance Sheet") shall fairly present the consolidated financial position of the Company and the Included Subsidiaries as of the close of business on the Closing Date in accordance with generally accepted accounting principles applied on a basis consistent with those used in the preparation of the Base Balance Sheet. The report of the Closing Working Capital Amount shall include line items substantially consistent with those in the Base Working Capital Report, and be prepared in accordance with accounting policies and practices consistent with those used in the preparation of the Base Working Capital Report.</w:t>
      </w:r>
    </w:p>
    <w:p>
      <w:pPr>
        <w:spacing w:after="0" w:line="177"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Holdings disagrees with Buyer's calculations of the Closing Working Capital Amount or the Closing Long Term Debt delivered pursuant to Section 2.04(a), Holdings may, within 30 days after delivery of the documents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79" w:name="page180"/>
    <w:bookmarkEnd w:id="179"/>
    <w:p>
      <w:pPr>
        <w:jc w:val="both"/>
        <w:ind w:right="3119"/>
        <w:spacing w:after="0" w:line="260" w:lineRule="auto"/>
        <w:rPr>
          <w:sz w:val="20"/>
          <w:szCs w:val="20"/>
          <w:color w:val="auto"/>
        </w:rPr>
      </w:pPr>
      <w:r>
        <w:rPr>
          <w:rFonts w:ascii="Courier New" w:cs="Courier New" w:eastAsia="Courier New" w:hAnsi="Courier New"/>
          <w:sz w:val="14"/>
          <w:szCs w:val="14"/>
          <w:color w:val="auto"/>
        </w:rPr>
        <w:t>referred to in Section 2.04(a), deliver a notice to Buyer disagreeing with such calculations and setting forth Holdings' calculation of such amounts. Any such notice of disagreement shall specify those items or amounts as to which Holdings disagrees, and Holdings shall be deemed to have agreed with all other items and amounts contained in the Closing Date Balance Sheet and the calculation of the Purchase Price Adjustment delivered pursuant to Section 2.04(a).</w:t>
      </w:r>
    </w:p>
    <w:p>
      <w:pPr>
        <w:spacing w:after="0" w:line="164" w:lineRule="exact"/>
        <w:rPr>
          <w:sz w:val="20"/>
          <w:szCs w:val="20"/>
          <w:color w:val="auto"/>
        </w:rPr>
      </w:pPr>
    </w:p>
    <w:p>
      <w:pPr>
        <w:ind w:right="3219" w:firstLine="435"/>
        <w:spacing w:after="0" w:line="259" w:lineRule="auto"/>
        <w:tabs>
          <w:tab w:leader="none" w:pos="799"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notice of disagreement shall be delivered pursuant to Section 2.04(b), Buyer and Holdings shall, during the 30 days following such delivery, use their best efforts to reach agreement on the disputed items or amounts in order to determine, as may be required, the amount of the Closing Working Capital Amount or of the Closing Long Term Debt. If, during such period, Buyer and Holdings are unable to reach such agreement, they shall promptly thereafter cause Arthur Andersen LLP (the "Independent Accountants"), promptly to review this Agreement and the disputed items or amounts for the purpose of calculating the Purchase Price Adjustment. In making such calculation, the Independent Accountants shall consider only those items or amounts in the Closing Date Balance Sheet or Buyer's calculations of the Closing Working Capital Amount or the Closing Long Term Debt, as the case may be, as to which Holdings has disagreed. The Independent Accountants shall deliver to Buyer and Holdings, as promptly as practicable, a report setting forth such calculations. Such report shall be final and binding upon Buyer and Holdings. The cost of such review and report shall be borne equally by Buyer and Holdings.</w:t>
      </w:r>
    </w:p>
    <w:p>
      <w:pPr>
        <w:spacing w:after="0" w:line="162"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Holdings agree that they will, and agree to cause their respective independent accountants and the Company and each Included Subsidiary to, cooperate and assist in the preparation of the Closing Date Balance Sheet and the calculation of the Closing Working Capital Amount and the Closing Long Term Debt and in the conduct of the audits and reviews referred to in this Section, including without limitation, the making available to the extent necessary of books, records, work papers and personnel. Upon a final determination of the Closing Working Capital Amount and the Closing Long Term Debt, Buyer and Holdings shall calculate the adjustment that would have been required pursuant to Section 2.03(a) if the Closing Working Capital Amount (as finally determined) were substituted for the Estimated Closing Working Capital Amount and the Closing Long Term Debt (as finally determined) were substituted for the Estimated Closing Long Term Debt (such adjustment, the "Final Purchase Price Adjustment").</w:t>
      </w:r>
    </w:p>
    <w:p>
      <w:pPr>
        <w:spacing w:after="0" w:line="181" w:lineRule="exact"/>
        <w:rPr>
          <w:rFonts w:ascii="Courier New" w:cs="Courier New" w:eastAsia="Courier New" w:hAnsi="Courier New"/>
          <w:sz w:val="15"/>
          <w:szCs w:val="15"/>
          <w:color w:val="auto"/>
        </w:rPr>
      </w:pPr>
    </w:p>
    <w:p>
      <w:pPr>
        <w:ind w:right="3119" w:firstLine="435"/>
        <w:spacing w:after="0" w:line="262" w:lineRule="auto"/>
        <w:tabs>
          <w:tab w:leader="none" w:pos="799"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days following a determination of the Final Purchase Price Adjustment, (i) if the amount of the reduction in the Purchase Price required by the Final Purchase Price Adjustment exceeds the amount of the reduction in the Purchase Price required by the Initial Purchase Price Adjustment, Holdings shall</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80" w:name="page181"/>
    <w:bookmarkEnd w:id="180"/>
    <w:p>
      <w:pPr>
        <w:jc w:val="both"/>
        <w:ind w:left="9" w:right="3119"/>
        <w:spacing w:after="0"/>
        <w:rPr>
          <w:sz w:val="20"/>
          <w:szCs w:val="20"/>
          <w:color w:val="auto"/>
        </w:rPr>
      </w:pPr>
      <w:r>
        <w:rPr>
          <w:rFonts w:ascii="Courier New" w:cs="Courier New" w:eastAsia="Courier New" w:hAnsi="Courier New"/>
          <w:sz w:val="15"/>
          <w:szCs w:val="15"/>
          <w:color w:val="auto"/>
        </w:rPr>
        <w:t>pay to Buyer, as an adjustment to the Purchase Price, in the manner and with interest as provided below, the amount of such excess and (ii) if the amount of the reduction in the Purchase Price required by the Initial Purchase Price Adjustment exceeds the amount of the reduction in the Purchase Price required by the Final Purchase Price Adjustment, Buyer shall pay to Holdings, in the manner and with interest as provided below, the amount of such excess.</w:t>
      </w:r>
    </w:p>
    <w:p>
      <w:pPr>
        <w:spacing w:after="0" w:line="175" w:lineRule="exact"/>
        <w:rPr>
          <w:sz w:val="20"/>
          <w:szCs w:val="20"/>
          <w:color w:val="auto"/>
        </w:rPr>
      </w:pPr>
    </w:p>
    <w:p>
      <w:pPr>
        <w:ind w:left="9" w:right="3119" w:firstLine="435"/>
        <w:spacing w:after="0"/>
        <w:tabs>
          <w:tab w:leader="none" w:pos="80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pursuant to Section 2.04(e) shall be made by delivery by Buyer or Holdings, as the case may be, of a certified or official bank check payable in immediately available funds to the other party or by causing such payments to be credited to such account of such other party as may be designated by such other party. The amount of any payment to be made pursuant to this Section shall bear interest from and including the Closing Date to but excluding the date of payment at a rate per annum equal to the Agreed Rate in effect from time to time during the period from the Closing Date to the date of payment. Such interest shall be payable at the same time as the payment to which it relates and shall be calculated daily on the basis of a year of 365 days and the actual number of days elapsed.</w:t>
      </w:r>
    </w:p>
    <w:p>
      <w:pPr>
        <w:spacing w:after="0" w:line="200" w:lineRule="exact"/>
        <w:rPr>
          <w:sz w:val="20"/>
          <w:szCs w:val="20"/>
          <w:color w:val="auto"/>
        </w:rPr>
      </w:pPr>
    </w:p>
    <w:p>
      <w:pPr>
        <w:spacing w:after="0" w:line="318"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3</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REPRESENTATIONS AND WARRANTIES OF SELLERS AND SELLER GUARANTOR</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Each of Sellers and Seller Guarantor represents and warrants to Buyer as of the date hereof and as of the Closing Date that:</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SECTION 3.01. Corporate Existence and Power. Each of Sellers and Seller Guarantor is a corporation validly existing and in good standing under the laws of its jurisdiction of incorporation and has all requisite corporate powers to perform their respective obligations under this Agreement.</w:t>
      </w:r>
    </w:p>
    <w:p>
      <w:pPr>
        <w:spacing w:after="0" w:line="17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3.02. Corporate Authorization. The execution, delivery and performance by each of Sellers and Seller Guarantor of this Agreement have been duly authorized by all necessary corporate action on the part of Sellers and Seller Guarantor. This Agreement constitutes a valid and binding agreement of Sellers and Seller Guarantor enforceable in accordance with its terms, except as</w:t>
      </w:r>
    </w:p>
    <w:p>
      <w:pPr>
        <w:spacing w:after="0" w:line="1" w:lineRule="exact"/>
        <w:rPr>
          <w:sz w:val="20"/>
          <w:szCs w:val="20"/>
          <w:color w:val="auto"/>
        </w:rPr>
      </w:pPr>
    </w:p>
    <w:p>
      <w:pPr>
        <w:ind w:left="9" w:right="3119" w:hanging="9"/>
        <w:spacing w:after="0" w:line="239" w:lineRule="auto"/>
        <w:tabs>
          <w:tab w:leader="none" w:pos="36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hereof may be limited by bankruptcy, insolvency, moratorium or other similar laws affecting creditors' rights generally and (ii) the availability of equitable remedies may be limited by equitable principles of general applicability.</w:t>
      </w:r>
    </w:p>
    <w:p>
      <w:pPr>
        <w:spacing w:after="0" w:line="176"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SECTION 3.03. Governmental Authorization. The execution, delivery and performance by each of Sellers and Seller Guarantor of this Agreement require no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31" w:right="1440" w:bottom="1440" w:gutter="0" w:footer="0" w:header="0"/>
        </w:sectPr>
      </w:pPr>
    </w:p>
    <w:bookmarkStart w:id="181" w:name="page182"/>
    <w:bookmarkEnd w:id="181"/>
    <w:p>
      <w:pPr>
        <w:jc w:val="both"/>
        <w:ind w:right="3119"/>
        <w:spacing w:after="0"/>
        <w:rPr>
          <w:sz w:val="20"/>
          <w:szCs w:val="20"/>
          <w:color w:val="auto"/>
        </w:rPr>
      </w:pPr>
      <w:r>
        <w:rPr>
          <w:rFonts w:ascii="Courier New" w:cs="Courier New" w:eastAsia="Courier New" w:hAnsi="Courier New"/>
          <w:sz w:val="15"/>
          <w:szCs w:val="15"/>
          <w:color w:val="auto"/>
        </w:rPr>
        <w:t>action by or in respect of, or filing with, any governmental body, agency, or official other than (i) compliance with any applicable requirements of the HSR Act; (ii) compliance with any applicable requirements of the Exchange Act and the Securities Act; (iii) compliance with any applicable requirements of the FCC and of the Communications Act; (iv) compliance with any applicable requirements imposed by state public utilities commissions or similar state regulatory bodies in Delaware, Illinois, Maryland, New Jersey and Pennsylvania; (v) compliance with any contractual requirements of any lease entered into with a governmental entity; and (vi) actions or filings the failure of which to occur have not had and would not reasonably be expected to have, individually or in the aggregate, a Material Adverse Effect on Sellers and their Subsidiaries, taken as a whole, or materially delay the ability of Sellers to perform their obligations under this Agreement.</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3.04. Non-Contravention. Except as set forth in Section 3.03 or disclosed in Schedule 3.04, the execution, delivery and performance by each of Sellers and Seller Guarantor of this Agreement do not and will not</w:t>
      </w:r>
    </w:p>
    <w:p>
      <w:pPr>
        <w:spacing w:after="0" w:line="175"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(a)(i) violate the Organizational Documents of Sellers or Seller Guarantor, (ii) assuming compliance with the matters referred to in Section 3.03, violate any applicable law, rule, regulation, judgment, injunction, order or decree, except for violations which, individually or in the aggregate, have not had and would not reasonably be expected to have a Material Adverse Effect on Seller Guarantor and its Subsidiaries, taken as a whole, or (iii) require any consent or other action by any Person under, constitute a default under, or give rise to any right of termination, cancellation or acceleration of any right or obligation of Sellers or Seller Guarantor or to a loss of any benefit to which Sellers or Seller Guarantor is entitled under, any agreement or other instrument binding upon Sellers or Seller Guarantor or any license, franchise, permit or other similar authorization held by Sellers or Seller Guarantor, except for consents, actions, defaults, terminations, cancellations, accelerations or losses which, individually or in the aggregate, have not had and would not reasonably be expected to have a Material Adverse Effect on Seller Guarantor and its Subsidiaries, taken as a whole; or</w:t>
      </w:r>
    </w:p>
    <w:p>
      <w:pPr>
        <w:spacing w:after="0" w:line="33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(b)(i) violate the Organizational Documents of the Company or any Included Subsidiary, (ii) assuming compliance with the matters referred to in Section 3.03, violate any applicable law, rule, regulation, judgment, injunction, order or decree, except for violations which, individually or in the aggregate, have not had and would not reasonably be expected to have a Material Adverse Effect on the Company Group, (iii) require any consent or other action by any Person under, constitute a default under, or give rise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82" w:name="page183"/>
    <w:bookmarkEnd w:id="182"/>
    <w:p>
      <w:pPr>
        <w:ind w:left="449" w:right="3119"/>
        <w:spacing w:after="0" w:line="258" w:lineRule="auto"/>
        <w:rPr>
          <w:sz w:val="20"/>
          <w:szCs w:val="20"/>
          <w:color w:val="auto"/>
        </w:rPr>
      </w:pPr>
      <w:r>
        <w:rPr>
          <w:rFonts w:ascii="Courier New" w:cs="Courier New" w:eastAsia="Courier New" w:hAnsi="Courier New"/>
          <w:sz w:val="14"/>
          <w:szCs w:val="14"/>
          <w:color w:val="auto"/>
        </w:rPr>
        <w:t>to any right of termination, cancellation or acceleration of any right or obligation of the Company or any Included Subsidiary or to a loss of any benefit to which the Company or any Included Subsidiary is entitled under, any agreement or other instrument binding upon the Company or any Included Subsidiary or any license, franchise, permit or other similar authorization held by the Company or any Included Subsidiary, except for consents, actions, defaults, terminations, cancellations, accelerations or losses (x) under the Credit Agreement or the Indenture (in the event that the Change of Control Triggering Event (as defined in the Indenture) has occurred) or</w:t>
      </w:r>
    </w:p>
    <w:p>
      <w:pPr>
        <w:spacing w:after="0" w:line="2" w:lineRule="exact"/>
        <w:rPr>
          <w:sz w:val="20"/>
          <w:szCs w:val="20"/>
          <w:color w:val="auto"/>
        </w:rPr>
      </w:pPr>
    </w:p>
    <w:p>
      <w:pPr>
        <w:ind w:left="449" w:right="3399" w:hanging="5"/>
        <w:spacing w:after="0"/>
        <w:tabs>
          <w:tab w:leader="none" w:pos="80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individually or in the aggregate, have not had and would not reasonably be expected to have a Material Adverse Effect on the Company Group or (iv) result in the creation or imposition of any Lien on any material asset of the Company or any Included Subsidiary, other than any Permitted Liens.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3.05. Capitalization. (a) The authorized capital stock of the Company consists of (A) 1,000 shares of Common Stock, and (B) 10,000 shares of preferred stock of which 5,200 shares have been designated as the Preferred Stock. As of the date hereof, 100 shares of Common Stock and 1,912.336 shares of Preferred Stock are outstanding. As of the Closing Date, pursuant to Section</w:t>
      </w:r>
    </w:p>
    <w:p>
      <w:pPr>
        <w:spacing w:after="0" w:line="1"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5.10 hereof, the outstanding capital stock of the Company will consist only of shares of Common Stock.</w:t>
      </w:r>
    </w:p>
    <w:p>
      <w:pPr>
        <w:spacing w:after="0" w:line="175" w:lineRule="exact"/>
        <w:rPr>
          <w:sz w:val="20"/>
          <w:szCs w:val="20"/>
          <w:color w:val="auto"/>
        </w:rPr>
      </w:pPr>
    </w:p>
    <w:p>
      <w:pPr>
        <w:ind w:left="9" w:right="3219" w:firstLine="435"/>
        <w:spacing w:after="0" w:line="258" w:lineRule="auto"/>
        <w:tabs>
          <w:tab w:leader="none" w:pos="808"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of the Company have been duly authorized and validly issued and are fully paid and non-assessable. Except as set forth in Section 3.05(a) or contemplated by Section 5.10 hereof, there are no outstanding (i) shares of capital stock or voting securities of the Company,</w:t>
      </w:r>
    </w:p>
    <w:p>
      <w:pPr>
        <w:ind w:left="9" w:right="3119" w:hanging="9"/>
        <w:spacing w:after="0" w:line="259" w:lineRule="auto"/>
        <w:tabs>
          <w:tab w:leader="none" w:pos="453"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the Company convertible into or exchangeable for shares of capital stock or voting securities of the Company or (iii) options or other rights to acquire from the Company, or other obligation of the Company to issue, any capital stock, voting securities or securities convertible into or exchangeable for capital stock or voting securities of the Company (the items in clauses 3.05(b)(i), 3.05(b)(ii) and 3.05(b)(iii) being referred to collectively as the "Company Securities"). Except as contemplated by Section 5.10 hereof, there are no outstanding obligations of the Company or any Included Subsidiary to repurchase, redeem or otherwise acquire any Company Securities.</w:t>
      </w:r>
    </w:p>
    <w:p>
      <w:pPr>
        <w:spacing w:after="0" w:line="16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SECTION 3.06. Ownership of Shares. Sellers are the record and beneficial owners of all shares of Common Stock and Preferred Stock outstanding as of the date hereof, free and clear of any Lien and any other limitation or restriction (including any restriction on the right to vote, sell or otherwise dispose of the Shares), and will transfer and deliver to Buyer at the Closing valid title to the Shares free and clear of any Lien and any such limitation or restriction.</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631" w:right="1440" w:bottom="1440" w:gutter="0" w:footer="0" w:header="0"/>
        </w:sectPr>
      </w:pPr>
    </w:p>
    <w:bookmarkStart w:id="183" w:name="page184"/>
    <w:bookmarkEnd w:id="183"/>
    <w:p>
      <w:pPr>
        <w:ind w:right="3119" w:firstLine="444"/>
        <w:spacing w:after="0"/>
        <w:rPr>
          <w:sz w:val="20"/>
          <w:szCs w:val="20"/>
          <w:color w:val="auto"/>
        </w:rPr>
      </w:pPr>
      <w:r>
        <w:rPr>
          <w:rFonts w:ascii="Courier New" w:cs="Courier New" w:eastAsia="Courier New" w:hAnsi="Courier New"/>
          <w:sz w:val="15"/>
          <w:szCs w:val="15"/>
          <w:color w:val="auto"/>
        </w:rPr>
        <w:t>SECTION 3.07. Company; Subsidiaries and Joint Ventures. (a) The Company and each Included Subsidiary is duly organized or formed, validly existing and in good standing under the laws of the jurisdiction in which it is so organized or formed and has all corporate or partnership powers and authority and all governmental licenses, authorizations, permits, consents and approvals required to carry on its business as now conducted, is duly qualified to do business as a foreign corporation and is in good standing in each jurisdiction where such qualification is necessary, except for those jurisdictions where failure to be so qualified has not had and would not reasonably be expected to have, individually or in the aggregate, a Material Adverse Effect on the Company Group. All Included Subsidiaries and their respective jurisdictions of incorporation or organization and qualifications to do business as a foreign corporation are identified on Schedule 3.07(a).</w:t>
      </w:r>
    </w:p>
    <w:p>
      <w:pPr>
        <w:spacing w:after="0" w:line="180" w:lineRule="exact"/>
        <w:rPr>
          <w:sz w:val="20"/>
          <w:szCs w:val="20"/>
          <w:color w:val="auto"/>
        </w:rPr>
      </w:pPr>
    </w:p>
    <w:p>
      <w:pPr>
        <w:ind w:right="3119" w:firstLine="435"/>
        <w:spacing w:after="0"/>
        <w:tabs>
          <w:tab w:leader="none" w:pos="799"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3.07(a), all of the outstanding capital stock of, or other voting securities or ownership interests in, each Included Subsidiary is owned by the Company,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the Company or any Included Subsidiary convertible into or exchangeable for shares of capital stock or other voting securities or ownership interests in any Included Subsidiary or (ii) options or other rights to acquire from the Company or any Included Subsidiary, or other obligation of the Company or any Included Subsidiary to issue, any capital stock or other voting securities or ownership interests in, or any securities convertible into or exchangeable for any capital stock or other voting securities or ownership interests in, any Included Subsidiary (the items in clauses 3.07(b)(i) and 3.07(b)(ii) being referred to collectively as the "Company Subsidiary Securities"). There are no outstanding obligations of the Company or any Included Subsidiary to repurchase, redeem or otherwise acquire any outstanding Company Subsidiary Securities.</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3.07(c) sets forth (i) the name of each corporation,</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limited liability company or other entity (other than the Included Subsidiaries) in which the Company holds a direct or indirect equity, profit, voting or other interest ("Joint Venture Affiliate"), (ii) a description of the interests of the Company, and (iii) the name of each owner of any such interest and its percentage interest.</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3.07(d), the interest of the Company in each Joint Venture Affiliate is owned by the Company, directly or indirectly, free and clear of any Liens and free of any other limitation or restriction (including any restriction on the right to vote, sell or otherwise dispose of such interest).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84" w:name="page185"/>
    <w:bookmarkEnd w:id="184"/>
    <w:p>
      <w:pPr>
        <w:ind w:right="3119"/>
        <w:spacing w:after="0"/>
        <w:rPr>
          <w:sz w:val="20"/>
          <w:szCs w:val="20"/>
          <w:color w:val="auto"/>
        </w:rPr>
      </w:pPr>
      <w:r>
        <w:rPr>
          <w:rFonts w:ascii="Courier New" w:cs="Courier New" w:eastAsia="Courier New" w:hAnsi="Courier New"/>
          <w:sz w:val="15"/>
          <w:szCs w:val="15"/>
          <w:color w:val="auto"/>
        </w:rPr>
        <w:t>Except as disclosed in Schedule 3.07(d), there are no outstanding (i) securities or other interests of the Company or the Included Subsidiaries convertible into or exchangeable for ownership interests in the Joint Venture Affiliates or (ii) options or other rights to acquire from the Company or any Included Subsidiary or other obligations of the Company or any Included Subsidiary to issue any interests in or convertible into or exchangeable into any interest in the Joint Venture Affiliates. Except as set forth in Schedule 3.07(d), there are no outstanding obligations of the Company or the Included Subsidiaries to repurchase, redeem or otherwise acquire any interest in any Joint Venture Affiliate.</w:t>
      </w:r>
    </w:p>
    <w:p>
      <w:pPr>
        <w:spacing w:after="0" w:line="178"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3.08. SEC Filings; Financial Statements. (a) The Company has filed all required reports, schedules, forms, statements and other documents with the Securities and Exchange Commission since December 31, 1997, and will file all reports, schedules, forms, statements and other documents with the Securities and Exchange Commission which it shall be required to file on or after the date hereof and up to and including the Closing Date (the "SEC Reports").</w:t>
      </w:r>
    </w:p>
    <w:p>
      <w:pPr>
        <w:spacing w:after="0" w:line="164" w:lineRule="exact"/>
        <w:rPr>
          <w:sz w:val="20"/>
          <w:szCs w:val="20"/>
          <w:color w:val="auto"/>
        </w:rPr>
      </w:pPr>
    </w:p>
    <w:p>
      <w:pPr>
        <w:ind w:right="3119" w:firstLine="435"/>
        <w:spacing w:after="0"/>
        <w:tabs>
          <w:tab w:leader="none" w:pos="79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its filing date, each SEC Report filed or to be filed pursuant to the Exchange Act did not or will not, as the case may be, contain any untrue statement of a material fact or omit to state any material fact required to be stated therein or necessary to make the statements therein, in the light of the circumstances under which they were made, not misleading.</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of the Company and its Subsidiaries and the related consolidated statements of income and cash flow included in or incorporated by reference in the SEC Reports, presents fairly the consolidated financial position of the Company and its Subsidiaries as of the dates thereof and their consolidated results of operations and cash flows, as the case may be, for the periods then ended (subject to normal year-end adjustments that will not be material in amount or effect in the case of the unaudited interim financial statements) in conformity with United States generally accepted accounting principles applied on a consistent basis (except as may be indicated in the notes thereto).</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3.09. Absence of Certain Changes. Except as disclosed in Schedule 3.09 and except for the transactions contemplated by this Agreement, since December 31, 1997, the business of the Company and the Included Subsidiaries has been conducted in the ordinary course consistent with past practices and there has not been:</w:t>
      </w:r>
    </w:p>
    <w:p>
      <w:pPr>
        <w:spacing w:after="0" w:line="174" w:lineRule="exact"/>
        <w:rPr>
          <w:sz w:val="20"/>
          <w:szCs w:val="20"/>
          <w:color w:val="auto"/>
        </w:rPr>
      </w:pPr>
    </w:p>
    <w:p>
      <w:pPr>
        <w:ind w:right="3119" w:firstLine="435"/>
        <w:spacing w:after="0" w:line="239" w:lineRule="auto"/>
        <w:tabs>
          <w:tab w:leader="none" w:pos="799"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which has had or would reasonably be expected to have, individually or in the aggregate, a Material Adverse Effect on the Company Group;</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85" w:name="page186"/>
    <w:bookmarkEnd w:id="185"/>
    <w:p>
      <w:pPr>
        <w:ind w:right="31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the Company, or any repurchase, redemption or other acquisition by the Company or any Included Subsidiary of any outstanding shares of capital stock or other securities of the Company or any Included Subsidiary;</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the Company or any Included Subsidiary;</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the Company or any Included Subsidiary of any indebtedness for borrowed money other than in the ordinary course of business consistent with past practices;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contributions to or investment in any Person other than loans, advances or capital contributions to or investments in (i) any Persons in the ordinary course of business consistent with past practices or (ii) wholly-owned Subsidiaries of the Company (other than the Excluded Subsidiaries);</w:t>
      </w:r>
    </w:p>
    <w:p>
      <w:pPr>
        <w:spacing w:after="0" w:line="174"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agreement or arrangement entered into, by the Company or any Included Subsidiary relating to their assets or business (including the acquisition or disposition of any assets), in either case, material to the Company Group, other than transactions and commitments in the ordinary course of business consistent with past practices and those contemplated by this Agreement;</w:t>
      </w:r>
    </w:p>
    <w:p>
      <w:pPr>
        <w:spacing w:after="0" w:line="175" w:lineRule="exact"/>
        <w:rPr>
          <w:rFonts w:ascii="Courier New" w:cs="Courier New" w:eastAsia="Courier New" w:hAnsi="Courier New"/>
          <w:sz w:val="15"/>
          <w:szCs w:val="15"/>
          <w:color w:val="auto"/>
        </w:rPr>
      </w:pPr>
    </w:p>
    <w:p>
      <w:pPr>
        <w:ind w:right="3219" w:firstLine="435"/>
        <w:spacing w:after="0" w:line="264" w:lineRule="auto"/>
        <w:tabs>
          <w:tab w:leader="none" w:pos="79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any method of accounting or accounting practice by the Company or any Included Subsidiary, except for any such change required by reason of a change in generally accepted accounting principles; or</w:t>
      </w:r>
    </w:p>
    <w:p>
      <w:pPr>
        <w:spacing w:after="0" w:line="156"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listed in Section 5.01 hereto.</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3.10. No Undisclosed Liabilities. There are no liabilities of the Company or Included Subsidiaries of any kind whatsoever, whether accrued, contingent, absolute, determined, determinable or otherwise, other than:</w:t>
      </w:r>
    </w:p>
    <w:p>
      <w:pPr>
        <w:spacing w:after="0" w:line="159" w:lineRule="exact"/>
        <w:rPr>
          <w:sz w:val="20"/>
          <w:szCs w:val="20"/>
          <w:color w:val="auto"/>
        </w:rPr>
      </w:pPr>
    </w:p>
    <w:p>
      <w:pPr>
        <w:ind w:right="3219" w:firstLine="435"/>
        <w:spacing w:after="0" w:line="238" w:lineRule="auto"/>
        <w:tabs>
          <w:tab w:leader="none" w:pos="799"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provided for in the Base Balance Sheet or disclosed in the notes thereto;</w:t>
      </w:r>
    </w:p>
    <w:p>
      <w:pPr>
        <w:spacing w:after="0" w:line="174" w:lineRule="exact"/>
        <w:rPr>
          <w:rFonts w:ascii="Courier New" w:cs="Courier New" w:eastAsia="Courier New" w:hAnsi="Courier New"/>
          <w:sz w:val="15"/>
          <w:szCs w:val="15"/>
          <w:color w:val="auto"/>
        </w:rPr>
      </w:pPr>
    </w:p>
    <w:p>
      <w:pPr>
        <w:ind w:right="3479" w:firstLine="435"/>
        <w:spacing w:after="0" w:line="271" w:lineRule="auto"/>
        <w:tabs>
          <w:tab w:leader="none" w:pos="799"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arising in the ordinary course subsequent to the Base Balance Sheet Date, none of which liabilities has had or would reasonably be</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186" w:name="page187"/>
    <w:bookmarkEnd w:id="186"/>
    <w:p>
      <w:pPr>
        <w:ind w:right="3119"/>
        <w:spacing w:after="0" w:line="238" w:lineRule="auto"/>
        <w:rPr>
          <w:sz w:val="20"/>
          <w:szCs w:val="20"/>
          <w:color w:val="auto"/>
        </w:rPr>
      </w:pPr>
      <w:r>
        <w:rPr>
          <w:rFonts w:ascii="Courier New" w:cs="Courier New" w:eastAsia="Courier New" w:hAnsi="Courier New"/>
          <w:sz w:val="15"/>
          <w:szCs w:val="15"/>
          <w:color w:val="auto"/>
        </w:rPr>
        <w:t>expected to have, individually or in the aggregate, a Material Adverse Effect on the Company Group;</w:t>
      </w:r>
    </w:p>
    <w:p>
      <w:pPr>
        <w:spacing w:after="0" w:line="175" w:lineRule="exact"/>
        <w:rPr>
          <w:sz w:val="20"/>
          <w:szCs w:val="20"/>
          <w:color w:val="auto"/>
        </w:rPr>
      </w:pPr>
    </w:p>
    <w:p>
      <w:pPr>
        <w:ind w:right="3219" w:firstLine="435"/>
        <w:spacing w:after="0"/>
        <w:tabs>
          <w:tab w:leader="none" w:pos="79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related to or arising under any agreements, instruments or other matters disclosed in this Agreement or any Schedule hereto (and to the Knowledge of Sellers, none of the liabilities arising under such agreements or instruments was caused by any breach of contract, breach of warranty, tort, infringement or violation of law);</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or arising out of any Excluded Subsidiary;</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Schedule 3.10; and</w:t>
      </w:r>
    </w:p>
    <w:p>
      <w:pPr>
        <w:spacing w:after="0" w:line="174"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undisclosed liabilities which are not required (in accordance with generally accepted accounting principles consistently applied) to be provided for in the Base Balance Sheet or disclosed in the notes thereto and which would not, individually or in the aggregate, be reasonably likely to have a Material Adverse Effect on the Company Group.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3.11. Intercompany Accounts. Schedule 3.11 contains a complete list of all intercompany balances as of the Base Balance Sheet Date between Holdings and its Affiliates, on the one hand, and the Company and the Included Subsidiaries, on the other hand. Since the Base Balance Sheet Date there has not been any accrual of liability by the Company or any Included Subsidiary to Holdings or any of its Affiliates or other transaction between the Company or any Included Subsidiary and Holdings and any of its Affiliates, except in the ordinary course of business of the Company and the Included Subsidiaries consistent with past practice.</w:t>
      </w:r>
    </w:p>
    <w:p>
      <w:pPr>
        <w:spacing w:after="0" w:line="177"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SECTION 3.12. Material Contracts. (a) Except as disclosed in Schedule 3.12, neither the Company nor any Included Subsidiary is a party to or bound by:</w:t>
      </w:r>
    </w:p>
    <w:p>
      <w:pPr>
        <w:spacing w:after="0" w:line="154" w:lineRule="exact"/>
        <w:rPr>
          <w:sz w:val="20"/>
          <w:szCs w:val="20"/>
          <w:color w:val="auto"/>
        </w:rPr>
      </w:pPr>
    </w:p>
    <w:p>
      <w:pPr>
        <w:ind w:left="440" w:right="3479" w:firstLine="438"/>
        <w:spacing w:after="0" w:line="238" w:lineRule="auto"/>
        <w:tabs>
          <w:tab w:leader="none" w:pos="12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of personal property providing for annual rentals of $500,000 or more;</w:t>
      </w:r>
    </w:p>
    <w:p>
      <w:pPr>
        <w:spacing w:after="0" w:line="174" w:lineRule="exact"/>
        <w:rPr>
          <w:rFonts w:ascii="Courier New" w:cs="Courier New" w:eastAsia="Courier New" w:hAnsi="Courier New"/>
          <w:sz w:val="15"/>
          <w:szCs w:val="15"/>
          <w:color w:val="auto"/>
        </w:rPr>
      </w:pPr>
    </w:p>
    <w:p>
      <w:pPr>
        <w:jc w:val="both"/>
        <w:ind w:left="440" w:right="3299" w:firstLine="438"/>
        <w:spacing w:after="0"/>
        <w:tabs>
          <w:tab w:leader="none" w:pos="132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purchase of materials, supplies, goods, services, equipment or other assets that provides for either (A) annual payments by the Company and the Included Subsidiaries of $500,000 or more or (B) aggregate payments by the Company and the Included Subsidiaries of $2,000,000 or more;</w:t>
      </w:r>
    </w:p>
    <w:p>
      <w:pPr>
        <w:spacing w:after="0" w:line="174" w:lineRule="exact"/>
        <w:rPr>
          <w:rFonts w:ascii="Courier New" w:cs="Courier New" w:eastAsia="Courier New" w:hAnsi="Courier New"/>
          <w:sz w:val="15"/>
          <w:szCs w:val="15"/>
          <w:color w:val="auto"/>
        </w:rPr>
      </w:pPr>
    </w:p>
    <w:p>
      <w:pPr>
        <w:ind w:left="440" w:right="3659" w:firstLine="438"/>
        <w:spacing w:after="0" w:line="239" w:lineRule="auto"/>
        <w:tabs>
          <w:tab w:leader="none" w:pos="141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providing for the sale by the Company or the Included Subsidiaries of services (other than in respect of cellular services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87" w:name="page188"/>
    <w:bookmarkEnd w:id="187"/>
    <w:p>
      <w:pPr>
        <w:ind w:right="3119"/>
        <w:spacing w:after="0" w:line="258" w:lineRule="auto"/>
        <w:rPr>
          <w:sz w:val="20"/>
          <w:szCs w:val="20"/>
          <w:color w:val="auto"/>
        </w:rPr>
      </w:pPr>
      <w:r>
        <w:rPr>
          <w:rFonts w:ascii="Courier New" w:cs="Courier New" w:eastAsia="Courier New" w:hAnsi="Courier New"/>
          <w:sz w:val="14"/>
          <w:szCs w:val="14"/>
          <w:color w:val="auto"/>
        </w:rPr>
        <w:t>with customers thereof), equipment or other assets that provides for either (A) annual payments to the Company and the Included Subsidiaries of</w:t>
      </w:r>
    </w:p>
    <w:p>
      <w:pPr>
        <w:ind w:right="3219"/>
        <w:spacing w:after="0" w:line="238" w:lineRule="auto"/>
        <w:rPr>
          <w:sz w:val="20"/>
          <w:szCs w:val="20"/>
          <w:color w:val="auto"/>
        </w:rPr>
      </w:pPr>
      <w:r>
        <w:rPr>
          <w:rFonts w:ascii="Courier New" w:cs="Courier New" w:eastAsia="Courier New" w:hAnsi="Courier New"/>
          <w:sz w:val="15"/>
          <w:szCs w:val="15"/>
          <w:color w:val="auto"/>
        </w:rPr>
        <w:t>$500,000 or more or (B) aggregate payments to the Company and the Included Subsidiaries of $2,000,000 or more;</w:t>
      </w:r>
    </w:p>
    <w:p>
      <w:pPr>
        <w:spacing w:after="0" w:line="175" w:lineRule="exact"/>
        <w:rPr>
          <w:sz w:val="20"/>
          <w:szCs w:val="20"/>
          <w:color w:val="auto"/>
        </w:rPr>
      </w:pPr>
    </w:p>
    <w:p>
      <w:pPr>
        <w:ind w:right="3119" w:firstLine="438"/>
        <w:spacing w:after="0"/>
        <w:tabs>
          <w:tab w:leader="none" w:pos="8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reseller, roaming, interconnect or other similar agreement, other than any such agreement (A) that is in all material respects similar to the relevant form of such agreement furnished to Buyer prior to the date hereof or (B) providing for either (x) annual payments to or from the Company and the Included Subsidiaries of $1,000,000 or more or (y) aggregate payments to or from the Company and the Included Subsidiaries of $3,000,000 or more (other than, in case of clause (B), any agency or dealer agreement);</w:t>
      </w:r>
    </w:p>
    <w:p>
      <w:pPr>
        <w:spacing w:after="0" w:line="176" w:lineRule="exact"/>
        <w:rPr>
          <w:rFonts w:ascii="Courier New" w:cs="Courier New" w:eastAsia="Courier New" w:hAnsi="Courier New"/>
          <w:sz w:val="15"/>
          <w:szCs w:val="15"/>
          <w:color w:val="auto"/>
        </w:rPr>
      </w:pPr>
    </w:p>
    <w:p>
      <w:pPr>
        <w:ind w:right="3299" w:firstLine="438"/>
        <w:spacing w:after="0" w:line="239" w:lineRule="auto"/>
        <w:tabs>
          <w:tab w:leader="none" w:pos="799"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 similar agreement or arrangement relating to the formation, creation, operation, management or control of any partnership or joint venture;</w:t>
      </w:r>
    </w:p>
    <w:p>
      <w:pPr>
        <w:spacing w:after="0" w:line="175" w:lineRule="exact"/>
        <w:rPr>
          <w:rFonts w:ascii="Courier New" w:cs="Courier New" w:eastAsia="Courier New" w:hAnsi="Courier New"/>
          <w:sz w:val="15"/>
          <w:szCs w:val="15"/>
          <w:color w:val="auto"/>
        </w:rPr>
      </w:pPr>
    </w:p>
    <w:p>
      <w:pPr>
        <w:ind w:right="3299" w:firstLine="438"/>
        <w:spacing w:after="0" w:line="239" w:lineRule="auto"/>
        <w:tabs>
          <w:tab w:leader="none" w:pos="8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relating to the acquisition or disposition of any material business (whether by merger, sale of stock, sale of assets or otherwise);</w:t>
      </w:r>
    </w:p>
    <w:p>
      <w:pPr>
        <w:spacing w:after="0" w:line="175" w:lineRule="exact"/>
        <w:rPr>
          <w:rFonts w:ascii="Courier New" w:cs="Courier New" w:eastAsia="Courier New" w:hAnsi="Courier New"/>
          <w:sz w:val="15"/>
          <w:szCs w:val="15"/>
          <w:color w:val="auto"/>
        </w:rPr>
      </w:pPr>
    </w:p>
    <w:p>
      <w:pPr>
        <w:ind w:right="3119" w:firstLine="438"/>
        <w:spacing w:after="0" w:line="239" w:lineRule="auto"/>
        <w:tabs>
          <w:tab w:leader="none" w:pos="976"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Credit Agreement and the Indenture, any agreement relating to indebtedness for borrowed money or the deferred purchase price of property (in either case, whether incurred, assumed, guaranteed or secured by any asset);</w:t>
      </w:r>
    </w:p>
    <w:p>
      <w:pPr>
        <w:spacing w:after="0" w:line="176" w:lineRule="exact"/>
        <w:rPr>
          <w:rFonts w:ascii="Courier New" w:cs="Courier New" w:eastAsia="Courier New" w:hAnsi="Courier New"/>
          <w:sz w:val="15"/>
          <w:szCs w:val="15"/>
          <w:color w:val="auto"/>
        </w:rPr>
      </w:pPr>
    </w:p>
    <w:p>
      <w:pPr>
        <w:ind w:right="3119" w:firstLine="438"/>
        <w:spacing w:after="0" w:line="238" w:lineRule="auto"/>
        <w:tabs>
          <w:tab w:leader="none" w:pos="1065"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license, franchise or similar agreement (including without limitation all FCC Licenses);</w:t>
      </w:r>
    </w:p>
    <w:p>
      <w:pPr>
        <w:spacing w:after="0" w:line="174" w:lineRule="exact"/>
        <w:rPr>
          <w:rFonts w:ascii="Courier New" w:cs="Courier New" w:eastAsia="Courier New" w:hAnsi="Courier New"/>
          <w:sz w:val="15"/>
          <w:szCs w:val="15"/>
          <w:color w:val="auto"/>
        </w:rPr>
      </w:pPr>
    </w:p>
    <w:p>
      <w:pPr>
        <w:ind w:right="3119" w:firstLine="438"/>
        <w:spacing w:after="0" w:line="239" w:lineRule="auto"/>
        <w:tabs>
          <w:tab w:leader="none" w:pos="8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that materially limits the freedom of the Company or the Included Subsidiaries to compete in any line of business or with any Person or in any area or which would so limit the freedom of the Company or any Included Subsidiary after the Closing Date;</w:t>
      </w:r>
    </w:p>
    <w:p>
      <w:pPr>
        <w:spacing w:after="0" w:line="173" w:lineRule="exact"/>
        <w:rPr>
          <w:rFonts w:ascii="Courier New" w:cs="Courier New" w:eastAsia="Courier New" w:hAnsi="Courier New"/>
          <w:sz w:val="15"/>
          <w:szCs w:val="15"/>
          <w:color w:val="auto"/>
        </w:rPr>
      </w:pPr>
    </w:p>
    <w:p>
      <w:pPr>
        <w:ind w:left="800" w:hanging="362"/>
        <w:spacing w:after="0"/>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Holdings or any of its Affiliates;</w:t>
      </w:r>
    </w:p>
    <w:p>
      <w:pPr>
        <w:spacing w:after="0" w:line="174"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any director or officer of the Company or any Included Subsidiary or with any "associate" or any member of the "immediate family" (as such terms are respectively defined in Rules 12b-2 and 16a-1 of the Securities Act) of any such director or officer (other than any Benefit Arrangement or Employee Plan disclosed to Buyer pursuant to other provisions hereof); or</w:t>
      </w:r>
    </w:p>
    <w:p>
      <w:pPr>
        <w:spacing w:after="0" w:line="34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79"/>
          </w:cols>
          <w:pgMar w:left="680" w:top="631" w:right="1440" w:bottom="1440" w:gutter="0" w:footer="0" w:header="0"/>
        </w:sectPr>
      </w:pPr>
    </w:p>
    <w:bookmarkStart w:id="188" w:name="page189"/>
    <w:bookmarkEnd w:id="188"/>
    <w:p>
      <w:pPr>
        <w:ind w:left="440" w:right="3119" w:firstLine="438"/>
        <w:spacing w:after="0" w:line="238" w:lineRule="auto"/>
        <w:tabs>
          <w:tab w:leader="none" w:pos="1416"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 commitment, arrangement or plan not made in the ordinary course of business that is material to the Company Group.</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plan, lease, arrangement or commitment disclosed in Schedule 3.11 to this Agreement or required to be disclosed pursuant to this section is a valid and binding agreement of the Company or the Included Subsidiary, as the case may be, and is in full force and effect, and neither the Company nor any Included Subsidiary nor, to the Knowledge of Sellers, any other party thereto is in material default or breach in any respect under the terms of any such agreement, contract, plan, lease, arrangement or commitment.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subscriber activations under agency agreements listed on Schedule 3.12(c) account for no less than 85% of all subscriber activations by the Company and the Included Subsidiaries for the twelve-month period ending December 31,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3.13. Litigation. There is no action, suit, investigation or proceeding pending against, or to the Knowledge of Sellers threatened against, either Seller, Seller Guarantor, the Company or the Included Subsidiaries or any of their respective properties before any court or arbitrator or any governmental body, agency or official which, individually or in the aggregate, has had or would reasonably be expected to have a Material Adverse Effect on the Company Group, or which in any manner challenges or seeks to prevent, enjoin, alter or materially delay, or could reasonably be expected to prevent, alter or materially delay, the transactions contemplated by this Agreement.</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3.14. Compliance with Laws and Court Orders; No Defaults. (a) Neither the Company nor any Included Subsidiary is in violation of any applicable law, rule, regulation, judgment, injunction, order or decree, except for violations which, individually or in the aggregate, have not had and would not reasonably be expected to have a Material Adverse Effect on the Company Group.</w:t>
      </w:r>
    </w:p>
    <w:p>
      <w:pPr>
        <w:spacing w:after="0" w:line="175" w:lineRule="exact"/>
        <w:rPr>
          <w:sz w:val="20"/>
          <w:szCs w:val="20"/>
          <w:color w:val="auto"/>
        </w:rPr>
      </w:pPr>
    </w:p>
    <w:p>
      <w:pPr>
        <w:ind w:right="3119" w:firstLine="435"/>
        <w:spacing w:after="0"/>
        <w:tabs>
          <w:tab w:leader="none" w:pos="7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Included Subsidiaries is in default under, and no condition exists that with notice or lapse of time or both would constitute a default under, any agreement or other instrument binding upon the Company or such Included Subsidiary or any license, franchise, permit or similar authorization held by the Company or any Included Subsidiary, except for defaults or potential defaults which, individually or in the aggregate, have not had and would not reasonably be expected to have a Material Adverse Effect on the Company Group.</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189" w:name="page190"/>
    <w:bookmarkEnd w:id="189"/>
    <w:p>
      <w:pPr>
        <w:ind w:right="3119" w:firstLine="444"/>
        <w:spacing w:after="0"/>
        <w:rPr>
          <w:sz w:val="20"/>
          <w:szCs w:val="20"/>
          <w:color w:val="auto"/>
        </w:rPr>
      </w:pPr>
      <w:r>
        <w:rPr>
          <w:rFonts w:ascii="Courier New" w:cs="Courier New" w:eastAsia="Courier New" w:hAnsi="Courier New"/>
          <w:sz w:val="15"/>
          <w:szCs w:val="15"/>
          <w:color w:val="auto"/>
        </w:rPr>
        <w:t>SECTION 3.15. Real Property. (a) Schedule 3.15(a) lists and briefly describes all real property owned by any of the Company and the Included Subsidiaries. Each such description is correct in all material respects. Except as disclosed in Schedule 3.15(a), with respect to each such parcel of owned real property:</w:t>
      </w:r>
    </w:p>
    <w:p>
      <w:pPr>
        <w:spacing w:after="0" w:line="174" w:lineRule="exact"/>
        <w:rPr>
          <w:sz w:val="20"/>
          <w:szCs w:val="20"/>
          <w:color w:val="auto"/>
        </w:rPr>
      </w:pPr>
    </w:p>
    <w:p>
      <w:pPr>
        <w:ind w:left="440" w:right="3299" w:firstLine="438"/>
        <w:spacing w:after="0" w:line="258" w:lineRule="auto"/>
        <w:tabs>
          <w:tab w:leader="none" w:pos="1239"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identified owner has good and marketable title to the parcel of real property, free and clear of any lien, mortgage, encumbrance, security interest, easement, covenant, or other restriction or title matter, except for (w) any mechanic's, materialmen's, and similar liens,</w:t>
      </w:r>
    </w:p>
    <w:p>
      <w:pPr>
        <w:ind w:left="440" w:right="3119" w:hanging="5"/>
        <w:spacing w:after="0" w:line="259" w:lineRule="auto"/>
        <w:tabs>
          <w:tab w:leader="none" w:pos="79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liens for real estate taxes or assessments not yet due and payable or for real estate taxes or assessments that the taxpayer is contesting in good faith through appropriate proceedings (provided the applicable real property is not subject to imminent threat of loss), (y) any recorded and unrecorded easements, covenants, and other similar restrictions and (z) any utility easements, building and use restrictions, zoning restrictions and other easements and restrictions existing generally with respect to properties of a similar character, in each case that, individually and in the aggregate, do not materially interfere with, restrict or limit the current use of the property or impose any material financial or performance obligation on the owner or user of such property;</w:t>
      </w:r>
    </w:p>
    <w:p>
      <w:pPr>
        <w:spacing w:after="0" w:line="165"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condemnation proceedings, lawsuits, or administrative actions relating to the parcel of real property (and, to the Knowledge of Sellers, there are no threatened condemnation proceedings, lawsuits or administrative actions relating to the property) that would reasonably be expected to materially and adversely affect the current use, occupancy or value thereof;</w:t>
      </w:r>
    </w:p>
    <w:p>
      <w:pPr>
        <w:spacing w:after="0" w:line="175" w:lineRule="exact"/>
        <w:rPr>
          <w:rFonts w:ascii="Courier New" w:cs="Courier New" w:eastAsia="Courier New" w:hAnsi="Courier New"/>
          <w:sz w:val="15"/>
          <w:szCs w:val="15"/>
          <w:color w:val="auto"/>
        </w:rPr>
      </w:pPr>
    </w:p>
    <w:p>
      <w:pPr>
        <w:ind w:left="440" w:right="3299" w:firstLine="438"/>
        <w:spacing w:after="0" w:line="239" w:lineRule="auto"/>
        <w:tabs>
          <w:tab w:leader="none" w:pos="1416"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options or rights of first refusal to purchase the parcel of real property, or any portion thereof or interest therein;</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327"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leases or grants of occupancy rights to others affecting the parcel of real property, in each case of any significance; and</w:t>
      </w:r>
    </w:p>
    <w:p>
      <w:pPr>
        <w:spacing w:after="0" w:line="175" w:lineRule="exact"/>
        <w:rPr>
          <w:rFonts w:ascii="Courier New" w:cs="Courier New" w:eastAsia="Courier New" w:hAnsi="Courier New"/>
          <w:sz w:val="15"/>
          <w:szCs w:val="15"/>
          <w:color w:val="auto"/>
        </w:rPr>
      </w:pPr>
    </w:p>
    <w:p>
      <w:pPr>
        <w:jc w:val="both"/>
        <w:ind w:left="440" w:right="3119" w:firstLine="438"/>
        <w:spacing w:after="0" w:line="271" w:lineRule="auto"/>
        <w:tabs>
          <w:tab w:leader="none" w:pos="1239"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casualty events affecting the parcel of real property not fully covered by insurance (except for customary deductibles).</w:t>
      </w:r>
    </w:p>
    <w:p>
      <w:pPr>
        <w:spacing w:after="0" w:line="15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Holdings will make available to Buyer prior to the Closing Date true and complete copies, to the extent available to Holdings, of property surveys, title</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190" w:name="page191"/>
    <w:bookmarkEnd w:id="190"/>
    <w:p>
      <w:pPr>
        <w:ind w:right="3119"/>
        <w:spacing w:after="0" w:line="238" w:lineRule="auto"/>
        <w:rPr>
          <w:sz w:val="20"/>
          <w:szCs w:val="20"/>
          <w:color w:val="auto"/>
        </w:rPr>
      </w:pPr>
      <w:r>
        <w:rPr>
          <w:rFonts w:ascii="Courier New" w:cs="Courier New" w:eastAsia="Courier New" w:hAnsi="Courier New"/>
          <w:sz w:val="15"/>
          <w:szCs w:val="15"/>
          <w:color w:val="auto"/>
        </w:rPr>
        <w:t>commitments (including copies of recorded agreements and matters) and deeds for each parcel of owned real estate.</w:t>
      </w:r>
    </w:p>
    <w:p>
      <w:pPr>
        <w:spacing w:after="0" w:line="175" w:lineRule="exact"/>
        <w:rPr>
          <w:sz w:val="20"/>
          <w:szCs w:val="20"/>
          <w:color w:val="auto"/>
        </w:rPr>
      </w:pPr>
    </w:p>
    <w:p>
      <w:pPr>
        <w:ind w:right="3119" w:firstLine="435"/>
        <w:spacing w:after="0" w:line="258" w:lineRule="auto"/>
        <w:tabs>
          <w:tab w:leader="none" w:pos="799"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3.15(b) lists and briefly describes all real property leased or subleased to or by any of the Companies and their Subsidiaries. Each such description is correct in all material respects. Holdings has delivered to Buyer correct and complete copies of the leases and subleases listed in Schedule</w:t>
      </w:r>
    </w:p>
    <w:p>
      <w:pPr>
        <w:ind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3.15(b) (other than cell site leases and oral licenses for kiosks). There are no amendments, consents for alterations, or other documents recording variations to such leases which materially and adversely affect the rental payments, the term, or the current use of the properties subject thereto. Except as disclosed in Schedule 3.15(b), (i) each lease or sublease listed in Schedule 3.15(b) is legal, valid, binding, enforceable, and in full force and effect, except as (x) the enforceability may be limited by bankruptcy, insolvency, moratorium, or other similar laws affecting creditors' rights generally, and (y) such property may be subject to mortgages, deeds of trust, or other liens against the lessor's interest in such property, (ii) none of the Company and the Included Subsidiaries is in breach or default, and no event has occurred which, with notice or lapse of time, would constitute a breach or default by any of the Company and the Included Subsidiaries or permit termination, modification or acceleration by any third party thereunder, and (iii) to the Knowledge of Sellers, no third party has repudiated or has the right to terminate or repudiate (except for the normal exercise of remedies in connection with a default thereunder or any termination rights set forth in the lease or sublease) any provision thereof, except in case of each of clauses (i), (ii) or (iii), for such illegality, invalidity, failures to be binding, unenforceability, ineffectiveness, breaches, defaults, terminations, modifications, accelerations and repudiations that, individually and in the aggregate, would not have a Material Adverse Effect on the Company Group.</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3.16. Properties. (a) The Company and the Included Subsidiaries have good title to, or in the case of leased property and assets have valid leasehold interests in, all personal property and assets (whether real, personal, tangible or intangible) reflected on the Base Balance Sheet or acquired or entered into after the Base Balance Sheet Date, except for property and assets sold since the Base Balance Sheet Date in the ordinary course of business consistent with past practices or where the failure to have such good title or valid leasehold interests would not have a Material Adverse Effect on the Company Group. None of such property or assets (whether real or personal) is subject to any Liens, except:</w:t>
      </w:r>
    </w:p>
    <w:p>
      <w:pPr>
        <w:spacing w:after="0" w:line="175" w:lineRule="exact"/>
        <w:rPr>
          <w:sz w:val="20"/>
          <w:szCs w:val="20"/>
          <w:color w:val="auto"/>
        </w:rPr>
      </w:pPr>
    </w:p>
    <w:p>
      <w:pPr>
        <w:ind w:left="1240" w:hanging="362"/>
        <w:spacing w:after="0"/>
        <w:tabs>
          <w:tab w:leader="none" w:pos="12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disclosed in Schedule 3.16;</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191" w:name="page192"/>
    <w:bookmarkEnd w:id="191"/>
    <w:p>
      <w:pPr>
        <w:ind w:left="440" w:right="3219" w:firstLine="438"/>
        <w:spacing w:after="0" w:line="271" w:lineRule="auto"/>
        <w:tabs>
          <w:tab w:leader="none" w:pos="1327"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disclosed on the Base Balance Sheet or notes thereto or securing liabilities reflected on the Base Balance Sheet or notes thereto;</w:t>
      </w:r>
    </w:p>
    <w:p>
      <w:pPr>
        <w:spacing w:after="0" w:line="151" w:lineRule="exact"/>
        <w:rPr>
          <w:rFonts w:ascii="Courier New" w:cs="Courier New" w:eastAsia="Courier New" w:hAnsi="Courier New"/>
          <w:sz w:val="14"/>
          <w:szCs w:val="14"/>
          <w:color w:val="auto"/>
        </w:rPr>
      </w:pPr>
    </w:p>
    <w:p>
      <w:pPr>
        <w:ind w:left="1420" w:hanging="542"/>
        <w:spacing w:after="0"/>
        <w:tabs>
          <w:tab w:leader="none" w:pos="142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being contested in good faith;</w:t>
      </w:r>
    </w:p>
    <w:p>
      <w:pPr>
        <w:spacing w:after="0" w:line="174" w:lineRule="exact"/>
        <w:rPr>
          <w:rFonts w:ascii="Courier New" w:cs="Courier New" w:eastAsia="Courier New" w:hAnsi="Courier New"/>
          <w:sz w:val="15"/>
          <w:szCs w:val="15"/>
          <w:color w:val="auto"/>
        </w:rPr>
      </w:pPr>
    </w:p>
    <w:p>
      <w:pPr>
        <w:ind w:left="440" w:right="3479" w:firstLine="438"/>
        <w:spacing w:after="0" w:line="264" w:lineRule="auto"/>
        <w:tabs>
          <w:tab w:leader="none" w:pos="1327"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materialman's, carrier's, repairer's and other similar Liens arising or incurred in the ordinary course of business or that are not yet due and payable or are being contested in good faith;</w:t>
      </w:r>
    </w:p>
    <w:p>
      <w:pPr>
        <w:spacing w:after="0" w:line="159" w:lineRule="exact"/>
        <w:rPr>
          <w:rFonts w:ascii="Courier New" w:cs="Courier New" w:eastAsia="Courier New" w:hAnsi="Courier New"/>
          <w:sz w:val="14"/>
          <w:szCs w:val="14"/>
          <w:color w:val="auto"/>
        </w:rPr>
      </w:pPr>
    </w:p>
    <w:p>
      <w:pPr>
        <w:ind w:left="440" w:right="3299" w:firstLine="438"/>
        <w:spacing w:after="0" w:line="238" w:lineRule="auto"/>
        <w:tabs>
          <w:tab w:leader="none" w:pos="1239"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since the Base Balance Sheet Date; or</w:t>
      </w:r>
    </w:p>
    <w:p>
      <w:pPr>
        <w:spacing w:after="0" w:line="174" w:lineRule="exact"/>
        <w:rPr>
          <w:rFonts w:ascii="Courier New" w:cs="Courier New" w:eastAsia="Courier New" w:hAnsi="Courier New"/>
          <w:sz w:val="15"/>
          <w:szCs w:val="15"/>
          <w:color w:val="auto"/>
        </w:rPr>
      </w:pPr>
    </w:p>
    <w:p>
      <w:pPr>
        <w:ind w:left="440" w:right="3119" w:firstLine="438"/>
        <w:spacing w:after="0" w:line="258" w:lineRule="auto"/>
        <w:tabs>
          <w:tab w:leader="none" w:pos="1327"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which do not materially detract, individually or in the aggregate, from the value of any property or any asset (paragraphs (i)-</w:t>
      </w:r>
    </w:p>
    <w:p>
      <w:pPr>
        <w:ind w:left="880" w:hanging="445"/>
        <w:spacing w:after="0"/>
        <w:tabs>
          <w:tab w:leader="none" w:pos="8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3.16 are, collectively, the "Permitted Liens").</w:t>
      </w:r>
    </w:p>
    <w:p>
      <w:pPr>
        <w:spacing w:after="0" w:line="174" w:lineRule="exact"/>
        <w:rPr>
          <w:sz w:val="20"/>
          <w:szCs w:val="20"/>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plant and equipment owned or used by the Company and the Included Subsidiaries are in good operating condition and repair and have been reasonably maintained consistent with standards generally followed in the industry (giving due account to the age and length of use of same, ordinary wear and tear excepted), are adequate and suitable for their present and intended uses and, in the case of buildings and other structures (including the roofs thereof), are structurally sound.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3.17. Insurance. Schedule 3.17 contains a list of all insurance policies and fidelity bonds maintained by or for the benefit of the Company and the Included Subsidiaries. There is no material claim by the Company or any Included Subsidiary pending under any of such policies or bonds relating to the assets, business, operations, employees, officers or directors of the Company or any Included Subsidiary as to which coverage has been questioned, denied or disputed by the underwriters of such policy or bond or in respect of which such underwriters have reserved their rights. To Sellers' Knowledge, there has been no occurrence that may form the basis for a material claim by or on behalf of the Company or any Included Subsidiary under any such policy or bond. All premiums payable under all such policies and bonds have been paid timely in all material respects, and the Company and the Included Subsidiaries have otherwise complied in all material respects with the terms and conditions of all such policies and bonds.</w:t>
      </w:r>
    </w:p>
    <w:p>
      <w:pPr>
        <w:spacing w:after="0" w:line="181"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SECTION 3.18. Intellectual Property. (a) Schedule 3.18 contains a list of all Intellectual Property Rights owned or licensed and used or held for use by the Company or any Included Subsidiary ("Company Intellectual Property Rights"), specifying as to each, as applicable: (i) the nature of such Intellectual</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192" w:name="page193"/>
    <w:bookmarkEnd w:id="192"/>
    <w:p>
      <w:pPr>
        <w:ind w:left="9" w:right="3119"/>
        <w:spacing w:after="0" w:line="261" w:lineRule="auto"/>
        <w:rPr>
          <w:sz w:val="20"/>
          <w:szCs w:val="20"/>
          <w:color w:val="auto"/>
        </w:rPr>
      </w:pPr>
      <w:r>
        <w:rPr>
          <w:rFonts w:ascii="Courier New" w:cs="Courier New" w:eastAsia="Courier New" w:hAnsi="Courier New"/>
          <w:sz w:val="14"/>
          <w:szCs w:val="14"/>
          <w:color w:val="auto"/>
        </w:rPr>
        <w:t>Property Right, (ii) the owner of such Intellectual Property Right, (iii) the jurisdictions by or in which such Intellectual Property Right (A) is recognized (without regard to registration) or (B) has been issued or registered or in which an application for such issuance or registration has been filed, (iv) the registration or application numbers and (v) the termination or expiration dates.</w:t>
      </w:r>
    </w:p>
    <w:p>
      <w:pPr>
        <w:spacing w:after="0" w:line="162" w:lineRule="exact"/>
        <w:rPr>
          <w:sz w:val="20"/>
          <w:szCs w:val="20"/>
          <w:color w:val="auto"/>
        </w:rPr>
      </w:pPr>
    </w:p>
    <w:p>
      <w:pPr>
        <w:ind w:left="9" w:right="3119" w:firstLine="435"/>
        <w:spacing w:after="0" w:line="259" w:lineRule="auto"/>
        <w:tabs>
          <w:tab w:leader="none" w:pos="808"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3.18 sets forth a list of all licenses, sublicenses and other agreements (other than licenses to use standard software applications and other commercially available licenses or use rights) as to which the Company or any Included Subsidiary is a party and pursuant to which any Person is authorized to use any Company Intellectual Property Right or pursuant to which the Company or any Included Subsidiary is authorized to use or practice the Intellectual Property Rights of any other Person, including (i) the identity of all parties thereto, (ii) a description of the nature and subject matter thereof, (iii) the applicable royalty and (iv) the term thereof. The Company is not, nor will it be as a result of the execution, delivery or performance of this Agreement by it or Sellers, be in violation of any licenses, sublicenses or other agreements as to which the Company or any Included Subsidiary is a party and pursuant to which the Company or any Included Subsidiary is authorized to use or practice any Intellectual Property Rights of any other Person.</w:t>
      </w:r>
    </w:p>
    <w:p>
      <w:pPr>
        <w:spacing w:after="0" w:line="163" w:lineRule="exact"/>
        <w:rPr>
          <w:rFonts w:ascii="Courier New" w:cs="Courier New" w:eastAsia="Courier New" w:hAnsi="Courier New"/>
          <w:sz w:val="14"/>
          <w:szCs w:val="14"/>
          <w:color w:val="auto"/>
        </w:rPr>
      </w:pPr>
    </w:p>
    <w:p>
      <w:pPr>
        <w:ind w:left="9" w:right="3219" w:firstLine="435"/>
        <w:spacing w:after="0" w:line="258" w:lineRule="auto"/>
        <w:tabs>
          <w:tab w:leader="none" w:pos="808"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as disclosed in Schedule 3.18, neither the Company nor any Included Subsidiary is a defendant in any action, suit, investigation or proceeding relating to, or otherwise has been notified of, any alleged claim of infringement of any Intellectual Property Right, and Sellers have no Knowledge of any other such infringement by the Company or any Included Subsidiary and</w:t>
      </w:r>
    </w:p>
    <w:p>
      <w:pPr>
        <w:ind w:left="9" w:right="3119" w:hanging="9"/>
        <w:spacing w:after="0"/>
        <w:tabs>
          <w:tab w:leader="none" w:pos="45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Sellers have any outstanding claim or suit for, nor any Knowledge of, any continuing infringement by any other Person of any Company Intellectual Property Rights. No Company Intellectual Property Right is subject to any outstanding judgment, injunction, order, decree or agreement restricting the use thereof by the Company or any Included Subsidiary or restricting the licensing thereof by the Company or any Included Subsidiary to any Person. Neither the Company nor any Included Subsidiary has entered into any agreement to indemnify any other Person against any charge of infringement of any Intellectual Property Right (other than any agency agreement entered into in the ordinary course of business consistent with past practices).</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3.19. Finders' Fees. There is no investment banker, broker, finder or other intermediary which has been retained by or is authorized to act on behalf of Sellers, Seller Guarantor or their Subsidiaries who might be entitled to any fee or commission from Buyer or any of its Affiliates or the Company in connection with the transactions contemplated by this Agreement.</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631" w:right="1440" w:bottom="1440" w:gutter="0" w:footer="0" w:header="0"/>
        </w:sectPr>
      </w:pPr>
    </w:p>
    <w:bookmarkStart w:id="193" w:name="page194"/>
    <w:bookmarkEnd w:id="193"/>
    <w:p>
      <w:pPr>
        <w:ind w:right="3119" w:firstLine="444"/>
        <w:spacing w:after="0"/>
        <w:rPr>
          <w:sz w:val="20"/>
          <w:szCs w:val="20"/>
          <w:color w:val="auto"/>
        </w:rPr>
      </w:pPr>
      <w:r>
        <w:rPr>
          <w:rFonts w:ascii="Courier New" w:cs="Courier New" w:eastAsia="Courier New" w:hAnsi="Courier New"/>
          <w:sz w:val="15"/>
          <w:szCs w:val="15"/>
          <w:color w:val="auto"/>
        </w:rPr>
        <w:t>SECTION 3.20. Labor Matters. Neither the Company nor any of the Included Subsidiaries is a party or otherwise bound by, or as of the date hereof is negotiating in connection with entering into, a collective bargaining agreement, contract or other agreement or understanding with a labor union or labor organization. The Company and the Included Subsidiaries are in compliance with all currently applicable laws respecting employment and employment practices, terms and conditions of employment and wages and hours, and are not engaged in any unfair labor practice, except for noncompliance with laws or engagement in practices which have not had and would not reasonably be expected to have a Material Adverse Effect on the Company Group. There is no unfair labor practice complaint pending or, to the Knowledge of Sellers, threatened against the Company or the Included Subsidiaries before the National Labor Relations Board, except for complaints made after the date of this Agreement which have not had and would not reasonably be expected to have a Material Adverse Effect on the Company Group.</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3.21. Employee Benefit Plans. (a) Schedule 3.21 identifies each Employee Plan. Each of the Sellers has delivered or made available to Buyer copies of the Employee Plans (and, if applicable, related trust agreements) and all amendments thereto and written interpretations thereof, together with the most recent annual report (Form 5500 including, if applicable, Schedule B thereto) and the most recent actuarial valuation report prepared in connection with any Employee Plan. Schedule 3.21 identifies each Employee Plan which is a Multiemployer Plan or a Title IV Plan or a plan which provides for post-retirement health, medical or life insurance benefits.</w:t>
      </w:r>
    </w:p>
    <w:p>
      <w:pPr>
        <w:spacing w:after="0" w:line="177" w:lineRule="exact"/>
        <w:rPr>
          <w:sz w:val="20"/>
          <w:szCs w:val="20"/>
          <w:color w:val="auto"/>
        </w:rPr>
      </w:pPr>
    </w:p>
    <w:p>
      <w:pPr>
        <w:ind w:right="311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Included Subsidiary has engaged in a transaction with respect to any Employee Plan that, assuming the taxable period of such transaction expired on the date hereof, is reasonably likely to subject the Company or any Included Subsidiary to a tax or penalty imposed by either Section 4975 of the Code or Section 502(i) of ERISA in an amount that would be material. Neither the Company nor any ERISA Affiliate of the Company has engaged in, or is a successor or parent corporation to an entity that has engaged in, a transaction described in Sections 4069 or 4212(c) of ERISA or incurred any liability under Title IV of ERISA arising in connection with the termination of, or a complete or partial withdrawal from, any plan covered or previously covered by Title IV of ERISA or any liability under Section 4971 of the Code that in either case could become a material liability of the Company or any Included Subsidiary or the Buyer or any of its ERISA Affiliates after the date hereof. No condition exists that would reasonably be expected to constitute grounds for termination by the PBGC of any employee benefit plan that is subject to Title IV of ERISA that is maintained by the Company, the Included Subsidiaries or any of their ERISA Affiliates. All material contributions required to be made by the Company or the</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194" w:name="page195"/>
    <w:bookmarkEnd w:id="194"/>
    <w:p>
      <w:pPr>
        <w:ind w:right="3119"/>
        <w:spacing w:after="0" w:line="259" w:lineRule="auto"/>
        <w:rPr>
          <w:sz w:val="20"/>
          <w:szCs w:val="20"/>
          <w:color w:val="auto"/>
        </w:rPr>
      </w:pPr>
      <w:r>
        <w:rPr>
          <w:rFonts w:ascii="Courier New" w:cs="Courier New" w:eastAsia="Courier New" w:hAnsi="Courier New"/>
          <w:sz w:val="14"/>
          <w:szCs w:val="14"/>
          <w:color w:val="auto"/>
        </w:rPr>
        <w:t>Included Subsidiaries under the terms of any Employee Plan or Benefit Arrangement have been timely made or have been reflected on the Base Balance Sheet. No Title IV plan nor any money-purchase pension plan of the Company or any ERISA Affiliate has an "accumulated funding deficiency" (whether or not waived) within the meaning of Section 412 of the Code. Under each Title IV Plan which is a single-employer plan, as of the last day of the most recent plan year ended prior to the date hereof, the actuarially determined present value of all "benefit liabilities", within the meaning of Section 4001(a)(16) of ERISA (as determined on the basis of the actuarial assumptions contained in the plan's most recent actuarial valuation) did not exceed the then market value of the assets of such plan, and there has been no material change in the financial condition of such plan since the last day of the most recent plan year.</w:t>
      </w:r>
    </w:p>
    <w:p>
      <w:pPr>
        <w:spacing w:after="0" w:line="165" w:lineRule="exact"/>
        <w:rPr>
          <w:sz w:val="20"/>
          <w:szCs w:val="20"/>
          <w:color w:val="auto"/>
        </w:rPr>
      </w:pPr>
    </w:p>
    <w:p>
      <w:pPr>
        <w:ind w:right="3119" w:firstLine="435"/>
        <w:spacing w:after="0" w:line="260" w:lineRule="auto"/>
        <w:tabs>
          <w:tab w:leader="none" w:pos="799"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Sellers has provided Buyer with the most recent determination letter of the Internal Revenue Service relating to each Employee Plan that is intended to be qualified under Section 401(a) of the Code, and, to the Knowledge of Sellers, no event has occurred since the date of such determination letter that is likely to adversely affect such qualified status. Each Employee Plan has been maintained in substantial compliance with its terms and with the requirements prescribed by any and all applicable statutes, orders, rules and regulations, including but not limited to ERISA and the Code.</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3.21 identifies each Benefit Arrangement. Each of the Sellers has delivered or made available to Buyer copies or descriptions of each Benefit Arrangement (and, if applicable, related trust agreements) and all amendments thereto. Each Benefit Arrangement has been maintained in substantial compliance with its terms and with the requirements prescribed by any and all applicable statutes, orders, rules and regulations and has been maintained in good standing with applicable regulatory authorities.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3.21, neither the Company nor any Included Subsidiary has any material current or projected liability in respect of post-employment or post-retirement health or medical or life insurance benefits for retired, former or current employees of the Company or the Included Subsidiaries, except as required to avoid excise tax under Section 4980B of the Code. The Company or any Included Subsidiary may amend or terminate any Employee Plan providing for such health, medical or life insurance benefits at any time without incurring any liability whatsoever.</w:t>
      </w:r>
    </w:p>
    <w:p>
      <w:pPr>
        <w:spacing w:after="0" w:line="176"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Schedule 3.21(f) and as contemplated by Article 9 hereof, the consummation of the transactions contemplated by this Agreement will not (x) entitle any Employees to severance pay or (y) accelerate the time of payment or vesting or trigger any payment or funding (through a</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95" w:name="page196"/>
    <w:bookmarkEnd w:id="195"/>
    <w:p>
      <w:pPr>
        <w:ind w:right="3579"/>
        <w:spacing w:after="0" w:line="239" w:lineRule="auto"/>
        <w:rPr>
          <w:sz w:val="20"/>
          <w:szCs w:val="20"/>
          <w:color w:val="auto"/>
        </w:rPr>
      </w:pPr>
      <w:r>
        <w:rPr>
          <w:rFonts w:ascii="Courier New" w:cs="Courier New" w:eastAsia="Courier New" w:hAnsi="Courier New"/>
          <w:sz w:val="15"/>
          <w:szCs w:val="15"/>
          <w:color w:val="auto"/>
        </w:rPr>
        <w:t>grantor trust or otherwise) of compensation or benefits under, increase the amount payable or trigger any other material obligation pursuant to, any Employee Plan or Benefit Arrangement.</w:t>
      </w:r>
    </w:p>
    <w:p>
      <w:pPr>
        <w:spacing w:after="0" w:line="175"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3.22. Environmental Matters. Except as disclosed on Schedule 3.22 and except as to matters that would not, individually or in the aggregate, reasonably be expected to have a Material Adverse Effect on the Company Group:</w:t>
      </w:r>
    </w:p>
    <w:p>
      <w:pPr>
        <w:spacing w:after="0" w:line="159" w:lineRule="exact"/>
        <w:rPr>
          <w:sz w:val="20"/>
          <w:szCs w:val="20"/>
          <w:color w:val="auto"/>
        </w:rPr>
      </w:pPr>
    </w:p>
    <w:p>
      <w:pPr>
        <w:ind w:right="3119" w:firstLine="435"/>
        <w:spacing w:after="0"/>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notice, request for information, order, complaint or penalty has been received, and there are no judicial, administrative or other actions, suits or proceedings pending or threatened which allege a violation of, or potential liability under, any Environmental Law, in each case relating to the Company or any Included Subsidiary and arising out of any Environmental Law;</w:t>
      </w:r>
    </w:p>
    <w:p>
      <w:pPr>
        <w:spacing w:after="0" w:line="174"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Included Subsidiary have all Environmental Permits necessary for their operations to comply with all applicable Environmental Laws and are in compliance with the terms of such Environmental Permits and with all other applicable Environmental Laws;</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written environmental audit, study, investigation, review or other material analysis conducted within the past five years by, or currently in the possession of, Sellers, Seller Guarantor, the Company or any Included Subsidiary of any property currently owned or leased by the Company or any Included Subsidiary which has not been delivered to Buyer prior to the Closing Date;</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currently or formerly owned or operated by the Company or any Included Subsidiary has been contaminated with any Hazardous Substance by the Company or any Included Subsidiary in a manner that would reasonably be expected to require remediation under any Environmental Law;</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Included Subsidiaries are not subject to any liability for any Hazardous Substance disposal or contamination on any property which would reasonably be expected to require remediation under any Environmental Law;</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Included Subsidiaries are not subject to any order, decree, injunction or other arrangement with any Governmental Body, or to any indemnity or other agreement with any third party which may lead to liability to the Company or any Included Subsidiary, in each case relating to any Environmental Law or any Hazardous Substance;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972" w:right="1440" w:bottom="1440" w:gutter="0" w:footer="0" w:header="0"/>
        </w:sectPr>
      </w:pPr>
    </w:p>
    <w:bookmarkStart w:id="196" w:name="page197"/>
    <w:bookmarkEnd w:id="196"/>
    <w:p>
      <w:pPr>
        <w:ind w:right="3119" w:firstLine="435"/>
        <w:spacing w:after="0" w:line="239" w:lineRule="auto"/>
        <w:tabs>
          <w:tab w:leader="none" w:pos="79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facility owned or operated by the Company or any Included Subsidiary contains any underground storage tanks, asbestos-containing material, or polychlorinated biphenyls, in each case in violation of any Environmental Law; and</w:t>
      </w:r>
    </w:p>
    <w:p>
      <w:pPr>
        <w:spacing w:after="0" w:line="176"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Standard Industrial Classification Code for the business operations for the Company and the Included Subsidiaries is 4812.</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3.23. Regulatory Matters. (a) The Company and the Included Subsidiaries hold all licenses, franchises, certificates, consents, permits, qualifications and authorizations (including, without limitation, FCC Licenses, and licenses, authorizations and certificates of public convenience and necessity from applicable state and local authorities) from all governmental authorities necessary for the lawful conduct of the Company's business (collectively, the "Licenses"), other than the Licenses the lack of which, individually or in the aggregate, has not had and would not reasonably be expected to have a Material Adverse Effect on the Company Group. Schedule 3.23 sets forth each certificate of convenience and necessity obtained by the Company or the Included Subsidiaries from any state public utilities commission. To the Sellers' Knowledge, no event has occurred or fact exists with respect to the Licenses (other than the requirement to file applications for renewal and obtain renewals in the ordinary course) which permits, or after notice or lapse of time or both would permit, revocation or termination of any of the Licenses or would result in any other impairment of the rights of the holder of any of the Licenses or which might limit the operation of the Cellular Telephone System as it is now conducted, except for revocations, limitations or terminations which, individually or in the aggregate have not had and would not reasonably be expected to have a Material Adverse Effect on the Company Group. The Company and the Included Subsidiaries have performed their respective obligations under such Licenses with such exceptions which, individually or in the aggregate, have not had and would not reasonably be expected to have a Material Adverse Effect on the Company Group. The FCC actions granting the FCC Licenses, together with all underlying construction permits have not been reversed, stayed, enjoined, annulled or suspended, and there is not pending or, to the Knowledge of Sellers, threatened, any application, petition, objection or other pleading with the FCC or other governmental entity which challenges or questions the validity of or any rights of the holder under any License, except for such reversals, stays, injunctions, annulments, suspensions, applications, petitions, objections or other pleadings, which have not had and would not reasonably be expected to have a Material Adverse Effect on the Company Group.</w:t>
      </w:r>
    </w:p>
    <w:p>
      <w:pPr>
        <w:spacing w:after="0" w:line="200" w:lineRule="exact"/>
        <w:rPr>
          <w:sz w:val="20"/>
          <w:szCs w:val="20"/>
          <w:color w:val="auto"/>
        </w:rPr>
      </w:pPr>
    </w:p>
    <w:p>
      <w:pPr>
        <w:spacing w:after="0" w:line="317" w:lineRule="exact"/>
        <w:rPr>
          <w:sz w:val="20"/>
          <w:szCs w:val="20"/>
          <w:color w:val="auto"/>
        </w:rPr>
      </w:pPr>
    </w:p>
    <w:p>
      <w:pPr>
        <w:ind w:right="3659" w:firstLine="435"/>
        <w:spacing w:after="0" w:line="271" w:lineRule="auto"/>
        <w:tabs>
          <w:tab w:leader="none" w:pos="799"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3.23, all of the cell sites and microwave paths of the Company and the Included Subsidiaries in respect of</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97" w:name="page198"/>
    <w:bookmarkEnd w:id="197"/>
    <w:p>
      <w:pPr>
        <w:ind w:left="9" w:right="3119"/>
        <w:spacing w:after="0"/>
        <w:rPr>
          <w:sz w:val="20"/>
          <w:szCs w:val="20"/>
          <w:color w:val="auto"/>
        </w:rPr>
      </w:pPr>
      <w:r>
        <w:rPr>
          <w:rFonts w:ascii="Courier New" w:cs="Courier New" w:eastAsia="Courier New" w:hAnsi="Courier New"/>
          <w:sz w:val="15"/>
          <w:szCs w:val="15"/>
          <w:color w:val="auto"/>
        </w:rPr>
        <w:t>which a filing with the FCC was required have been constructed and are currently operated in all material respects as represented to the FCC in currently effective filings, and, with such exceptions which have not had and would not reasonably be expected to have a Material Adverse Effect on the Company Group, modifications to such cell sites and microwave paths have been preceded by the submission to the FCC of all required filings.</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3.24. Assets of the Excluded Subsidiaries. The Excluded Subsidiaries have no title or interest in any property or assets (whether real, personal, tangible or intangible) other than (i) capital stock or other ownership interest in other Excluded Subsidiaries and (ii) a 51% general partnership interest in Comcast Directory Assistance Partnership, a Delaware general partnership.</w:t>
      </w:r>
    </w:p>
    <w:p>
      <w:pPr>
        <w:spacing w:after="0" w:line="175" w:lineRule="exact"/>
        <w:rPr>
          <w:sz w:val="20"/>
          <w:szCs w:val="20"/>
          <w:color w:val="auto"/>
        </w:rPr>
      </w:pPr>
    </w:p>
    <w:p>
      <w:pPr>
        <w:jc w:val="both"/>
        <w:ind w:left="9" w:right="3119" w:firstLine="444"/>
        <w:spacing w:after="0" w:line="258" w:lineRule="auto"/>
        <w:rPr>
          <w:sz w:val="20"/>
          <w:szCs w:val="20"/>
          <w:color w:val="auto"/>
        </w:rPr>
      </w:pPr>
      <w:r>
        <w:rPr>
          <w:rFonts w:ascii="Courier New" w:cs="Courier New" w:eastAsia="Courier New" w:hAnsi="Courier New"/>
          <w:sz w:val="14"/>
          <w:szCs w:val="14"/>
          <w:color w:val="auto"/>
        </w:rPr>
        <w:t>SECTION 3.25. Sufficiency of Transfers. Except as otherwise contemplated by this Agreement with respect to the Excluded Subsidiaries, the 38 GHz Facilities and the Seller Trademarks and Tradenames, the transactions contemplated by this Agreement shall transfer to Buyer all the assets, properties and rights that are</w:t>
      </w:r>
    </w:p>
    <w:p>
      <w:pPr>
        <w:spacing w:after="0" w:line="1" w:lineRule="exact"/>
        <w:rPr>
          <w:sz w:val="20"/>
          <w:szCs w:val="20"/>
          <w:color w:val="auto"/>
        </w:rPr>
      </w:pPr>
    </w:p>
    <w:p>
      <w:pPr>
        <w:ind w:left="9" w:right="3299" w:hanging="9"/>
        <w:spacing w:after="0" w:line="239" w:lineRule="auto"/>
        <w:tabs>
          <w:tab w:leader="none" w:pos="364"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used in connection with the business of the Company Group (other than properties or assets disposed of in the ordinary course of business consistent with past practices) and (ii) necessary to operate the business of the Company as it is being conducted as of the date hereof.</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3.26. Year 2000 Compliance. The Company has reviewed its operations and that of its Included Subsidiaries and any third parties with which the Company Group has a material relationship to evaluate the extent to which the business or operations of the Company will be affected by the Year 2000 Problem. As a result of such review, the Company has no reason to believe, and does not believe, that the Year 2000 Problem will have a Material Adverse Effect on the Company Group. The "Year 2000 Problem" as used herein means any significant risk that computer hardware or software used in the receipt, transmission, processing, manipulation, storage, retrieval, retransmission or other utilization of data or in the operation of mechanical or electrical systems of any kind will not, in the case of dates or time periods occurring after December 31, 1999, function at least as effectively as in the case of dates or time periods occurring prior to January 1, 2000.</w:t>
      </w:r>
    </w:p>
    <w:p>
      <w:pPr>
        <w:spacing w:after="0" w:line="180"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3.27. No Other Representations and Warranties. Except for representations and warranties contained in this Agreement, none of Sellers, Seller Guarantor, their Affiliates, or any other Person makes any other express or implied representation or warranty on behalf of Sellers or Seller Guarantor to Buyer.</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31" w:right="1440" w:bottom="1440" w:gutter="0" w:footer="0" w:header="0"/>
        </w:sectPr>
      </w:pPr>
    </w:p>
    <w:bookmarkStart w:id="198" w:name="page199"/>
    <w:bookmarkEnd w:id="198"/>
    <w:p>
      <w:pPr>
        <w:jc w:val="center"/>
        <w:ind w:right="3039"/>
        <w:spacing w:after="0"/>
        <w:rPr>
          <w:sz w:val="20"/>
          <w:szCs w:val="20"/>
          <w:color w:val="auto"/>
        </w:rPr>
      </w:pPr>
      <w:r>
        <w:rPr>
          <w:rFonts w:ascii="Courier New" w:cs="Courier New" w:eastAsia="Courier New" w:hAnsi="Courier New"/>
          <w:sz w:val="15"/>
          <w:szCs w:val="15"/>
          <w:color w:val="auto"/>
        </w:rPr>
        <w:t>ARTICLE 4</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REPRESENTATIONS AND WARRANTIES OF BUYER</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Buyer represents and warrants to Sellers and Seller Guarantor as of the date hereof and as of the Closing Date, that: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4.01. Corporate Existence and Power. Buyer is a corporation validly existing and in good standing under the laws of its jurisdiction of incorporation and has all requisite corporate powers to perform its obligations under this Agreement.</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4.02. Corporate Authorization. The execution, delivery and performance by Buyer of this Agreement have been duly authorized by all necessary corporate action on the part of Buyer. This Agreement constitutes a valid and binding agreement of Buyer enforceable in accordance with its terms, except as (i) the enforceability hereof may be limited by bankruptcy, insolvency, moratorium or other similar laws affecting creditors' rights generally and (ii) the availability of equitable remedies may be limited by equitable principles of general applicability.</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4.03. Governmental Authorization. The execution, delivery and performance by Buyer of this Agreement require no action by or in respect of, or filing with, any governmental body, agency, or official other than (i) compliance with any applicable requirements of the HSR Act; (ii) compliance with any applicable requirements imposed by any state public utilities commissions or similar state regulatory bodies having jurisdiction over Buyer or its Subsidiaries; (iii) compliance with any applicable requirements of the FCC and of the Communications Act; and (iv) actions or filings the failure of which to occur have not had and would not reasonably be expected to have, individually or in the aggregate, a Material Adverse Effect on Buyer and its Subsidiaries, taken as a whole, or materially delay the ability of Buyer to perform its obligations under this Agreement. Except as set forth in Schedule 4.03, Buyer is not required to seek or obtain the waiver of any rules or policies of the FCC or to divest itself of any of its present holdings to qualify to hold the FCC Licenses or to obtain the FCC consents required in order to consummate the transactions contemplated by this Agreement.</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4.04. Non-Contravention. Except as disclosed in Schedule 4.03, the execution, delivery and performance by Buyer of this Agreement does not and will not (i) violate the certificate of incorporation or bylaws of Buyer, (ii) assuming compliance with the matters referred to in Section 4.03, violate any applicable law, rule, regulation, judgment, injunction, order or decree, except for violations which have not had and would not reasonably be expected to have a</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8" w:right="1440" w:bottom="1440" w:gutter="0" w:footer="0" w:header="0"/>
        </w:sectPr>
      </w:pPr>
    </w:p>
    <w:bookmarkStart w:id="199" w:name="page200"/>
    <w:bookmarkEnd w:id="199"/>
    <w:p>
      <w:pPr>
        <w:ind w:right="3119"/>
        <w:spacing w:after="0"/>
        <w:rPr>
          <w:sz w:val="20"/>
          <w:szCs w:val="20"/>
          <w:color w:val="auto"/>
        </w:rPr>
      </w:pPr>
      <w:r>
        <w:rPr>
          <w:rFonts w:ascii="Courier New" w:cs="Courier New" w:eastAsia="Courier New" w:hAnsi="Courier New"/>
          <w:sz w:val="15"/>
          <w:szCs w:val="15"/>
          <w:color w:val="auto"/>
        </w:rPr>
        <w:t>Material Adverse Effect on Buyer, or (iii) require any consent or other action by any Person under, constitute a default under, or give rise to any right of termination, cancellation or acceleration of any right or obligation of Buyer or to a loss of any benefit to which Buyer is entitled under, any agreement or other instrument binding upon Buyer or any license, franchise, permit or other similar authorization held by Buyer, except for consents, actions, defaults, terminations, cancellations, accelerations or losses which, individually or in the aggregate, have not had and would not reasonably be expected to have a Material Adverse Effect on Buyer and its Subsidiaries, taken as a whole.</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4.05. Litigation. There is no action, suit, investigation or proceeding pending against, or to the knowledge of Buyer threatened against or affecting, Buyer, or its Subsidiaries or any of their respective properties before any court or arbitrator or any governmental body, agency or official (a) which, individually or in the aggregate, has had or would reasonably be expected to have a Material Adverse Effect on the Buyer and its Subsidiaries, taken as a whole or (b) which in any manner challenges or seeks to prevent, enjoin, alter or materially delay, or which could reasonably be expected to prevent, alter or materially delay, the transactions contemplated by this Agreement.</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4.06. Compliance with Laws and Court Orders; No Defaults. (a) Neither Buyer nor any of its Subsidiaries is in violation of any applicable law, rule, regulation, judgment, injunction, order or decree, except for violations which have not had and would not reasonably be expected to have, individually or in the aggregate, a Material Adverse Effect on Buyer and its Subsidiaries, taken as a whole.</w:t>
      </w:r>
    </w:p>
    <w:p>
      <w:pPr>
        <w:spacing w:after="0" w:line="175" w:lineRule="exact"/>
        <w:rPr>
          <w:sz w:val="20"/>
          <w:szCs w:val="20"/>
          <w:color w:val="auto"/>
        </w:rPr>
      </w:pPr>
    </w:p>
    <w:p>
      <w:pPr>
        <w:ind w:right="3219" w:firstLine="435"/>
        <w:spacing w:after="0"/>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Buyer nor any of its Subsidiaries is in default under, and no condition exists that with notice or lapse of time or both would constitute a default under, any agreement or other instrument binding upon Buyer or its Subsidiaries or any license, franchise, permit or similar authorization held by Buyer or its Subsidiaries, except for defaults or potential defaults which have not had and would not reasonably be expected to have, individually or in the aggregate, a Material Adverse Effect on Buyer and its Subsidiaries, taken as a whole.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4.07. Finders' Fees. Except for Salomon Smith Barney Inc., whose fees will be paid by Buyer, there is no investment banker, broker, finder or other intermediary which has been retained by or is authorized to act on behalf of Buyer or its Subsidiaries who might be entitled to any fee or commission from Sellers, Seller Guarantor or any of their Affiliates in connection with the transactions contemplated by this Agreement.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200" w:name="page201"/>
    <w:bookmarkEnd w:id="200"/>
    <w:p>
      <w:pPr>
        <w:ind w:right="3119" w:firstLine="444"/>
        <w:spacing w:after="0" w:line="260" w:lineRule="auto"/>
        <w:rPr>
          <w:sz w:val="20"/>
          <w:szCs w:val="20"/>
          <w:color w:val="auto"/>
        </w:rPr>
      </w:pPr>
      <w:r>
        <w:rPr>
          <w:rFonts w:ascii="Courier New" w:cs="Courier New" w:eastAsia="Courier New" w:hAnsi="Courier New"/>
          <w:sz w:val="14"/>
          <w:szCs w:val="14"/>
          <w:color w:val="auto"/>
        </w:rPr>
        <w:t>SECTION 4.08. Purchase for Investment. Buyer is purchasing the Shares for investment for its own account and not with a view to, or for sale in connection with, any distribution thereof. Buyer (either alone or together with its advisors) has sufficient knowledge and experience in financial and business matters so as to be capable of evaluating the merits and risks of its investment in the Shares and is capable of bearing the economic risks of such investment.</w:t>
      </w:r>
    </w:p>
    <w:p>
      <w:pPr>
        <w:spacing w:after="0" w:line="16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SECTION 4.09. No Other Representations and Warranties. Except for representations and warranties contained in this Agreement, none of Buyer, its Affiliates, or any other Person makes any other express or implied representation or warranty on behalf of Buyer to Sellers or Seller Guarantor.</w:t>
      </w:r>
    </w:p>
    <w:p>
      <w:pPr>
        <w:spacing w:after="0" w:line="200" w:lineRule="exact"/>
        <w:rPr>
          <w:sz w:val="20"/>
          <w:szCs w:val="20"/>
          <w:color w:val="auto"/>
        </w:rPr>
      </w:pPr>
    </w:p>
    <w:p>
      <w:pPr>
        <w:spacing w:after="0" w:line="29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5</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COVENANTS OF SELLERS AND SELLER GUARANTOR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Sellers and Seller Guarantor agree, jointly and severally, that: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5.01. Conduct of the Company. Except as otherwise contemplated by this Agreement, from the date hereof until the Closing Date, Sellers shall use their reasonable best efforts to cause the Company and each of the Included Subsidiaries to conduct its businesses in the ordinary course consistent with past practices, to preserve intact the Company's and the Included Subsidiaries' business organization and to maintain their existing relations and goodwill with customers, suppliers, distributors, creditors, lessors, employees and business associates. Without limiting the generality of the foregoing, except as otherwise contemplated by this Agreement, from the date hereof until the Closing Date, Sellers will not permit the Company or any Included Subsidiary to:</w:t>
      </w:r>
    </w:p>
    <w:p>
      <w:pPr>
        <w:spacing w:after="0" w:line="163" w:lineRule="exact"/>
        <w:rPr>
          <w:sz w:val="20"/>
          <w:szCs w:val="20"/>
          <w:color w:val="auto"/>
        </w:rPr>
      </w:pPr>
    </w:p>
    <w:p>
      <w:pPr>
        <w:ind w:left="780" w:hanging="345"/>
        <w:spacing w:after="0"/>
        <w:tabs>
          <w:tab w:leader="none" w:pos="7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its Organizational Documents;</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assets of any other Person with a value in excess of $5,000,000, except for such transactions among the Company and the wholly-owned Included Subsidiaries;</w:t>
      </w:r>
    </w:p>
    <w:p>
      <w:pPr>
        <w:spacing w:after="0" w:line="175"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any term of any outstanding security of the Company or any of the Included Subsidiaries;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encumber, or authorize the issuance, sale, pledge, disposition, grant, transfer, lease, license, guarantee or encumbrance of, any shares of capital stock of the Company or any of the Included Subsidiaries (other than the issuance of shares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201" w:name="page202"/>
    <w:bookmarkEnd w:id="201"/>
    <w:p>
      <w:pPr>
        <w:ind w:right="3219"/>
        <w:spacing w:after="0" w:line="260" w:lineRule="auto"/>
        <w:rPr>
          <w:sz w:val="20"/>
          <w:szCs w:val="20"/>
          <w:color w:val="auto"/>
        </w:rPr>
      </w:pPr>
      <w:r>
        <w:rPr>
          <w:rFonts w:ascii="Courier New" w:cs="Courier New" w:eastAsia="Courier New" w:hAnsi="Courier New"/>
          <w:sz w:val="14"/>
          <w:szCs w:val="14"/>
          <w:color w:val="auto"/>
        </w:rPr>
        <w:t>by a wholly owned Included Subsidiary of the Company to the Company or another wholly owned Included Subsidiary), or securities convertible or exchangeable or exercisable for any shares of such capital stock, or any options, warrants or other rights of any kind to acquire any shares of such capital stock or such convertible or exchangeable securities, or any other ownership interest of the Company or any of the Included Subsidiaries, any property or assets (including, without limitation, by merger, consolidation, spinoff or other dispositions of stock or assets) of the Company or any of the Included Subsidiaries;</w:t>
      </w:r>
    </w:p>
    <w:p>
      <w:pPr>
        <w:spacing w:after="0" w:line="161" w:lineRule="exact"/>
        <w:rPr>
          <w:sz w:val="20"/>
          <w:szCs w:val="20"/>
          <w:color w:val="auto"/>
        </w:rPr>
      </w:pPr>
    </w:p>
    <w:p>
      <w:pPr>
        <w:ind w:right="3299" w:firstLine="435"/>
        <w:spacing w:after="0" w:line="238" w:lineRule="auto"/>
        <w:tabs>
          <w:tab w:leader="none" w:pos="79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or incur any material Lien on any material asset other than in the ordinary course of business consistent with past practices;</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loan, advance or capital contributions to or</w:t>
      </w:r>
    </w:p>
    <w:p>
      <w:pPr>
        <w:spacing w:after="0" w:line="3" w:lineRule="exact"/>
        <w:rPr>
          <w:rFonts w:ascii="Courier New" w:cs="Courier New" w:eastAsia="Courier New" w:hAnsi="Courier New"/>
          <w:sz w:val="15"/>
          <w:szCs w:val="15"/>
          <w:color w:val="auto"/>
        </w:rPr>
      </w:pPr>
    </w:p>
    <w:p>
      <w:pPr>
        <w:jc w:val="both"/>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any Person other than loans, advances or capital contributions to or investments in wholly owned Included Subsidiaries made in the ordinary course consistent with past practices;</w:t>
      </w:r>
    </w:p>
    <w:p>
      <w:pPr>
        <w:spacing w:after="0" w:line="175"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for dividends paid (x) by any direct or indirect wholly owned Included Subsidiary to the Company or to any other direct or indirect wholly owned Included Subsidiary or (y) pursuant to the Tax Sharing Agreement) or enter into any agreement with respect to the voting of its capital stock;</w:t>
      </w:r>
    </w:p>
    <w:p>
      <w:pPr>
        <w:spacing w:after="0" w:line="163" w:lineRule="exact"/>
        <w:rPr>
          <w:rFonts w:ascii="Courier New" w:cs="Courier New" w:eastAsia="Courier New" w:hAnsi="Courier New"/>
          <w:sz w:val="14"/>
          <w:szCs w:val="14"/>
          <w:color w:val="auto"/>
        </w:rPr>
      </w:pPr>
    </w:p>
    <w:p>
      <w:pPr>
        <w:ind w:right="3219" w:firstLine="435"/>
        <w:spacing w:after="0" w:line="238" w:lineRule="auto"/>
        <w:tabs>
          <w:tab w:leader="none" w:pos="79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its capital stock;</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incur any indebtedness for borrowed money or guarantee such indebtedness of another Person, or issue or sell any debt securities or warrants or other rights to acquire any debt security of the Company or any of the Included Subsidiaries, except for indebtedness for borrowed money incurred in the ordinary course of business consistent with past practices or in connection with transactions otherwise permitted under this Section 5.01, or (ii) terminate, cancel, waive any rights under or request any material change in, or agree to any material change in, any contract or agreement material to the Company Group or, except in connection with transactions permitted under this Section 5.01, enter into any contract or agreement material to the business, results of operations or financial condition of the Company Group, in either case other than in the ordinary course of business consistent with past practices;</w:t>
      </w:r>
    </w:p>
    <w:p>
      <w:pPr>
        <w:spacing w:after="0" w:line="180" w:lineRule="exact"/>
        <w:rPr>
          <w:rFonts w:ascii="Courier New" w:cs="Courier New" w:eastAsia="Courier New" w:hAnsi="Courier New"/>
          <w:sz w:val="15"/>
          <w:szCs w:val="15"/>
          <w:color w:val="auto"/>
        </w:rPr>
      </w:pPr>
    </w:p>
    <w:p>
      <w:pPr>
        <w:ind w:right="3299" w:firstLine="435"/>
        <w:spacing w:after="0" w:line="271" w:lineRule="auto"/>
        <w:tabs>
          <w:tab w:leader="none" w:pos="799"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202" w:name="page203"/>
    <w:bookmarkEnd w:id="202"/>
    <w:p>
      <w:pPr>
        <w:ind w:right="3659"/>
        <w:spacing w:after="0" w:line="238" w:lineRule="auto"/>
        <w:rPr>
          <w:sz w:val="20"/>
          <w:szCs w:val="20"/>
          <w:color w:val="auto"/>
        </w:rPr>
      </w:pPr>
      <w:r>
        <w:rPr>
          <w:rFonts w:ascii="Courier New" w:cs="Courier New" w:eastAsia="Courier New" w:hAnsi="Courier New"/>
          <w:sz w:val="15"/>
          <w:szCs w:val="15"/>
          <w:color w:val="auto"/>
        </w:rPr>
        <w:t>practice or except as required by changes in generally accepted accounting principles;</w:t>
      </w:r>
    </w:p>
    <w:p>
      <w:pPr>
        <w:spacing w:after="0" w:line="175" w:lineRule="exact"/>
        <w:rPr>
          <w:sz w:val="20"/>
          <w:szCs w:val="20"/>
          <w:color w:val="auto"/>
        </w:rPr>
      </w:pPr>
    </w:p>
    <w:p>
      <w:pPr>
        <w:jc w:val="both"/>
        <w:ind w:right="3299" w:firstLine="435"/>
        <w:spacing w:after="0" w:line="239" w:lineRule="auto"/>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Tax election or take any position on any Tax Return filed on or after the date of this Agreement or adopt any method therefor that is inconsistent with elections made, positions taken or methods used in preparing or filing similar Tax Returns in prior periods;</w:t>
      </w:r>
    </w:p>
    <w:p>
      <w:pPr>
        <w:spacing w:after="0" w:line="176"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be required by contractual commitments or corporate policies with respect to severance pay in existence on the date hereof, (i) increase the compensation payable or to become payable to its officers or employees (except for increases in the ordinary course of business and consistent with past practice in salaries or wages of employees of the Company or any of the Included Subsidiaries), (ii) establish, adopt, enter into or amend any collective bargaining, bonus, profit sharing, thrift, compensation, employment, termination, severance or other plan, agreement, trust, fund, policy or arrangement for the benefit of any director, officer or employee, except to the extent required by applicable law, or (iii) increase the benefits payable under any existing severance pay policies or employment or other agreements;</w:t>
      </w:r>
    </w:p>
    <w:p>
      <w:pPr>
        <w:spacing w:after="0" w:line="16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assets, or any ownership interest in any assets:</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23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are used to provide any new information services or electronic publishing services that Buyer could not provide after the Closing on account of or in compliance with Sections 271 and 272 of the Communications Act;</w:t>
      </w:r>
    </w:p>
    <w:p>
      <w:pPr>
        <w:spacing w:after="0" w:line="176"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are used in the provision of any telecommunications services in any of the following states: California, Texas, Missouri, Oklahoma, Kansas, Arkansas, Nevada, Connecticut, Illinois, Indiana, Michigan, Ohio and Wisconsin; and</w:t>
      </w:r>
    </w:p>
    <w:p>
      <w:pPr>
        <w:spacing w:after="0" w:line="176" w:lineRule="exact"/>
        <w:rPr>
          <w:rFonts w:ascii="Courier New" w:cs="Courier New" w:eastAsia="Courier New" w:hAnsi="Courier New"/>
          <w:sz w:val="15"/>
          <w:szCs w:val="15"/>
          <w:color w:val="auto"/>
        </w:rPr>
      </w:pPr>
    </w:p>
    <w:p>
      <w:pPr>
        <w:ind w:left="440" w:right="3659" w:firstLine="438"/>
        <w:spacing w:after="0" w:line="238" w:lineRule="auto"/>
        <w:tabs>
          <w:tab w:leader="none" w:pos="1416"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are used in the provision of local exchange telephone service in any state in the United States;</w:t>
      </w:r>
    </w:p>
    <w:p>
      <w:pPr>
        <w:spacing w:after="0" w:line="174"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the conduct of any business in any state other than the businesses conducted as of the date hereof and in the states where so conducted; or</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SECTION 5.02. Access to Information. (a) From the date hereof until the Closing Date, each of the Sellers will upon reasonable notice (i) give, and will</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203" w:name="page204"/>
    <w:bookmarkEnd w:id="203"/>
    <w:p>
      <w:pPr>
        <w:ind w:right="3119"/>
        <w:spacing w:after="0"/>
        <w:rPr>
          <w:sz w:val="20"/>
          <w:szCs w:val="20"/>
          <w:color w:val="auto"/>
        </w:rPr>
      </w:pPr>
      <w:r>
        <w:rPr>
          <w:rFonts w:ascii="Courier New" w:cs="Courier New" w:eastAsia="Courier New" w:hAnsi="Courier New"/>
          <w:sz w:val="15"/>
          <w:szCs w:val="15"/>
          <w:color w:val="auto"/>
        </w:rPr>
        <w:t>cause the Company and each Included Subsidiary to give, Buyer, its counsel, financial advisors, auditors and other authorized representatives full access to the offices, properties, books and records of the Company and the Included Subsidiaries and to the books and records of Sellers or Seller Guarantor relating to the Company and the Included Subsidiaries, (ii) furnish, and will cause the Company and each Included Subsidiary to furnish, to Buyer, its counsel, financial advisors, auditors and other authorized representatives such financial and operating data and other information relating to the Company or the Included Subsidiaries as such Persons may reasonably request and (iii) instruct the employees, counsel and financial advisors of Sellers, the Seller Guarantor, the Company or the Included Subsidiaries to cooperate with Buyer in its investigation of the Company or the Included Subsidiaries. Any investigation pursuant to this Section shall be conducted in such manner as not to interfere unreasonably with the conduct of the business of Sellers, Seller Guarantor or the Company. Notwithstanding the foregoing, Buyer shall not have access to personnel records of the Company and the Included Subsidiaries relating to individual performance or evaluation records, medical histories or other information which in Sellers' good faith opinion is sensitive or the disclosure of which could subject the Company or any Included Subsidiary to risk of liability.</w:t>
      </w:r>
    </w:p>
    <w:p>
      <w:pPr>
        <w:spacing w:after="0" w:line="186" w:lineRule="exact"/>
        <w:rPr>
          <w:sz w:val="20"/>
          <w:szCs w:val="20"/>
          <w:color w:val="auto"/>
        </w:rPr>
      </w:pPr>
    </w:p>
    <w:p>
      <w:pPr>
        <w:ind w:right="3119" w:firstLine="435"/>
        <w:spacing w:after="0" w:line="259" w:lineRule="auto"/>
        <w:tabs>
          <w:tab w:leader="none" w:pos="799"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Closing Date, each of the Sellers will afford promptly to Buyer and its agents reasonable access to its books of account, financial and other records (including, without limitation, accountant's work papers), information, employees and auditors to the extent necessary or useful for Buyer in connection with any audit, investigation, dispute or litigation or any other reasonable business purpose relating to the Company or any Included Subsidiary; provided that any such access by Buyer shall not unreasonably interfere with the conduct of the business of such Seller. Buyer shall bear all of the out-of-pocket costs and expenses (including, without limitation, attorneys' fees, but excluding reimbursement for general overhead, salaries and employee benefits) reasonably incurred in connection with the foregoing.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5.03. Notices of Certain Events. Holdings shall promptly notify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of:</w:t>
      </w:r>
    </w:p>
    <w:p>
      <w:pPr>
        <w:spacing w:after="0" w:line="174" w:lineRule="exact"/>
        <w:rPr>
          <w:sz w:val="20"/>
          <w:szCs w:val="20"/>
          <w:color w:val="auto"/>
        </w:rPr>
      </w:pPr>
    </w:p>
    <w:p>
      <w:pPr>
        <w:ind w:right="3119" w:firstLine="435"/>
        <w:spacing w:after="0" w:line="239" w:lineRule="auto"/>
        <w:tabs>
          <w:tab w:leader="none" w:pos="79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204" w:name="page205"/>
    <w:bookmarkEnd w:id="204"/>
    <w:p>
      <w:pPr>
        <w:ind w:right="3299" w:firstLine="435"/>
        <w:spacing w:after="0" w:line="239" w:lineRule="auto"/>
        <w:tabs>
          <w:tab w:leader="none" w:pos="79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contact with any Person seeking to act as a bargaining representative for a labor union or any other labor organization (in each case with respect to the employees of the Company or any Included Subsidiary) that comes to the Knowledge of Sellers; and</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its Knowledge, threatened against either Seller, the Company or the Included Subsidiaries that, if pending on the date of this Agreement, would have been required to have been disclosed pursuant to Section 3.13 or that relate to the consummation of the transactions contemplated by this Agreement.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5.04. Resignations. Sellers will deliver to Buyer the resignations of all officers and directors of the Company and each Included Subsidiary who will be officers, directors or employees of Seller Guarantor or any of its Affiliates after the Closing Date from their positions with the Company or any Included Subsidiary at or prior to the Closing Date.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5.05. Non-competition. (a) Seller Guarantor agrees that for a period of three years after the Closing Date, neither it nor any of its Subsidiaries shall engage, as a principal or as stockholder in any corporation, in marketing (whether as principal, agent or reseller) any Cellular Telephone System within any area served by any Cellular Telephone System owned or managed by the Company or its Subsidiaries as of the Closing Date and transferred to Buyer at the Closing (the "Restricted Activities"); provided that (i) Seller Guarantor or any of its Affiliates may operate under an agency agreement with Buyer or one of its Affiliates to sell, as an agent, services provided by the Cellular Telephone Systems on terms consistent with the terms offered on the date hereof by the Company or its Affiliates to agents of the Cellular Telephone Systems of comparable size and significance, (ii) nothing in this Agreement shall prohibit or restrict Seller Guarantor, directly or indirectly, from (a) acquiring or owning any equity or other ownership interest in any Person that engages, directly or indirectly, in any Restricted Activity if (A) such Restricted Activities account for less than 15% of such Person's total annual revenues, (B) Seller Guarantor divests any assets engaged in the Restricted Activities within 12 months of acquiring such business or assets and (C) during such 12-month period Seller Guarantor shall not use (x) the name "Comcast" (or any name including the name "Comcast") or (y) any Seller Trademarks and Tradenames in such Restricted Activities; (b) acquiring any assets of a business that engages, directly or indirectly, in any Restricted Activity if (A) such Restricted Activities account for less than 15% of such assets' total annual revenues, (B) Seller Guarantor divests any assets engaged in the Restricted Activities within 12 months of acquiring such business or assets and (C) during such 12-month period Seller Guarantor shall not use (x) the name "Comcast" (or any name including the name "Comcast") or (y) any Seller</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205" w:name="page206"/>
    <w:bookmarkEnd w:id="205"/>
    <w:p>
      <w:pPr>
        <w:ind w:left="9" w:right="3299"/>
        <w:spacing w:after="0" w:line="258" w:lineRule="auto"/>
        <w:rPr>
          <w:sz w:val="20"/>
          <w:szCs w:val="20"/>
          <w:color w:val="auto"/>
        </w:rPr>
      </w:pPr>
      <w:r>
        <w:rPr>
          <w:rFonts w:ascii="Courier New" w:cs="Courier New" w:eastAsia="Courier New" w:hAnsi="Courier New"/>
          <w:sz w:val="14"/>
          <w:szCs w:val="14"/>
          <w:color w:val="auto"/>
        </w:rPr>
        <w:t>Trademarks and Tradenames in such Restricted Activities; (c) owning any equity securities beneficially owned by Seller Guarantor as of the date hereof and listed on Schedule 5.05 or any securities into which such securities may be converted or exchanged (it being understood that Seller Guarantor will not actively participate in the management of any Person listed on Schedule 5.05);</w:t>
      </w:r>
    </w:p>
    <w:p>
      <w:pPr>
        <w:spacing w:after="0" w:line="1" w:lineRule="exact"/>
        <w:rPr>
          <w:sz w:val="20"/>
          <w:szCs w:val="20"/>
          <w:color w:val="auto"/>
        </w:rPr>
      </w:pPr>
    </w:p>
    <w:p>
      <w:pPr>
        <w:ind w:left="9" w:right="3399" w:hanging="9"/>
        <w:spacing w:after="0" w:line="239" w:lineRule="auto"/>
        <w:tabs>
          <w:tab w:leader="none" w:pos="36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or owning less than 5% of a class of the outstanding publicly listed equity securities of any Person (whether or not such Person engages in any Restricted Activities).</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contained in this section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to provide for a covenant having the maximum enforceable geographic area, time period and other provisions (not greater than those contained herein) as shall be valid and enforceable under such applicable law. Seller Guarantor acknowledges that Buyer would be irreparably harmed by any breach of this section and that there would be no adequate remedy at law or in damages to compensate Buyer for any such breach. Seller Guarantor agrees that Buyer shall be entitled to injunctive relief requiring specific performance by Seller Guarantor of this Section, and Seller Guarantor consents to the entry thereof.</w:t>
      </w:r>
    </w:p>
    <w:p>
      <w:pPr>
        <w:spacing w:after="0" w:line="18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5.06. Transfer of the Excluded Subsidiaries. Prior to or concurrently with the Closing, Sellers shall cause the Company and the Included Subsidiaries to transfer all of the capital stock of the Excluded Subsidiaries owned by the Company or its Subsidiaries to one or more of the Affiliates of Holdings. The parties hereto agree that any such transfer may be implemented prior to the Closing Date by the transferees purchasing such capital stock for cash consideration to be determined by Sellers. Sellers shall use their commercially reasonable efforts to cause such transfers to be consummated on the terms which result in the Company and the Included Subsidiaries not incurring any liabilities upon the consummation of such transfers.</w:t>
      </w:r>
    </w:p>
    <w:p>
      <w:pPr>
        <w:spacing w:after="0" w:line="166" w:lineRule="exact"/>
        <w:rPr>
          <w:sz w:val="20"/>
          <w:szCs w:val="20"/>
          <w:color w:val="auto"/>
        </w:rPr>
      </w:pPr>
    </w:p>
    <w:p>
      <w:pPr>
        <w:ind w:left="9" w:right="3399" w:firstLine="444"/>
        <w:spacing w:after="0" w:line="264" w:lineRule="auto"/>
        <w:rPr>
          <w:sz w:val="20"/>
          <w:szCs w:val="20"/>
          <w:color w:val="auto"/>
        </w:rPr>
      </w:pPr>
      <w:r>
        <w:rPr>
          <w:rFonts w:ascii="Courier New" w:cs="Courier New" w:eastAsia="Courier New" w:hAnsi="Courier New"/>
          <w:sz w:val="14"/>
          <w:szCs w:val="14"/>
          <w:color w:val="auto"/>
        </w:rPr>
        <w:t>SECTION 5.07. Intercompany Accounts. All intercompany accounts between Sellers or their Affiliates, on the one hand, and the Company or any Included Subsidiary, on the other hand, shall be paid in full in cash or otherwise</w:t>
      </w:r>
    </w:p>
    <w:p>
      <w:pPr>
        <w:spacing w:after="0" w:line="32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631" w:right="1440" w:bottom="1440" w:gutter="0" w:footer="0" w:header="0"/>
        </w:sectPr>
      </w:pPr>
    </w:p>
    <w:bookmarkStart w:id="206" w:name="page207"/>
    <w:bookmarkEnd w:id="206"/>
    <w:p>
      <w:pPr>
        <w:ind w:right="3299"/>
        <w:spacing w:after="0" w:line="238" w:lineRule="auto"/>
        <w:rPr>
          <w:sz w:val="20"/>
          <w:szCs w:val="20"/>
          <w:color w:val="auto"/>
        </w:rPr>
      </w:pPr>
      <w:r>
        <w:rPr>
          <w:rFonts w:ascii="Courier New" w:cs="Courier New" w:eastAsia="Courier New" w:hAnsi="Courier New"/>
          <w:sz w:val="15"/>
          <w:szCs w:val="15"/>
          <w:color w:val="auto"/>
        </w:rPr>
        <w:t>fully discharged at or prior to the Closing Date (irrespective of the terms of payment of such intercompany accounts).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5.08. Nonsolicitation. Subject to the last three sentences of this Section 5.08, Seller Guarantor, on behalf of itself and its Affiliates, hereby agrees that from and after the date hereof until the second anniversary of the Closing Date neither Seller Guarantor nor any of its Affiliates shall hire or solicit for employment (or hire any third party intermediary to do the same) any employee that as of the date hereof is an employee of the Company or is listed on Schedule 5.08 hereto; provided, that nothing in this Section 5.08 shall prevent Seller Guarantor from (x) engaging in a general solicitation for employment that is not specifically directed at any employees of the Company or any Included Subsidiary (or from hiring or employing any employee who responds to such general solicitation and whose employment with the Company or the Included Subsidiary has terminated prior to such response) or (y) engaging in solicitation directed at any employee of the Company or any Included Subsidiary who has been terminated without cause on or after the Closing Date (or from hiring or employing any such employee). During the sixty-day period commencing on the date hereof, neither Seller Guarantor nor any of its Affiliates shall solicit the employment, after the Closing Date, of any person whose name is set forth in Part I of Schedule 5.08. After the expiration of such sixty-day period, no provision of this Agreement (including without limitation Sections 5.01 and 5.08) shall be construed to prohibit Seller Guarantor or any of its Affiliates from employing or soliciting the employment of any person whose name is set forth in Part I of Schedule 5.08. Seller Guarantor and Buyer shall comply with their obligations set forth in Part II of Schedule 5.08.</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5.09. Confidentiality. From and after the Closing Date until the second anniversary of the Closing Date. Seller Guarantor and its Affiliates will hold, and will use their commercially reasonable efforts to cause their respective officers, directors, employees, accountants, counsel, consultants, advisors and agents to hold, in confidence, unless compelled to disclose by judicial or administrative process or by other requirements of law, all confidential documents and information concerning the Company or the Included Subsidiaries in the possession of Seller Guarantor or its Affiliates, except to the extent that such information can be shown to have been (i) in the public domain through no fault of Seller Guarantor, (ii) lawfully acquired by Seller Guarantor after the Closing Date on a nonconfidential basis from sources other than the Company or any other Person having a duty not to disclose such information or (iii) required by law or the rules of any stock exchange on which Seller Guarantor's securities are listed or traded; provided that Seller Guarantor may disclose such information to its officers, directors, employees, accountants, counsel, consultants, advisors and agents in connection with the transactions contemplated by this Agreement so</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207" w:name="page208"/>
    <w:bookmarkEnd w:id="207"/>
    <w:p>
      <w:pPr>
        <w:ind w:left="9" w:right="3119"/>
        <w:spacing w:after="0" w:line="259" w:lineRule="auto"/>
        <w:rPr>
          <w:sz w:val="20"/>
          <w:szCs w:val="20"/>
          <w:color w:val="auto"/>
        </w:rPr>
      </w:pPr>
      <w:r>
        <w:rPr>
          <w:rFonts w:ascii="Courier New" w:cs="Courier New" w:eastAsia="Courier New" w:hAnsi="Courier New"/>
          <w:sz w:val="14"/>
          <w:szCs w:val="14"/>
          <w:color w:val="auto"/>
        </w:rPr>
        <w:t>long as such Persons are informed by Seller Guarantor of the confidential nature of such information and are directed by Seller Guarantor to treat such information confidentially. Before disclosing any such information under compulsion of judicial or administrative process or by other requirements of law, Seller Guarantor shall to the extent practicable, give Buyer sufficient notice before such disclosure to afford Buyer opportunity to contest such disclosure. The obligation of Seller Guarantor and its Affiliates to hold any such information in confidence shall be satisfied if they exercise the same care with respect to such information as they would take to preserve the confidentiality of their own similar information. If this Agreement is terminated, Seller Guarantor and its Affiliates will, and will use their best efforts to cause their respective officers, directors, employees, accountants, counsel, consultants, advisors and agents to, promptly destroy or deliver to Buyer, upon request, all documents and other materials, and all copies thereof, obtained by Seller Guarantor or its Affiliates or on their behalf from Buyer in connection with this Agreement that are subject to such confidence.</w:t>
      </w:r>
    </w:p>
    <w:p>
      <w:pPr>
        <w:spacing w:after="0" w:line="33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5.10. Exchange of Preferred Stock for Common Stock. After the date hereof and prior to the Closing Date, the Company will issue shares of Common Stock to Comcast Financial in exchange for all of the outstanding shares of Preferred Stock. Immediately following such exchange and as of the Closing Date, no shares of Preferred Stock will be outstanding.</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5.11. Regulatory Compliance. Seller Guarantor agrees that it will use, and will cause the Company and each Included Subsidiary to use, their reasonable best efforts to (a) cure no later than the Closing Date (i) any violations and defaults under any applicable rules and regulations of the FCC (the "FCC Rules") and the FAA (the "FAA Rules"), (b) substantially comply with the FCC Licenses and the FAA Rules and cause the Company and each Included Subsidiary to file or cause to be filed with the FCC and the FAA all reports and other filings required to be filed under applicable FCC Rules and FAA Rules, and</w:t>
      </w:r>
    </w:p>
    <w:p>
      <w:pPr>
        <w:spacing w:after="0" w:line="1" w:lineRule="exact"/>
        <w:rPr>
          <w:sz w:val="20"/>
          <w:szCs w:val="20"/>
          <w:color w:val="auto"/>
        </w:rPr>
      </w:pPr>
    </w:p>
    <w:p>
      <w:pPr>
        <w:ind w:left="9" w:right="3119" w:hanging="9"/>
        <w:spacing w:after="0" w:line="259" w:lineRule="auto"/>
        <w:tabs>
          <w:tab w:leader="none" w:pos="364"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actions requested in writing by Buyer to cause the Company and each Included Subsidiary on or before the Closing Date to be in compliance upon the consummation of the Closing with the provisions of Sections 271 and 272 of the Communications Act (including any orders issued by the FCC interpreting or implementing such provisions) ("Sections 271 and 272"). Sellers shall (x) cause the Company and the Included Subsidiaries to cooperate with Buyer in determining steps required to comply with Sections 271 and 272 and (y) upon Buyer's written request take all reasonable actions required by clause (c) of the immediately preceding sentence; provided that (i) no action taken by the Company or any Included Subsidiary pursuant to such written request from Buyer shall interfere with their normal business operations or shall change the manner in which the Company or any Included Subsidiary operates its business prior to the Closing Date, (ii) no action taken by the Company or any Included Subsidiary</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631" w:right="1440" w:bottom="1440" w:gutter="0" w:footer="0" w:header="0"/>
        </w:sectPr>
      </w:pPr>
    </w:p>
    <w:bookmarkStart w:id="208" w:name="page209"/>
    <w:bookmarkEnd w:id="208"/>
    <w:p>
      <w:pPr>
        <w:ind w:right="3119"/>
        <w:spacing w:after="0"/>
        <w:rPr>
          <w:sz w:val="20"/>
          <w:szCs w:val="20"/>
          <w:color w:val="auto"/>
        </w:rPr>
      </w:pPr>
      <w:r>
        <w:rPr>
          <w:rFonts w:ascii="Courier New" w:cs="Courier New" w:eastAsia="Courier New" w:hAnsi="Courier New"/>
          <w:sz w:val="15"/>
          <w:szCs w:val="15"/>
          <w:color w:val="auto"/>
        </w:rPr>
        <w:t>pursuant to such written request from Buyer shall be deemed a Material Adverse Effect on the Company Group or a Regulatory Material Adverse Effect, (iii) Buyer shall promptly reimburse the Company and the Included Subsidiaries for the direct labor costs and out of pocket costs (including without limitation any Damages) incurred by them in taking any action requested by Buyer to comply with Sections 271 and 272 and (iv) upon the termination of this Agreement shall promptly reimburse the Company and the Included Subsidiaries for the direct labor costs and out of pocket costs incurred in reversing any action requested by the Buyer to comply with Sections 271 and 272.</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5.12. Expenditures. From the date hereof until the Closing Date, the Company shall conduct its operations and spending consistent in all material respects with its 1999 expenditures plan attached as Schedule 5.12 hereto (the "1999 Expenditures Plan"). Without limiting the generality of the foregoing, the Company shall use its reasonable best efforts to spend on each category of expenditures specified in Schedule 5.12 (each, a "Category") from the date hereof through the Closing Date, an aggregate amount not greater than 105% and not less than 95% of the estimated Required Expenditure Amount for such Category. Notwithstanding the foregoing, with the prior written approval of Buyer, which approval shall not be unreasonably withheld, the Company may spend more than the Required Expenditure Amount for one or more of the Categories.</w:t>
      </w:r>
    </w:p>
    <w:p>
      <w:pPr>
        <w:spacing w:after="0" w:line="200" w:lineRule="exact"/>
        <w:rPr>
          <w:sz w:val="20"/>
          <w:szCs w:val="20"/>
          <w:color w:val="auto"/>
        </w:rPr>
      </w:pPr>
    </w:p>
    <w:p>
      <w:pPr>
        <w:spacing w:after="0" w:line="30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6</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COVENANTS OF BUYER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Buyer agrees that: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6.01. Notices of Certain Events. Buyer shall promptly notify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Holdings of:</w:t>
      </w:r>
    </w:p>
    <w:p>
      <w:pPr>
        <w:spacing w:after="0" w:line="174" w:lineRule="exact"/>
        <w:rPr>
          <w:sz w:val="20"/>
          <w:szCs w:val="20"/>
          <w:color w:val="auto"/>
        </w:rPr>
      </w:pPr>
    </w:p>
    <w:p>
      <w:pPr>
        <w:ind w:right="3119" w:firstLine="435"/>
        <w:spacing w:after="0" w:line="239" w:lineRule="auto"/>
        <w:tabs>
          <w:tab w:leader="none" w:pos="79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 and</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its knowledge threatened against, relating to or involving or otherwise affecting Buyer, or its Subsidiaries that, if pending on the date of this Agreement,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1440" w:gutter="0" w:footer="0" w:header="0"/>
        </w:sectPr>
      </w:pPr>
    </w:p>
    <w:bookmarkStart w:id="209" w:name="page210"/>
    <w:bookmarkEnd w:id="209"/>
    <w:p>
      <w:pPr>
        <w:ind w:left="9" w:right="3119"/>
        <w:spacing w:after="0" w:line="271" w:lineRule="auto"/>
        <w:rPr>
          <w:sz w:val="20"/>
          <w:szCs w:val="20"/>
          <w:color w:val="auto"/>
        </w:rPr>
      </w:pPr>
      <w:r>
        <w:rPr>
          <w:rFonts w:ascii="Courier New" w:cs="Courier New" w:eastAsia="Courier New" w:hAnsi="Courier New"/>
          <w:sz w:val="14"/>
          <w:szCs w:val="14"/>
          <w:color w:val="auto"/>
        </w:rPr>
        <w:t>would have been required to have been disclosed pursuant to Section 4.05 or that relate to the consummation of the transactions contemplated by this Agreement.</w:t>
      </w:r>
    </w:p>
    <w:p>
      <w:pPr>
        <w:spacing w:after="0" w:line="15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6.02. Confidentiality. Prior to the Closing Date and after any termination of this Agreement, Buyer and its Affiliates will hold, and will use their commercially reasonable efforts to cause their respective officers, directors, employees, accountants, counsel, consultants, advisors and agents to hold, in confidence, unless compelled to disclose by judicial or administrative process or by other requirements of law, all confidential documents and information concerning the Company or the Included Subsidiaries furnished to Buyer or its Affiliates in connection with the transactions contemplated by this Agreement, except to the extent that such information can be shown to have been</w:t>
      </w:r>
    </w:p>
    <w:p>
      <w:pPr>
        <w:spacing w:after="0" w:line="2" w:lineRule="exact"/>
        <w:rPr>
          <w:sz w:val="20"/>
          <w:szCs w:val="20"/>
          <w:color w:val="auto"/>
        </w:rPr>
      </w:pPr>
    </w:p>
    <w:p>
      <w:pPr>
        <w:ind w:left="9" w:right="3119" w:hanging="9"/>
        <w:spacing w:after="0"/>
        <w:tabs>
          <w:tab w:leader="none" w:pos="36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known on a nonconfidential basis by Buyer, (ii) in the public domain through no fault of Buyer, (iii) later lawfully acquired by Buyer on a nonconfidential basis from sources other than Sellers, Seller Guarantor, the Company or the Included Subsidiaries or any other Person having a duty not to disclose such information or (iv) required by law or the rules of any stock exchange on which Buyer's securities are listed or traded; provided that Buyer may disclose such information to its officers, directors, employees, accountants, counsel, consultants, advisors and agents in connection with the transactions contemplated by this Agreement so long as such Persons are informed by Buyer of the confidential nature of such information and are directed by Buyer to treat such information confidentially. Before disclosing any such information under compulsion of judicial or administrative process or by other requirements of law, Buyer shall to the extent practicable, give Holdings sufficient notice before such disclosure to afford Holdings opportunity to contest such disclosure. The obligation of Buyer and its Affiliates to hold any such information in confidence shall be satisfied if they exercise the same care with respect to such information as they would take to preserve the confidentiality of their own similar information. If this Agreement is terminated, Buyer and its Affiliates will, and will use their best efforts to cause their respective officers, directors, employees, accountants, counsel, consultants, advisors and agents to, promptly destroy or deliver to Holdings, upon request, all documents and other materials, and all copies thereof, obtained by Buyer or its Affiliates or on their behalf from Sellers, the Company or the Included Subsidiaries in connection with this Agreement that are subject to such confidence.</w:t>
      </w:r>
    </w:p>
    <w:p>
      <w:pPr>
        <w:spacing w:after="0" w:line="189"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6.03. Access. Buyer will cause the Company and each Included Subsidiary, on and after the Closing Date, to afford promptly to Sellers and Seller Guarantor and their agents reasonable access to their properties, books, records, employees and auditors to the extent necessary to permit Sellers to determine any matter relating to its rights and obligations hereunder or to any period ending on or before the Closing Date or to comply with any requirements promulgated by</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631" w:right="1440" w:bottom="1440" w:gutter="0" w:footer="0" w:header="0"/>
        </w:sectPr>
      </w:pPr>
    </w:p>
    <w:bookmarkStart w:id="210" w:name="page211"/>
    <w:bookmarkEnd w:id="210"/>
    <w:p>
      <w:pPr>
        <w:ind w:right="3119"/>
        <w:spacing w:after="0"/>
        <w:rPr>
          <w:sz w:val="20"/>
          <w:szCs w:val="20"/>
          <w:color w:val="auto"/>
        </w:rPr>
      </w:pPr>
      <w:r>
        <w:rPr>
          <w:rFonts w:ascii="Courier New" w:cs="Courier New" w:eastAsia="Courier New" w:hAnsi="Courier New"/>
          <w:sz w:val="15"/>
          <w:szCs w:val="15"/>
          <w:color w:val="auto"/>
        </w:rPr>
        <w:t>any regulatory authority; provided that any such access by Sellers shall not unreasonably interfere with the conduct of the business of Buyer. Sellers or Seller Guarantor shall bear all of the out-of-pocket costs and expenses (including, without limitation, attorneys' fees, but excluding reimbursement for general overhead, salaries and employee benefits) reasonably incurred in connection with the foregoing. Sellers and Seller Guarantor will hold, and will use their reasonable commercial efforts to cause their officers, directors, employees, accountants, counsel, consultants, advisors and agents to hold, in confidence, unless compelled to disclose by judicial or administrative process or by other requirements of law, all confidential documents and information concerning the Company or any Included Subsidiary provided to them pursuant to this Section.</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6.04. Redemption of the Senior Notes. (a) At its discretion, Buyer may redeem or otherwise retire in whole or in part (whether by means of tender offer, exchange offer or otherwise) the Company's 9 1/2% Senior Notes due 2007 (the "Senior Notes") outstanding under the Indenture, such redemption or retirement to be consummated on reasonable commercial terms and as soon as reasonably practicable after the Closing.</w:t>
      </w:r>
    </w:p>
    <w:p>
      <w:pPr>
        <w:spacing w:after="0" w:line="175" w:lineRule="exact"/>
        <w:rPr>
          <w:sz w:val="20"/>
          <w:szCs w:val="20"/>
          <w:color w:val="auto"/>
        </w:rPr>
      </w:pPr>
    </w:p>
    <w:p>
      <w:pPr>
        <w:ind w:right="3219" w:firstLine="435"/>
        <w:spacing w:after="0"/>
        <w:tabs>
          <w:tab w:leader="none" w:pos="79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Closing Buyer shall cause the Company to comply with all terms of the Senior Notes and of the Indenture, including without limitation, the obligation to make an Offer to Purchase (as defined in the Indenture) pursuant to Section 4.14 of the Indenture if, and to the extent, the Company is required to make such Offer to Purchase.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6.05. Cellular Services. For a period beginning on the Closing Date and ending on the tenth anniversary thereof Buyer agrees to provide to Seller Guarantor or to any of its Subsidiaries free of charge the services of its Cellular Telephone Systems that Buyer or its Subsidiaries are generally making available to the public (whether or not such services are being provided by the Company or any Subsidiary thereof); provided that Buyer shall not be required to provide free of charge services with an aggregate value in excess of $250,000 per calendar year; provided, however, that such service (i) may not be offered to or used by any person that is not then employed by Seller Guarantor or one of its Subsidiaries and (ii) shall not include any services that the Cellular Telephone System obtains from a third party, such as long distance charges and roaming. For the purpose of valuing the services so provided, such services shall be deemed to be provided at the pricing rates that are at least as favorable to Seller Guarantor as the best large corporate user rates made available by Buyer or its Subsidiaries at such time.</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1" w:right="1440" w:bottom="1440" w:gutter="0" w:footer="0" w:header="0"/>
        </w:sectPr>
      </w:pPr>
    </w:p>
    <w:bookmarkStart w:id="211" w:name="page212"/>
    <w:bookmarkEnd w:id="211"/>
    <w:p>
      <w:pPr>
        <w:jc w:val="center"/>
        <w:ind w:right="3039"/>
        <w:spacing w:after="0"/>
        <w:rPr>
          <w:sz w:val="20"/>
          <w:szCs w:val="20"/>
          <w:color w:val="auto"/>
        </w:rPr>
      </w:pPr>
      <w:r>
        <w:rPr>
          <w:rFonts w:ascii="Courier New" w:cs="Courier New" w:eastAsia="Courier New" w:hAnsi="Courier New"/>
          <w:sz w:val="15"/>
          <w:szCs w:val="15"/>
          <w:color w:val="auto"/>
        </w:rPr>
        <w:t>ARTICLE 7</w:t>
      </w:r>
    </w:p>
    <w:p>
      <w:pPr>
        <w:spacing w:after="0" w:line="3" w:lineRule="exact"/>
        <w:rPr>
          <w:sz w:val="20"/>
          <w:szCs w:val="20"/>
          <w:color w:val="auto"/>
        </w:rPr>
      </w:pPr>
    </w:p>
    <w:p>
      <w:pPr>
        <w:ind w:left="440" w:right="4539" w:firstLine="976"/>
        <w:spacing w:after="0" w:line="478" w:lineRule="auto"/>
        <w:rPr>
          <w:sz w:val="20"/>
          <w:szCs w:val="20"/>
          <w:color w:val="auto"/>
        </w:rPr>
      </w:pPr>
      <w:r>
        <w:rPr>
          <w:rFonts w:ascii="Courier New" w:cs="Courier New" w:eastAsia="Courier New" w:hAnsi="Courier New"/>
          <w:sz w:val="15"/>
          <w:szCs w:val="15"/>
          <w:color w:val="auto"/>
        </w:rPr>
        <w:t>COVENANTS OF BUYER, SELLERS AND SELLER GUARANTOR Buyer and Sellers agree that:</w:t>
      </w:r>
    </w:p>
    <w:p>
      <w:pPr>
        <w:spacing w:after="0" w:line="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7.01. Best Efforts. Subject to the terms and conditions of this Agreement, Buyer and Sellers will use their reasonable best efforts to take, or cause to be taken, all actions and to do, or cause to be done, all things reasonably necessary, proper or advisable under applicable laws and regulations to consummate the transactions contemplated by this Agreement, including preparing and filing as promptly as practicable all documentation to effect all necessary applications, notices, petitions, filings and other documents and to obtain as promptly as practicable all consents, registrations, approvals, permits and authorizations required to be obtained from any third party and/or any Governmental Entity in connection with the execution and delivery of this Agreement and the consummation of the transactions contemplated hereby; provided, however, that nothing in this Section 7.01 shall require, or be construed to require, Buyer or Sellers or Seller Guarantor or their Affiliates or the Company Group to agree to, or comply with, any conditions to the granting of any such consent, registration, approval, permit or authorization by any Governmental Entity (other than a divestiture of the FCC authorization for any of the properties identified in Schedule 4.03 that is required in order to cause Buyer and its Affiliates and the Company Group to be in compliance with the Commercial Mobile Radio Services spectrum aggregation limits, as set forth in 47 C.F.R. ss. 20.6, and the Cellular Cross Ownership limits, as set forth in 47 C.F.R. ss. 22.942) if compliance with such conditions, individually or in the aggregate, would be reasonably likely to have a Material Adverse Effect on the Company Group or Buyer following the Closing (it being understood that, for this purpose only, materiality shall take into account (i) any adverse effects reasonably likely to arise from any restrictions on the ability of the Company or any of its respective Subsidiaries to conduct its operations as currently conducted, or as proposed as of the date of this Agreement to be conducted, resulting from complying with the conditions to or from the grant of any such consent, registration, approval, permit or authorization, (ii) any benefits reasonably likely to be realized by Buyer on a consolidated basis (other than those operational benefits reasonably likely to be realized directly from the consummation of the transactions contemplated hereby) resulting from complying with the conditions to or from the grant of any such consent, registration, approval, permit or authorization, and (iii) any proceeds resulting from any divestiture required by a Governmental Entity as a condition to its granting any such consent, registration, approval, permit or authorization) (a "Regulatory Material Adverse Effect"); provided further, that any divestiture by Buyer or any of its Affiliates reasonably required to cause Buyer, following the Closing, to be in compliance with the Commercial Mobile Radio Service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8" w:right="1440" w:bottom="1440" w:gutter="0" w:footer="0" w:header="0"/>
        </w:sectPr>
      </w:pPr>
    </w:p>
    <w:bookmarkStart w:id="212" w:name="page213"/>
    <w:bookmarkEnd w:id="212"/>
    <w:p>
      <w:pPr>
        <w:ind w:right="3119"/>
        <w:spacing w:after="0" w:line="260" w:lineRule="auto"/>
        <w:rPr>
          <w:sz w:val="20"/>
          <w:szCs w:val="20"/>
          <w:color w:val="auto"/>
        </w:rPr>
      </w:pPr>
      <w:r>
        <w:rPr>
          <w:rFonts w:ascii="Courier New" w:cs="Courier New" w:eastAsia="Courier New" w:hAnsi="Courier New"/>
          <w:sz w:val="14"/>
          <w:szCs w:val="14"/>
          <w:color w:val="auto"/>
        </w:rPr>
        <w:t>spectrum aggregation limits as set forth in 47 C.F.R. ss. 20.6 and the Cellular Cross Ownership limits as set forth in 47 C.F.R. ss. 22.942 shall be deemed not to have any adverse effect on Buyer or its Affiliates or the Company following the Closing. Sellers, prior to the Closing Date, and Buyer, after the Closing Date, agree to cause the Company and each Included Subsidiary to execute and deliver such other documents, certificates, agreements and other writings and to take such other actions as may be necessary or desirable in order to consummate or implement expeditiously the transactions contemplated by this Agreement.</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7.02. Certain Filings. Each of the Sellers and Buyer shall cooperate with one another (i)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177"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Notwithstanding the foregoing, each of the Sellers and Buyer shall use their respective best efforts to:</w:t>
      </w:r>
    </w:p>
    <w:p>
      <w:pPr>
        <w:spacing w:after="0" w:line="175" w:lineRule="exact"/>
        <w:rPr>
          <w:sz w:val="20"/>
          <w:szCs w:val="20"/>
          <w:color w:val="auto"/>
        </w:rPr>
      </w:pPr>
    </w:p>
    <w:p>
      <w:pPr>
        <w:ind w:right="3119" w:firstLine="435"/>
        <w:spacing w:after="0"/>
        <w:tabs>
          <w:tab w:leader="none" w:pos="79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20 business days following the date hereof, file with the FTC and the DOJ, the notification and report form required for the transactions contemplated by this Agreement and any supplemental information required in connection therewith pursuant to the HSR Act; provided, that neither Buyer nor Sellers shall be deemed to be in breach of this Agreement if such filing is not made within 20 business days. Each of the Sellers and Buyer shall furnish to each other's counsel such necessary information and reasonable assistance as the other may request in connection with its preparation of any filing or submission that is necessary under the HSR Act. Each of the Sellers and Buyer (x) shall keep each other appraised of the status of any written communications with, and any written inquiries or requests for additional information from, the FTC and the DOJ and other governmental authorities and (y) shall use their respective commercially reasonable efforts to comply promptly with any such inquiry or request.</w:t>
      </w:r>
    </w:p>
    <w:p>
      <w:pPr>
        <w:spacing w:after="0" w:line="181"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20 business days following the date hereof, file any required application, report or other filing or request for approval or notifications with the FCC and any state regulatory authority from whom consent or clearance is required to be obtained in connection with the transactions contemplated hereby; provided, that neither Buyer nor Sellers shall be deemed to be in breach of this Agreement if such filing is not made within 20 business days. Each of the Sellers and Buyer shall furnish to each other's counsel</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213" w:name="page214"/>
    <w:bookmarkEnd w:id="213"/>
    <w:p>
      <w:pPr>
        <w:ind w:right="3119"/>
        <w:spacing w:after="0"/>
        <w:rPr>
          <w:sz w:val="20"/>
          <w:szCs w:val="20"/>
          <w:color w:val="auto"/>
        </w:rPr>
      </w:pPr>
      <w:r>
        <w:rPr>
          <w:rFonts w:ascii="Courier New" w:cs="Courier New" w:eastAsia="Courier New" w:hAnsi="Courier New"/>
          <w:sz w:val="15"/>
          <w:szCs w:val="15"/>
          <w:color w:val="auto"/>
        </w:rPr>
        <w:t>such necessary information and reasonable assistance as the other may request in connection with its preparation of any such filing or other submission. Each of the Sellers and Buyer (x) shall keep each other appraised of the status of any written communications with, and any written inquiries or requests for additional information from, the FCC and any state regulatory authority and (y) shall use their respective commercially reasonable efforts to comply promptly with any such inquiry or request.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7.03. Public Announcements. The parties agree to consult with each other before issuing any press release or making any public statement with respect to this Agreement or the transactions contemplated hereby and, except as may be required by applicable law or any listing agreement with any national securities exchange, will not issue any such press release or make any such public statement prior to such consultation.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7.04. Seller Trademarks; Tradenames. (a) Except as set forth in the other subsections of this Section 7.04, after the Closing, Buyer shall not permit the Company or its Subsidiaries to use any of the marks or names set forth on Schedule 7.04 (collectively or individually as the context requires, the "Seller Trademarks and Tradenames").</w:t>
      </w:r>
    </w:p>
    <w:p>
      <w:pPr>
        <w:spacing w:after="0" w:line="174" w:lineRule="exact"/>
        <w:rPr>
          <w:sz w:val="20"/>
          <w:szCs w:val="20"/>
          <w:color w:val="auto"/>
        </w:rPr>
      </w:pPr>
    </w:p>
    <w:p>
      <w:pPr>
        <w:ind w:right="3119" w:firstLine="435"/>
        <w:spacing w:after="0"/>
        <w:tabs>
          <w:tab w:leader="none" w:pos="799"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Closing, the Company and its Subsidiaries shall have the right to sell existing inventory and to use existing packaging, labeling, supplies, advertising materials, technical data sheets and any similar materials bearing any Seller Trademarks and Tradenames until the earlier of (i) three months after the Closing Date and (ii) the date existing stocks are exhausted. The Company and its Subsidiaries shall have the right to use the Seller Trademarks and Tradenames in advertising that cannot be changed by them using reasonable efforts for a period not to exceed three months after the Closing Date. Buyer shall cause the Company and its Subsidiaries to comply with all applicable laws or regulations in any use of packaging or labeling containing the Seller Trademarks and Tradenames.</w:t>
      </w:r>
    </w:p>
    <w:p>
      <w:pPr>
        <w:spacing w:after="0" w:line="178" w:lineRule="exact"/>
        <w:rPr>
          <w:rFonts w:ascii="Courier New" w:cs="Courier New" w:eastAsia="Courier New" w:hAnsi="Courier New"/>
          <w:sz w:val="15"/>
          <w:szCs w:val="15"/>
          <w:color w:val="auto"/>
        </w:rPr>
      </w:pPr>
    </w:p>
    <w:p>
      <w:pPr>
        <w:jc w:val="both"/>
        <w:ind w:right="3299" w:firstLine="435"/>
        <w:spacing w:after="0" w:line="239" w:lineRule="auto"/>
        <w:tabs>
          <w:tab w:leader="none" w:pos="799"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shall not be obligated to change the Seller Trademarks and Tradenames on goods in the hands of agents, distributors and customers at the time of the expiration of a time period set forth in subsection 7.04(b) above.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agrees to cause the Company and its Subsidiaries to use reasonable efforts to cease using the Seller Trademarks and Tradenames on buildings, cars, trucks and other fixed assets as soon as possible within a period not to exceed six months after the Closing Date. The obliteration of the Seller Trademarks and Tradenames shall be deemed compliance with the covenant not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214" w:name="page215"/>
    <w:bookmarkEnd w:id="214"/>
    <w:p>
      <w:pPr>
        <w:ind w:right="3119"/>
        <w:spacing w:after="0"/>
        <w:rPr>
          <w:sz w:val="20"/>
          <w:szCs w:val="20"/>
          <w:color w:val="auto"/>
        </w:rPr>
      </w:pPr>
      <w:r>
        <w:rPr>
          <w:rFonts w:ascii="Courier New" w:cs="Courier New" w:eastAsia="Courier New" w:hAnsi="Courier New"/>
          <w:sz w:val="15"/>
          <w:szCs w:val="15"/>
          <w:color w:val="auto"/>
        </w:rPr>
        <w:t>to use the Seller Trademarks and Tradenames pursuant to this Section 7.04. Buyer agrees to change the corporate name of the Company and any Included Subsidiary to the extent necessary to remove any Seller Trademarks and Tradenames included therein as soon as reasonably practicable and in any event within thirty days of the Closing Date.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7.05. 38 GHz Authorizations. Buyer and Sellers agree that certain licenses issued by the FCC for the operation of 38 GHz fixed microwave facilities listed on Schedule 7.05 hereto (the "38 GHz Licenses"), and the associated transmission equipment and related assets (together with the 38 GHz Licenses, the "38 GHz Facilities") shall not be transferred to Buyer in this transaction. Sellers shall promptly seek the consent of the FCC to assign the 38 GHz Licenses to a Person controlled by Holdings other than the Company and the Included Subsidiaries and shall use all commercially reasonable efforts to complete such assignment of the 38 GHz Facilities prior to the Closing Date. The parties hereto agree that any such transfers may be implemented by the transferees purchasing the 38 GHz Facilities prior to the Closing Date for cash consideration to be determined by Sellers. In the event the 38 GHz Facilities have not been so assigned prior to or on the Closing Date, Buyer and Sellers shall cooperate to complete such assignment as soon as practicable following the Closing Date.</w:t>
      </w:r>
    </w:p>
    <w:p>
      <w:pPr>
        <w:spacing w:after="0" w:line="182"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7.06. Illinois Properties. If, as a result of the restrictions of either the Commercial Mobile Radio Service spectrum aggregation limits, as set forth in 47 C.F.R. ss. 20.6, or the Cellular Cross Ownership limits, as set forth in 47 C.F.R. ss. 22.942, the Closing cannot be consummated after all conditions to the Closing have been satisfied or waived in accordance with Article 10 hereof (other than any condition relating to either such limit (including without limitation requisite consents of the FCC) and any condition which by its terms is to be satisfied at or immediately prior to the Closing), then, at Buyer's written request stating that Buyer has a reasonable expectation that the condition relating to such limits will be satisfied no later than 30 days after the date of such request, the Closing hereunder shall be delayed until the date designated by Buyer (which date shall be no later than 30 days after the date of such request) and if on such subsequent date the Closing cannot be consummated as a result of a condition relating to either such limit, then the Illinois Properties shall be transferred to Holdings or one of its Affiliates on such date (subject to any regulatory notifications or regulatory approvals required in connection with such transfers), the Purchase Price payable hereunder shall be reduced by fifty million U.S. dollars ($50,000,000), and the Closing shall be consummated on such date immediately after the consummation of the transfer of the Illinois Properties. Subject in any event to the Purchase Price being reduced pursuant to the immediately preceding sentence, the parties hereto agree that any such transfers of the Illinois Properties may be implemented by the transferees purchasing the Illinois Properties prior to</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215" w:name="page216"/>
    <w:bookmarkEnd w:id="215"/>
    <w:p>
      <w:pPr>
        <w:ind w:right="3399"/>
        <w:spacing w:after="0" w:line="258" w:lineRule="auto"/>
        <w:rPr>
          <w:sz w:val="20"/>
          <w:szCs w:val="20"/>
          <w:color w:val="auto"/>
        </w:rPr>
      </w:pPr>
      <w:r>
        <w:rPr>
          <w:rFonts w:ascii="Courier New" w:cs="Courier New" w:eastAsia="Courier New" w:hAnsi="Courier New"/>
          <w:sz w:val="14"/>
          <w:szCs w:val="14"/>
          <w:color w:val="auto"/>
        </w:rPr>
        <w:t>the Closing Date for cash consideration to be determined by Sellers. In connection with the transfer of the Illinois Properties to Holdings or one of its Affiliates Buyer agrees to, and shall cause its Affiliates to, (i) on and after the date of Buyer's written request delivered pursuant to this Section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7.06, reasonably cooperate with Sellers and Seller Guarantor in making, filing or obtaining any regulatory notifications or regulatory approvals required in connection with such transfers, (ii) extend the term of the Illinois Management Contract until the first anniversary of the Closing Date and (ii) consent to the assignment of the Illinois Management Contract from the Company to Seller Guarantor or one of its Affiliates.</w:t>
      </w:r>
    </w:p>
    <w:p>
      <w:pPr>
        <w:spacing w:after="0" w:line="200" w:lineRule="exact"/>
        <w:rPr>
          <w:sz w:val="20"/>
          <w:szCs w:val="20"/>
          <w:color w:val="auto"/>
        </w:rPr>
      </w:pPr>
    </w:p>
    <w:p>
      <w:pPr>
        <w:spacing w:after="0" w:line="31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8</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TAX MATTERS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8.01. Tax Representations. (a) Each of Sellers represents and warrants to Buyer as of the date hereof that, except as set forth in the Balance Sheet (including the notes thereto) or on Schedule 8.01(a), (i) all Tax returns, statements, reports and forms required to be filed with any Taxing Authority with respect to any Pre-Closing Tax Period by or on behalf of the Company or the Included Subsidiaries (collectively, the "Returns") other than those Returns the failure of which to file would not have a Material Adverse Effect on the Company Group, have, to the extent required to be filed on or before the date hereof, been properly filed when due in accordance with all applicable laws; (ii) the Returns correctly reflect the facts regarding the income, business, assets, operations, activities and status of the Company and the Included Subsidiaries in all material respects; (iii) all Taxes shown as due and payable on the Returns that have been filed have been paid, or withheld and remitted to the appropriate Taxing Authority; (iv) all Returns filed with respect to Tax years of the Company and the Included Subsidiaries through the Tax year ended December 31, 1991, have been examined and closed or are Returns with respect to which the applicable period for assessment under applicable law, after giving effect to extensions or waivers, has expired; (v) neither the Company nor any of the Included Subsidiaries (or any member of any affiliated, consolidated, combined or unitary group of which the Company or any of the Included Subsidiaries is or has been a member) has granted any extension or waiver of the statute of limitations period applicable to any Return, which period (after giving effect to such extension or waiver) has not yet expired; (vi) there is no claim, audit, action, suit, proceeding, or investigation now pending or, to the Knowledge of Sellers, threatened against or with respect to the Company or any of the Included Subsidiaries in respect of any material Tax; and (vii) there are no requests for rulings or determinations in respect of any Tax</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216" w:name="page217"/>
    <w:bookmarkEnd w:id="216"/>
    <w:p>
      <w:pPr>
        <w:ind w:right="3299"/>
        <w:spacing w:after="0" w:line="238" w:lineRule="auto"/>
        <w:rPr>
          <w:sz w:val="20"/>
          <w:szCs w:val="20"/>
          <w:color w:val="auto"/>
        </w:rPr>
      </w:pPr>
      <w:r>
        <w:rPr>
          <w:rFonts w:ascii="Courier New" w:cs="Courier New" w:eastAsia="Courier New" w:hAnsi="Courier New"/>
          <w:sz w:val="15"/>
          <w:szCs w:val="15"/>
          <w:color w:val="auto"/>
        </w:rPr>
        <w:t>pending between the Company or any of the Included Subsidiaries and any Taxing Authority.</w:t>
      </w:r>
    </w:p>
    <w:p>
      <w:pPr>
        <w:spacing w:after="0" w:line="175" w:lineRule="exact"/>
        <w:rPr>
          <w:sz w:val="20"/>
          <w:szCs w:val="20"/>
          <w:color w:val="auto"/>
        </w:rPr>
      </w:pPr>
    </w:p>
    <w:p>
      <w:pPr>
        <w:ind w:right="3219" w:firstLine="435"/>
        <w:spacing w:after="0" w:line="239" w:lineRule="auto"/>
        <w:tabs>
          <w:tab w:leader="none" w:pos="7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8.01(b) contains a list of all jurisdictions (whether foreign or domestic) in which the Company or the Included Subsidiaries file or have filed any Tax Return.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8.02. Sellers Tax Covenants.</w:t>
      </w:r>
    </w:p>
    <w:p>
      <w:pPr>
        <w:spacing w:after="0" w:line="171" w:lineRule="exact"/>
        <w:rPr>
          <w:sz w:val="20"/>
          <w:szCs w:val="20"/>
          <w:color w:val="auto"/>
        </w:rPr>
      </w:pPr>
    </w:p>
    <w:p>
      <w:pPr>
        <w:ind w:left="780" w:hanging="345"/>
        <w:spacing w:after="0"/>
        <w:tabs>
          <w:tab w:leader="none" w:pos="78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Guarantor shall include the Company and the Included</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in its consolidated Federal Tax Return and in any Combined State Tax Return through the close of business on the Closing Date.</w:t>
      </w:r>
    </w:p>
    <w:p>
      <w:pPr>
        <w:spacing w:after="0" w:line="174"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shall (i) file when due (taking into account any extension of a required filing date) all federal and state income Tax Returns that are filed on a consolidated, combined or unitary basis on behalf of Sellers, the Company and the Included Subsidiaries for any taxable period of the Company or the Included Subsidiaries that ends on or before the Closing Date and (ii) pay all amounts shown to be due on such Returns. Sellers and Buyer agree that Sellers shall prepare and the Company and each of the Included Subsidiaries will file when due (taking into account any extension of a required filing date) short period income Tax Returns for the period ending on the Closing Date in each jurisdiction in which any of the Company and the Included Subsidiaries files a separate income Tax Return. Such short period Returns together with all amounts shown to be due on such short period Returns shall be delivered by Holdings to Buyer no later than 5 business days prior to the due date for the payment of such Taxes. Sellers and Buyer agree that all federal and state income Tax Returns for the period beginning January 1, 1999 and ending on the close of business on the Closing Date will be prepared and filed on the basis of a closing of the books of the Company and its Subsidiaries as of the close of business on the Closing Date, as adjusted to reflect income shown on the permanent records (including work papers) of the Company and its Subsidiaries pursuant to Treasury Regulation Section 1.1502-76(b)(2)(i) and not on the basis of ratable allocation pursuant to Treasury Regulation Section</w:t>
      </w:r>
    </w:p>
    <w:p>
      <w:pPr>
        <w:spacing w:after="0" w:line="174"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1.1502-76(b)(2)(ii) or (iii). The calculation of the amount of any state income Tax liability shall be made in accordance with comparable provisions under applicable law. All such Returns not required to be filed on or before the date hereof (i) will be filed when due in accordance with all applicable laws (taking into account any extension of a required filing date) and (ii) as of the time of filing, will correctly reflect the facts regarding the income, business, assets, operations, activities and status of the Company and the Included Subsidiaries in all material respects.</w:t>
      </w:r>
    </w:p>
    <w:p>
      <w:pPr>
        <w:spacing w:after="0" w:line="176" w:lineRule="exact"/>
        <w:rPr>
          <w:rFonts w:ascii="Courier New" w:cs="Courier New" w:eastAsia="Courier New" w:hAnsi="Courier New"/>
          <w:sz w:val="14"/>
          <w:szCs w:val="14"/>
          <w:color w:val="auto"/>
        </w:rPr>
      </w:pPr>
    </w:p>
    <w:p>
      <w:pPr>
        <w:ind w:right="3479" w:firstLine="435"/>
        <w:spacing w:after="0" w:line="271" w:lineRule="auto"/>
        <w:tabs>
          <w:tab w:leader="none" w:pos="79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with respect to the Company and the Included Subsidiaries, each of the Sellers agrees that it will not make or change any</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802" w:right="1440" w:bottom="1440" w:gutter="0" w:footer="0" w:header="0"/>
        </w:sectPr>
      </w:pPr>
    </w:p>
    <w:bookmarkStart w:id="217" w:name="page218"/>
    <w:bookmarkEnd w:id="217"/>
    <w:p>
      <w:pPr>
        <w:ind w:left="9" w:right="3119"/>
        <w:spacing w:after="0" w:line="262" w:lineRule="auto"/>
        <w:rPr>
          <w:sz w:val="20"/>
          <w:szCs w:val="20"/>
          <w:color w:val="auto"/>
        </w:rPr>
      </w:pPr>
      <w:r>
        <w:rPr>
          <w:rFonts w:ascii="Courier New" w:cs="Courier New" w:eastAsia="Courier New" w:hAnsi="Courier New"/>
          <w:sz w:val="14"/>
          <w:szCs w:val="14"/>
          <w:color w:val="auto"/>
        </w:rPr>
        <w:t>material Tax election (except as set forth in Section 8.03(b)) or take any position on any Tax Return filed on or after the date of this Agreement or adopt any method therefor that is inconsistent with elections made, positions taken or methods used in preparing or filing similar Tax Returns in prior periods.</w:t>
      </w:r>
    </w:p>
    <w:p>
      <w:pPr>
        <w:spacing w:after="0" w:line="161" w:lineRule="exact"/>
        <w:rPr>
          <w:sz w:val="20"/>
          <w:szCs w:val="20"/>
          <w:color w:val="auto"/>
        </w:rPr>
      </w:pPr>
    </w:p>
    <w:p>
      <w:pPr>
        <w:ind w:left="9" w:right="3119" w:firstLine="435"/>
        <w:spacing w:after="0"/>
        <w:tabs>
          <w:tab w:leader="none" w:pos="80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due date (taking into account any extensions thereof) for the Seller Group's federal income Tax Return for the Tax period ending on December 31, 1999 (the "1999 Seller Group Return"), the sum of (x) the aggregate tax basis in depreciable or amortizable assets of the Company and the Included Subsidiaries for Federal Tax purposes as of the close of business on the Closing Date and (y) the aggregate net operating losses of the Company and the Included Subsidiaries allowable as a net operating loss carryover to Post-Closing Tax Periods under Section 172 of the Code (the "Tax Attributes") will be equal to or greater than $300,000,000.</w:t>
      </w:r>
    </w:p>
    <w:p>
      <w:pPr>
        <w:spacing w:after="0" w:line="177" w:lineRule="exact"/>
        <w:rPr>
          <w:rFonts w:ascii="Courier New" w:cs="Courier New" w:eastAsia="Courier New" w:hAnsi="Courier New"/>
          <w:sz w:val="15"/>
          <w:szCs w:val="15"/>
          <w:color w:val="auto"/>
        </w:rPr>
      </w:pPr>
    </w:p>
    <w:p>
      <w:pPr>
        <w:ind w:left="9" w:right="3299" w:firstLine="435"/>
        <w:spacing w:after="0" w:line="258" w:lineRule="auto"/>
        <w:tabs>
          <w:tab w:leader="none" w:pos="808"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60 days prior to the due date (taking into account any extensions thereof) for the filing of the 1999 Seller Group Return, Holdings shall deliver to Buyer a schedule setting forth (i) the aggregate tax basis in depreciable or amortizable assets of the Company and the Included Subsidiaries for Federal Tax purposes as of the close of business on the Closing Date and</w:t>
      </w:r>
    </w:p>
    <w:p>
      <w:pPr>
        <w:ind w:left="9" w:right="3219" w:hanging="9"/>
        <w:spacing w:after="0"/>
        <w:tabs>
          <w:tab w:leader="none" w:pos="45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schedule setting forth the aggregate net operating losses of the Company and the Included Subsidiaries allowable as a net operating loss carryover to Post-Closing Tax Periods under Section 172 of the Code; provided, however, that Holdings shall be considered to have complied with the requirements of this sentence if Holdings delivers reasonable good faith estimates of the required calculations and information in the time frame provided above and thereafter promptly provides revised schedules on or before the date the 1999 Seller Group Return is filed.</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8.03. Buyer Tax Covenants.</w:t>
      </w:r>
    </w:p>
    <w:p>
      <w:pPr>
        <w:spacing w:after="0" w:line="174" w:lineRule="exact"/>
        <w:rPr>
          <w:sz w:val="20"/>
          <w:szCs w:val="20"/>
          <w:color w:val="auto"/>
        </w:rPr>
      </w:pPr>
    </w:p>
    <w:p>
      <w:pPr>
        <w:ind w:left="9" w:right="3119" w:firstLine="435"/>
        <w:spacing w:after="0"/>
        <w:tabs>
          <w:tab w:leader="none" w:pos="808"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agrees that it will not cause or permit the Company, its Subsidiaries or any Affiliate of Buyer (i) to take any action on the Closing Date other than in the ordinary course of business, including but not limited to the distribution of any dividend or the effectuation of any redemption that could give rise to any Tax liability or reduce any Tax Asset of the Seller Group or any loss of either Seller or the Seller Group under this Agreement, or (ii) from and after the Closing Date, without the prior written consent of Holdings, which shall not be unreasonably withheld, to make or change any material tax election, amend any tax Return or take any tax position on any tax Return that reasonably could be expected to result in any increased tax liability or reduction of any Tax Asset of any member of the Seller Group in respect of any Pre-Closing Tax Period. Buyer agrees that Sellers are to have no liability for any tax resulting from any action, referred to in the preceding sentence, of the Company, its Subsidiaries, Buyer or</w:t>
      </w:r>
    </w:p>
    <w:p>
      <w:pPr>
        <w:spacing w:after="0" w:line="34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8"/>
          </w:cols>
          <w:pgMar w:left="231" w:top="631" w:right="1440" w:bottom="1440" w:gutter="0" w:footer="0" w:header="0"/>
        </w:sectPr>
      </w:pPr>
    </w:p>
    <w:bookmarkStart w:id="218" w:name="page219"/>
    <w:bookmarkEnd w:id="218"/>
    <w:p>
      <w:pPr>
        <w:ind w:right="3119"/>
        <w:spacing w:after="0" w:line="259" w:lineRule="auto"/>
        <w:rPr>
          <w:sz w:val="20"/>
          <w:szCs w:val="20"/>
          <w:color w:val="auto"/>
        </w:rPr>
      </w:pPr>
      <w:r>
        <w:rPr>
          <w:rFonts w:ascii="Courier New" w:cs="Courier New" w:eastAsia="Courier New" w:hAnsi="Courier New"/>
          <w:sz w:val="14"/>
          <w:szCs w:val="14"/>
          <w:color w:val="auto"/>
        </w:rPr>
        <w:t>any Affiliate of Buyer on the Closing Date, and agrees to indemnify and hold harmless Sellers and their Affiliates against any such tax and any liabilities, cost, expense (including, without limitation, reasonable expenses of investigation and attorney's fees and expenses), losses, damages, assessment or assertion of such tax. Holdings agrees to give prompt notice to Buyer of the assertion of any claim, or the commencement of any action or proceeding, in respect of which indemnity may be sought under this Section 8.03(a). Buyer may participate in and assume the defense of any such suit, action or proceeding at its own expense. If Buyer assumes such defense, each of the Sellers shall have the right (but not the duty) to participate in the defense thereof and to employ counsel, at its own expense, separate from the counsel employed by Buyer. Whether or not Sellers choose to defend or prosecute any claim, the parties hereto shall cooperate in the defense or prosecution thereof.</w:t>
      </w:r>
    </w:p>
    <w:p>
      <w:pPr>
        <w:spacing w:after="0" w:line="164" w:lineRule="exact"/>
        <w:rPr>
          <w:sz w:val="20"/>
          <w:szCs w:val="20"/>
          <w:color w:val="auto"/>
        </w:rPr>
      </w:pPr>
    </w:p>
    <w:p>
      <w:pPr>
        <w:jc w:val="both"/>
        <w:ind w:right="3839" w:firstLine="435"/>
        <w:spacing w:after="0" w:line="258" w:lineRule="auto"/>
        <w:tabs>
          <w:tab w:leader="none" w:pos="79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agrees that Seller Guarantor may, at its option, elect to reattribute to itself certain Tax Assets of the Company and the Included Subsidiaries, to the extent permitted by Treasury Regulation Section</w:t>
      </w: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1.1502-20(g). If Seller Guarantor makes such election, Buyer shall and shall cause the Company and the Included Subsidiaries to comply with the requirements of Treasury Regulation Section 1.1502-20(g).</w:t>
      </w:r>
    </w:p>
    <w:p>
      <w:pPr>
        <w:spacing w:after="0" w:line="17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prepare, or cause to be prepared, all Returns required to be filed by the Company and each of the Included Subsidiaries for any taxable period of the Company or the Included Subsidiaries that includes (but does not end on) the Closing Date. For this purpose, Sellers and Buyer agree that Sellers shall prepare and the Company and each of the Included Subsidiaries will file short period income tax Returns for the period ending on the Closing Date in each jurisdiction in which any of the Company and the Included Subsidiaries files a separate income tax Return. Any such Return shall be prepared in a manner consistent with past practice and without a change of any election or any accounting method and shall be submitted by Buyer to Holdings (together with schedules, statements and, to the extent requested by Holdings, supporting documentation) at least 45 days prior to the due date (including extensions) of such Return. Holdings shall have the right at Holding's expense to review all work papers and procedures used to prepare any such Return. If Holdings, within 30 business days after delivery of any such Return, notifies Buyer in writing that it objects to any items in such Return, Buyer and Holdings shall negotiate in good faith and use their best efforts to resolve such items. If Buyer and Holdings are unable to reach such agreement within 30 days after receipt by Buyer of such notice, the disputed items shall be resolved pursuant to Section 8.07. Upon resolution of all such items, the relevant Return shall be adjusted to reflect such resolution and shall be binding upon the parties without further adjustment.</w:t>
      </w:r>
    </w:p>
    <w:p>
      <w:pPr>
        <w:spacing w:after="0" w:line="3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219" w:name="page220"/>
    <w:bookmarkEnd w:id="219"/>
    <w:p>
      <w:pPr>
        <w:ind w:right="3219" w:firstLine="435"/>
        <w:spacing w:after="0"/>
        <w:tabs>
          <w:tab w:leader="none" w:pos="7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promptly pay or shall cause prompt payment to be made to Holdings of all refunds of Taxes and interest thereon received by Buyer, any Affiliate of Buyer, the Company, or the Included Subsidiaries attributable to Taxes paid by Seller Guarantor, Sellers, the Company or the Included Subsidiaries (or any predecessor or Affiliate of any of them) with respect to any Pre-Closing Tax Period, except to the extent such refund is attributable to the carryback of losses from the Post-Closing Tax Period.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8.04. Tax Sharing. From the date hereof through the Closing Date, the Tax Sharing Agreement shall remain in full force and effect and shall not be amended without the consent of Buyer, and the parties shall make the payments required thereunder. Any and all existing Company Tax Sharing Agreements and arrangements (including but not limited to the Tax Sharing Agreement) shall be terminated effective upon the Closing Date, and no additional payments shall be made thereunder; provided, however, that in accordance with Section 5.07 of this Agreement all intercompany accounts or accruals between Sellers or their Affiliates, on the one hand, and the Company or the Included Subsidiaries, on the other hand arising in respect of the Tax Sharing Agreement shall be settled as of the Closing Date, without regard to Section 2 of the Tax Sharing Agreement. After the Closing Date, neither the Company nor the Included Subsidiaries shall have any further rights or liabilities thereunder for any taxable year.</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8.05. Other Tax Matters. All transfer, documentary, sales, use, stamp, registration, value added and other such Taxes and fees (including any penalties and interest) incurred in connection with the transfer of the Shares shall be borne and paid 50% by Buyer and 50% by Holdings; Holdings will file all necessary Tax returns and other documentation with respect to all such Taxes and fees, and, if required by applicable law, Buyer will, and will cause its Affiliates to, join in the execution of any such Tax return and other documentation. Buyer's 50% share of the Taxes and fees referred to in the preceding sentence shall be paid by Buyer to Holdings no later than two business days prior to the due date for the payment of such Taxes and fees.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8.06. Cooperation on Tax Matters. (a) Buyer and each of the Sellers shall cooperate fully, as and to the extent reasonably requested by the other party, in connection with the preparation and filing of any Tax return, statement, report or form (including any report required pursuant to Section 6043 of the Code and all Treasury Regulations promulgated thereunder), any audit, litigation or other proceeding with respect to Taxes. Such cooperation shall include prompt notification of the other party in the event of receipt of notice of any pending or threatened audits, or the commencement of any litigation or other proceeding that reasonably could be expected to affect the Tax liabilities of the Company or any</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1" w:right="1440" w:bottom="1440" w:gutter="0" w:footer="0" w:header="0"/>
        </w:sectPr>
      </w:pPr>
    </w:p>
    <w:bookmarkStart w:id="220" w:name="page221"/>
    <w:bookmarkEnd w:id="220"/>
    <w:p>
      <w:pPr>
        <w:ind w:right="3219"/>
        <w:spacing w:after="0" w:line="259" w:lineRule="auto"/>
        <w:rPr>
          <w:sz w:val="20"/>
          <w:szCs w:val="20"/>
          <w:color w:val="auto"/>
        </w:rPr>
      </w:pPr>
      <w:r>
        <w:rPr>
          <w:rFonts w:ascii="Courier New" w:cs="Courier New" w:eastAsia="Courier New" w:hAnsi="Courier New"/>
          <w:sz w:val="14"/>
          <w:szCs w:val="14"/>
          <w:color w:val="auto"/>
        </w:rPr>
        <w:t>of the Included Subsidiaries for any Pre-Closing Tax Period, the retention and (upon the other party's request) the provision of records and information that are reasonably relevant to any such audit, litigation or other proceeding and making employees available on a mutually convenient basis to provide additional information and explanation of any material provided hereunder. The Company and each of the Sellers agree to retain so long as reasonable all books and records with respect to Tax matters pertinent to the Company and the Included Subsidiaries relating to any Pre-Closing Tax Period, and to abide by all record retention agreements entered into with any Taxing Authority.</w:t>
      </w:r>
    </w:p>
    <w:p>
      <w:pPr>
        <w:spacing w:after="0" w:line="166" w:lineRule="exact"/>
        <w:rPr>
          <w:sz w:val="20"/>
          <w:szCs w:val="20"/>
          <w:color w:val="auto"/>
        </w:rPr>
      </w:pPr>
    </w:p>
    <w:p>
      <w:pPr>
        <w:ind w:right="3299" w:firstLine="435"/>
        <w:spacing w:after="0"/>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Sellers further agree, upon request, to use all reasonable efforts to obtain any certificate or other document from any governmental authority or customer of the Company or the Included Subsidiaries or any other person as may be necessary to mitigate, reduce or eliminate any Tax that could be imposed (including, but not limited to, with respect to the transactions contemplated hereby).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8.07. Certain Disputes. To the extent provided in Sections 8.02, 8.03, and 8.06, disputes arising under such Sections and not resolved by mutual agreement as stated therein shall be resolved by the Independent Accountants. The Independent Accountants shall resolve any disputed items within 30 days of having the item referred to it pursuant to such procedures as it may require. The costs, fees and expenses of the Independent Accountants shall be borne equally by Buyer and Holdings. Notwithstanding any other provision of this Agreement, any payment to be made as a result of the resolution of a dispute shall be made, and any other action to be taken as a result of the resolution of a dispute shall be taken, on or before the later of (i) the date on which such payment or action would otherwise be required or (ii) the third business day following the date on which the dispute is resolved; provided that if a dispute with respect to an item in a Return shall not be resolved on or before the date that is three business days prior to the latest date on which such return may be filed under applicable Tax law, the party responsible for filing such Return pursuant to this Agreement shall file such return reflecting all disputed items that have been resolved in the manner so resolved, and reflecting all unsolved disputed items in the manner proposed by such party, and shall, upon the resolution of all such unresolved disputed items, file an amended Return reflecting the resolution thereof in the manner so resolved.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8.08. Sellers Tax Indemnification of Buyer. (a) Each of the Sellers hereby indemnifies Buyer against and agrees to hold Buyer harmless from any Tax of the Company or the Included Subsidiaries with respect to the Company Tax Indemnification Period and any liabilities, costs, expenses (including, without limitation, reasonable expenses of investigation and attorneys' fees and expenses), losses, damages, assessments, settlements or judgments incurred or suffered by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221" w:name="page222"/>
    <w:bookmarkEnd w:id="221"/>
    <w:p>
      <w:pPr>
        <w:ind w:right="3119"/>
        <w:spacing w:after="0"/>
        <w:rPr>
          <w:sz w:val="20"/>
          <w:szCs w:val="20"/>
          <w:color w:val="auto"/>
        </w:rPr>
      </w:pPr>
      <w:r>
        <w:rPr>
          <w:rFonts w:ascii="Courier New" w:cs="Courier New" w:eastAsia="Courier New" w:hAnsi="Courier New"/>
          <w:sz w:val="15"/>
          <w:szCs w:val="15"/>
          <w:color w:val="auto"/>
        </w:rPr>
        <w:t>Buyer or any of its Affiliates arising out of or incident to the imposition, assessment or assertion of any such Tax described, including those incurred in the contest in good faith in appropriate proceedings relating to the imposition, assessment or assertion of any Tax (the sum of such amounts being referred to herein as a "Loss"); provided, however, that neither Seller shall have liability for the payment of any loss attributable to or resulting from any action described in Section 8.03(a) hereof.</w:t>
      </w:r>
    </w:p>
    <w:p>
      <w:pPr>
        <w:spacing w:after="0" w:line="176" w:lineRule="exact"/>
        <w:rPr>
          <w:sz w:val="20"/>
          <w:szCs w:val="20"/>
          <w:color w:val="auto"/>
        </w:rPr>
      </w:pPr>
    </w:p>
    <w:p>
      <w:pPr>
        <w:ind w:right="3119" w:firstLine="435"/>
        <w:spacing w:after="0" w:line="259" w:lineRule="auto"/>
        <w:tabs>
          <w:tab w:leader="none" w:pos="79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in the case of any Taxes that are imposed on a periodic basis and are payable for a Taxable period that includes (but does not end on) the Closing Date, the portion of such Tax related to the portion of such Taxable period ending on the Closing Date shall (x) in the case of any Taxes other than Taxes based upon or related to income, be deemed to be the amount of such Tax for the entire Taxable period multiplied by a fraction the numerator of which is the number of days in the Taxable period ending on the Closing Date and the denominator of which is the number of days in the entire Taxable period and (y) in the case of any Tax based upon or related to income be deemed equal to the amount which would be payable if the relevant Taxable period ended on the Closing Date. Any credits relating to a Taxable period that begins before and ends after the Closing Date shall be taken into account as though the relevant Taxable period ended on the Closing Date. All determinations necessary to give effect to the foregoing allocations shall be made in a manner consistent with prior practice of the Company and its Subsidiaries.</w:t>
      </w:r>
    </w:p>
    <w:p>
      <w:pPr>
        <w:spacing w:after="0" w:line="163" w:lineRule="exact"/>
        <w:rPr>
          <w:rFonts w:ascii="Courier New" w:cs="Courier New" w:eastAsia="Courier New" w:hAnsi="Courier New"/>
          <w:sz w:val="14"/>
          <w:szCs w:val="14"/>
          <w:color w:val="auto"/>
        </w:rPr>
      </w:pPr>
    </w:p>
    <w:p>
      <w:pPr>
        <w:ind w:right="3219" w:firstLine="435"/>
        <w:spacing w:after="0" w:line="259" w:lineRule="auto"/>
        <w:tabs>
          <w:tab w:leader="none" w:pos="79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Seller's indemnification obligation under this Section 8.08 arises in respect of an adjustment which makes allowable to Buyer, any of its Affiliates or, effective upon the Closing, Company or its Subsidiaries any deduction, amortization, exclusion from income or other allowance (a "Tax Benefit") which would not, but for such adjustment, be allowable, then any payment by either Seller to Buyer shall be an amount equal to (x) the amount otherwise due but for this subsection (c) minus (y) the actual reduction in the amount of Taxes paid by Buyer in the current Tax year as a result of the Tax Benefit. In each subsequent year, Buyer shall pay such Seller the amount of the actual reduction in Taxes of Buyer, Company or its Subsidiaries for such year that are attributable to the Tax Benefit; provided that the aggregate payments made by Buyer pursuant to this Section 8.08(c) shall not exceed the aggregate payments made by Sellers pursuant to Section 8.08. If the amount of any Tax Benefit is subsequently reduced or disallowed, such Seller shall be required to indemnify Buyer for the amount of any additional Tax, penalties and interest payable as a result of such reduction or disallowance.</w:t>
      </w:r>
    </w:p>
    <w:p>
      <w:pPr>
        <w:spacing w:after="0" w:line="162" w:lineRule="exact"/>
        <w:rPr>
          <w:rFonts w:ascii="Courier New" w:cs="Courier New" w:eastAsia="Courier New" w:hAnsi="Courier New"/>
          <w:sz w:val="14"/>
          <w:szCs w:val="14"/>
          <w:color w:val="auto"/>
        </w:rPr>
      </w:pPr>
    </w:p>
    <w:p>
      <w:pPr>
        <w:ind w:right="3219" w:firstLine="435"/>
        <w:spacing w:after="0" w:line="271" w:lineRule="auto"/>
        <w:tabs>
          <w:tab w:leader="none" w:pos="79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agrees to give prompt notice to Holdings of the assertion of any claim, or the commencement of any suit, action or proceeding in respect of</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222" w:name="page223"/>
    <w:bookmarkEnd w:id="222"/>
    <w:p>
      <w:pPr>
        <w:ind w:right="3119"/>
        <w:spacing w:after="0" w:line="259" w:lineRule="auto"/>
        <w:rPr>
          <w:sz w:val="20"/>
          <w:szCs w:val="20"/>
          <w:color w:val="auto"/>
        </w:rPr>
      </w:pPr>
      <w:r>
        <w:rPr>
          <w:rFonts w:ascii="Courier New" w:cs="Courier New" w:eastAsia="Courier New" w:hAnsi="Courier New"/>
          <w:sz w:val="14"/>
          <w:szCs w:val="14"/>
          <w:color w:val="auto"/>
        </w:rPr>
        <w:t>which indemnity may be sought hereunder and of any Loss, which Buyer deems to be within the ambit of this section (specifying with reasonable particularity the basis therefor) and will give Holdings such information with respect thereto as Holdings may reasonably request. Holdings shall have the right to represent the interests of the Company and its Subsidiaries and to assume the defense of any such suit, action or proceeding (including any Tax audit), and to employ counsel of its choice at its expense; provided that (i) Holdings shall give notice to Buyer, keep Buyer reasonably informed and consult with Buyer upon Buyer's reasonable request from time to time with respect to any issue relating to such suit, action or proceeding (including any Tax audit) that reasonably could be expected to have a material adverse effect on Buyer, or after the Closing Date, the Company or any of its Subsidiaries. If Holdings elects not to assume such defense, Buyer may pay, compromise or contest the Tax at issue. Whether or not Holdings chooses to defend or prosecute any claim, all of the parties hereto shall cooperate in the defense or prosecution thereof.</w:t>
      </w:r>
    </w:p>
    <w:p>
      <w:pPr>
        <w:spacing w:after="0" w:line="163" w:lineRule="exact"/>
        <w:rPr>
          <w:sz w:val="20"/>
          <w:szCs w:val="20"/>
          <w:color w:val="auto"/>
        </w:rPr>
      </w:pPr>
    </w:p>
    <w:p>
      <w:pPr>
        <w:ind w:right="3219" w:firstLine="435"/>
        <w:spacing w:after="0" w:line="260" w:lineRule="auto"/>
        <w:tabs>
          <w:tab w:leader="none" w:pos="79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Seller shall be liable under this section with respect to any Tax resulting from any settlements effected without the consent of Holdings, which shall not be unreasonably withheld, or resulting from any claim or demand the defense of which such Holdings was not offered the opportunity to assume as provided under Section 8.08(d) hereof to the extent either Seller's liability under this section is adversely affected as a result thereof.</w:t>
      </w:r>
    </w:p>
    <w:p>
      <w:pPr>
        <w:spacing w:after="0" w:line="163"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 a result of a sale on or before December 31, 1999 by Sellers, any other member of the Seller Group, the Company or the Included Subsidiaries of marketable securities (a "Securities Sale"), the amount of Tax Attributes (as defined in Section 8.02(d)) is less than $300,000,000 (a "Tax Attribute Shortfall"), Holdings shall pay to Buyer an amount equal to (a) the Tax Attribute Shortfall attributable to such Securities Sale multiplied by (b) 38%, upon the earlier of (x) the time the 1999 Seller Group Return is filed or (y) the time items related to such sale of marketable securities are adjusted as a result of a Final Determination.</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filing the 1999 Seller Group Return, there is a Tax Attribute Shortfall that is not attributable to a Securities Sale, Sellers shall indemnify Buyer for such Tax Attribute Shortfall in accordance with the provisions of Section 11.02(a), in which case the amount of Damages (as defined in Section 11.02(a)) shall be equal to the amount of such Tax Attribute Shortfall multiplied by 38%.</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223" w:name="page224"/>
    <w:bookmarkEnd w:id="223"/>
    <w:p>
      <w:pPr>
        <w:jc w:val="center"/>
        <w:ind w:right="3039"/>
        <w:spacing w:after="0"/>
        <w:rPr>
          <w:sz w:val="20"/>
          <w:szCs w:val="20"/>
          <w:color w:val="auto"/>
        </w:rPr>
      </w:pPr>
      <w:r>
        <w:rPr>
          <w:rFonts w:ascii="Courier New" w:cs="Courier New" w:eastAsia="Courier New" w:hAnsi="Courier New"/>
          <w:sz w:val="15"/>
          <w:szCs w:val="15"/>
          <w:color w:val="auto"/>
        </w:rPr>
        <w:t>ARTICLE 9</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EMPLOYEE BENEFITS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9.01. Benefits Following the Closing Date. (a) During the period commencing on the Closing Date and ending on the first anniversary thereof, Buyer shall cause the Employees to be provided with employee benefits that are no less favorable in the aggregate than the employee benefits provided to the Employees under the Employee Plans and Benefit Arrangements (excluding for this purpose plans which provide for equity-based awards and severance plans) as of the Closing Date, as previously disclosed to Buyer by Seller Guarantor. Buyer shall cause the Employees who retire during such one-year period to be provided with post-retirement medical benefits under the South Western Bell Mobile Systems post-retirement medical plan (the "Buyer Post-Retirement Medical Plan"), provided such Employees satisfy the eligibility requirements for post-retirement medical benefits under the Buyer Post-Retirement Medical Plan. Nothing contained herein shall be construed to limit the ability of Buyer or its Affiliates to terminate the employment of any Employee or to terminate any particular employee benefit plan or compensatory arrangement following the Closing Date. Without limiting the foregoing, during calendar year 1999, Buyer shall provide to each Employee at least the number of days of paid time off that would have been available to such Employee for 1999 under Seller Guarantor's paid time off policies (as in effect on the Closing Date), less the number of days of paid time off taken by such Employee between January 1, 1999 and the Closing Date, inclusive.</w:t>
      </w:r>
    </w:p>
    <w:p>
      <w:pPr>
        <w:spacing w:after="0" w:line="186" w:lineRule="exact"/>
        <w:rPr>
          <w:sz w:val="20"/>
          <w:szCs w:val="20"/>
          <w:color w:val="auto"/>
        </w:rPr>
      </w:pPr>
    </w:p>
    <w:p>
      <w:pPr>
        <w:ind w:right="3119" w:firstLine="435"/>
        <w:spacing w:after="0"/>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or its Affiliates shall cause Employees who remain employed by the Company or its Affiliates on or after the Closing Date to receive credit for periods of service from such Employees' most recent date of hire (or deemed most recent date of hire), with Seller Guarantor, the Company or their respective Affiliates or any other entity acquired by Seller Guarantor, the Company or their respective Affiliates, to the extent such service is treated as credited service under the comparable plans of Seller Guarantor, the Company or their respective Affiliates as of the Closing Date for all purposes (except benefit accrual under any defined benefit retirement plan) under the employee benefits plans of Buyer or its Affiliates, as applicable (such credit to be determined under the terms of Buyer's employee benefit plans).</w:t>
      </w:r>
    </w:p>
    <w:p>
      <w:pPr>
        <w:spacing w:after="0" w:line="178"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Guarantor shall take all action necessary, consistent with applicable law, to cause the Seller Guarantor Plans which provide welfare benefits to Employees immediately prior to the Closing Date (the "Seller Guarantor Welfare Plans") to continue to cover such Employees, to the extent requested by Buyer, for the period commencing on the Closing Date and ending on the later of December 31, 1999 or the date which is six months following the Closing Date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28" w:right="1440" w:bottom="1440" w:gutter="0" w:footer="0" w:header="0"/>
        </w:sectPr>
      </w:pPr>
    </w:p>
    <w:bookmarkStart w:id="224" w:name="page225"/>
    <w:bookmarkEnd w:id="224"/>
    <w:p>
      <w:pPr>
        <w:ind w:right="3119"/>
        <w:spacing w:after="0" w:line="259" w:lineRule="auto"/>
        <w:rPr>
          <w:sz w:val="20"/>
          <w:szCs w:val="20"/>
          <w:color w:val="auto"/>
        </w:rPr>
      </w:pPr>
      <w:r>
        <w:rPr>
          <w:rFonts w:ascii="Courier New" w:cs="Courier New" w:eastAsia="Courier New" w:hAnsi="Courier New"/>
          <w:sz w:val="14"/>
          <w:szCs w:val="14"/>
          <w:color w:val="auto"/>
        </w:rPr>
        <w:t>(or such shorter period as requested by Buyer) (the "Transition Period"). Buyer shall bear the cost of such coverage by reimbursing Seller Guarantor on a monthly basis for the cost of providing such welfare benefit coverage during the Transition Period (such costs to include expenses incurred by Seller Guarantor in respect of the Employees in the payment of benefit claims incurred during the Transition Period, employer and employee premiums, and a reasonable pro rata share of welfare plan administrative costs). Notwithstanding the foregoing, Seller Guarantor agrees that each Seller Guarantor Welfare Plan shall be responsible for claims incurred by the Employees under such Plans prior to the Closing Date. For purposes of this Section, a claim shall be deemed to be "incurred" when the relevant service is provided or item is purchased. To the extent that the Transition Period provided for herein expires during a calendar year (either prior to December 31, 1999 or on or after January 1, 2000), Buyer and its Affiliates shall use their best efforts to credit the dollar amount of all expenses incurred by Employees and their eligible dependents during the plan year in which the Transition Period expires for purposes of satisfying such plan year's deductible and copayment limitations, under any welfare benefit plan maintained by Buyer or its Affiliates.</w:t>
      </w:r>
    </w:p>
    <w:p>
      <w:pPr>
        <w:spacing w:after="0" w:line="333"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9.02. Post-Closing Benefit Liabilities. (a) Seller Guarantor shall separately identify on Schedule 3.21 of this Agreement each Employee Plan or Benefit Arrangement that is maintained by either the Company or any Included Subsidiary exclusively for the benefit of Employees (the "Company Plans"). Each Employee Plan or Benefit Arrangement that is not a Company Plan is hereinafter referred to as a "Seller Guarantor Plan" or collectively as "Seller Guarantor Plans." Except as expressly set forth in this Article 9, from and after the Closing Date, neither Buyer nor the Company nor any Included Subsidiary shall have any liability whatsoever with respect to any Seller Guarantor Plan.</w:t>
      </w:r>
    </w:p>
    <w:p>
      <w:pPr>
        <w:spacing w:after="0" w:line="166" w:lineRule="exact"/>
        <w:rPr>
          <w:sz w:val="20"/>
          <w:szCs w:val="20"/>
          <w:color w:val="auto"/>
        </w:rPr>
      </w:pPr>
    </w:p>
    <w:p>
      <w:pPr>
        <w:ind w:right="31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Guarantor shall retain or assume all liability with respect to Inactive Employees under any Seller Guarantor Plan. Subject to applicable law, if, in the sole discretion of Buyer, any Inactive Employee is re-hired by Buyer or otherwise returns from leave of absence to active employment with the Company or an Included Subsidiary, such Inactive Employee shall be treated as an Employee for purposes of this Article 9 as of the date of such return to active employment.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9.03. Thrift Plan. (a) Effective as of the Closing Date, Seller Guarantor shall take all actions necessary to cause (i) the Company and each Included Subsidiary to cease to be participating employers in any Seller Guarantor Plan which is a "pension plan" within the meaning of Section 3(2) of ERISA, including, without limitation, the Comcast Corporation Retirement Investment Plan for Employees (the "Seller Guarantor Thrift Plan") and (ii) the accrued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225" w:name="page226"/>
    <w:bookmarkEnd w:id="225"/>
    <w:p>
      <w:pPr>
        <w:ind w:left="9" w:right="3119"/>
        <w:spacing w:after="0"/>
        <w:rPr>
          <w:sz w:val="20"/>
          <w:szCs w:val="20"/>
          <w:color w:val="auto"/>
        </w:rPr>
      </w:pPr>
      <w:r>
        <w:rPr>
          <w:rFonts w:ascii="Courier New" w:cs="Courier New" w:eastAsia="Courier New" w:hAnsi="Courier New"/>
          <w:sz w:val="15"/>
          <w:szCs w:val="15"/>
          <w:color w:val="auto"/>
        </w:rPr>
        <w:t>benefits of Employees under all such Seller Guarantor Plans to be fully vested as of the Closing Date. As soon as practicable after the Closing Date, Buyer shall take all action necessary to cause the retirement plan designated by Buyer (the "Buyer Thrift Plan") to allow each Employee who is a participant in the Seller Guarantor Thrift Plan as of the Closing Date to effect a direct rollover in cash of their accrued benefits under the Seller Guarantor Thrift Plan to the Buyer Thrift Plan. In connection with any such direct rollover elected by an Employee, Buyer shall use its reasonable best efforts to allow, as soon as practicable, any such Employee's outstanding loan under the Seller Guarantor Thrift Plan to be directly rolled-over into the Buyer Thrift Plan. Seller Guarantor shall use its reasonable best efforts to cause any such outstanding loan not to become due, based upon the cessation of the Employee's participation in the Seller Guarantor Thrift Plan, for a period of up to six months following the Closing Date or the earlier termination of employment of the Employee by Buyer.</w:t>
      </w:r>
    </w:p>
    <w:p>
      <w:pPr>
        <w:spacing w:after="0" w:line="182"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9.04. Retention Payments. (a) As of the later of December 31, 1999 or the expiration of the third month after the Closing Date (the later of such two dates being referred to herein as the "Retention Date"), Buyer or its Affiliate shall cause the Company to pay to each Employee whose name is set forth in Schedule 9.04(a) hereto the cash amount set forth opposite such Employee's name in such Schedule (the "Retention Payment"), provided that either</w:t>
      </w:r>
    </w:p>
    <w:p>
      <w:pPr>
        <w:spacing w:after="0" w:line="1" w:lineRule="exact"/>
        <w:rPr>
          <w:sz w:val="20"/>
          <w:szCs w:val="20"/>
          <w:color w:val="auto"/>
        </w:rPr>
      </w:pPr>
    </w:p>
    <w:p>
      <w:pPr>
        <w:ind w:left="9" w:right="3119" w:hanging="9"/>
        <w:spacing w:after="0" w:line="259" w:lineRule="auto"/>
        <w:tabs>
          <w:tab w:leader="none" w:pos="364"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 remains employed by Buyer or its Affiliates as of the Retention Date, and such Employee agrees that such Employee's right to severance under any agreement between such Employee and the Company or any severance policy covering any such Employee shall be reduced (but not below zero) by the amount of such Employee's Retention Payment or (ii) such Employee's employment has been involuntarily terminated prior to the Retention Date by Buyer or its Affiliate other than for cause. Seller Guarantor and the Company shall share the cost of such Retention Payment equally, provided, however, that the Company's liability under this Section 9.04(a) shall not exceed $7.5 million. Promptly after the Retention Date, Seller Guarantor shall reimburse Buyer for 50% of the total cost of the Retention Payments. Such reimbursement shall be treated, for Tax purposes, as an adjustment to the Purchase Price.</w:t>
      </w:r>
    </w:p>
    <w:p>
      <w:pPr>
        <w:spacing w:after="0" w:line="164" w:lineRule="exact"/>
        <w:rPr>
          <w:rFonts w:ascii="Courier New" w:cs="Courier New" w:eastAsia="Courier New" w:hAnsi="Courier New"/>
          <w:sz w:val="14"/>
          <w:szCs w:val="14"/>
          <w:color w:val="auto"/>
        </w:rPr>
      </w:pPr>
    </w:p>
    <w:p>
      <w:pPr>
        <w:ind w:left="9" w:right="3119" w:firstLine="435"/>
        <w:spacing w:after="0" w:line="260" w:lineRule="auto"/>
        <w:tabs>
          <w:tab w:leader="none" w:pos="808"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who is an exempt employee, other than an Employee who has entered into an individual agreement with the Company providing for severance benefits, whose employment is terminated by Buyer or its Affiliates within the 180 day-period following the Closing Date shall receive severance payments from Buyer (in accordance with the terms of the severance plan to be established by Buyer (but without regard to years of service or other eligibility criteria)) in an amount which shall not be less than the amount calculated in accordance with the salary allowance range set forth on Schedule 9.04(b) hereto.</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8"/>
          </w:cols>
          <w:pgMar w:left="231" w:top="631" w:right="1440" w:bottom="1440" w:gutter="0" w:footer="0" w:header="0"/>
        </w:sectPr>
      </w:pPr>
    </w:p>
    <w:bookmarkStart w:id="226" w:name="page227"/>
    <w:bookmarkEnd w:id="226"/>
    <w:p>
      <w:pPr>
        <w:ind w:right="3119" w:firstLine="435"/>
        <w:spacing w:after="0"/>
        <w:tabs>
          <w:tab w:leader="none" w:pos="799"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 the amounts the Company shall be required to pay pursuant to this Section 9.04 shall not be included as liabilities on the Closing Date Balance Sheet nor shall such amounts be taken into account in any way in computing the Initial Purchase Price Adjustment or Final Purchase Price Adjustment.</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SECTION 9.05. Pre-closing Bonus Period. Seller Guarantor shall be solely responsible for the payment of any bonus amounts that have been earned by the Employees in respect of any period prior to the Closing Date under the Comcast Corporation Cash Bonus Plan or other compensation plans of Seller Guarantor.</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9.06. Cooperation. Seller Guarantor and Buyer agree to cooperate in order to facilitate the transition of the Employees to employment with Buyer and its Affiliates, including, without limitation, provision by Seller Guarantor to Buyer of employee-related information and access to the Employees prior to the Closing Date in accordance with Buyer's reasonable request.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9.07. No Third Party Beneficiaries. No provision of this Article 9 shall create any third party beneficiary or other rights in any current or former employee of Seller Guarantor, the Company, any Included Subsidiary or Buyer (including any dependent or beneficiary thereof) or any other person.</w:t>
      </w: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CONDITIONS TO CLOSING</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10.01. Conditions to Obligations of Buyer and Sellers for Closing. The obligations of Buyer and Sellers to consummate the Closing are subject to the satisfaction of the following conditions:</w:t>
      </w:r>
    </w:p>
    <w:p>
      <w:pPr>
        <w:spacing w:after="0" w:line="175" w:lineRule="exact"/>
        <w:rPr>
          <w:sz w:val="20"/>
          <w:szCs w:val="20"/>
          <w:color w:val="auto"/>
        </w:rPr>
      </w:pPr>
    </w:p>
    <w:p>
      <w:pPr>
        <w:ind w:right="3219" w:firstLine="435"/>
        <w:spacing w:after="0" w:line="239" w:lineRule="auto"/>
        <w:tabs>
          <w:tab w:leader="none" w:pos="7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 under the HSR Act relating to the transfer of the Shares and any transactions related to such transfer shall have expired or been terminated.</w:t>
      </w:r>
    </w:p>
    <w:p>
      <w:pPr>
        <w:spacing w:after="0" w:line="175" w:lineRule="exact"/>
        <w:rPr>
          <w:rFonts w:ascii="Courier New" w:cs="Courier New" w:eastAsia="Courier New" w:hAnsi="Courier New"/>
          <w:sz w:val="15"/>
          <w:szCs w:val="15"/>
          <w:color w:val="auto"/>
        </w:rPr>
      </w:pPr>
    </w:p>
    <w:p>
      <w:pPr>
        <w:ind w:right="3579" w:firstLine="435"/>
        <w:spacing w:after="0" w:line="271" w:lineRule="auto"/>
        <w:tabs>
          <w:tab w:leader="none" w:pos="799"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any applicable law or regulation and no judgment, injunction, order or decree shall prohibit the consummation of the Closing.</w:t>
      </w:r>
    </w:p>
    <w:p>
      <w:pPr>
        <w:spacing w:after="0" w:line="15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by or in respect of or filings with or consents or approvals from any Governmental Entity listed on Schedule 10.01, and any other material action by or in respect of or material filings with or material consents or material approvals from any Governmental Authority and required, in each case, to permit the consummation of the Closing, shall have been taken, made or obtained.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1" w:right="1440" w:bottom="1440" w:gutter="0" w:footer="0" w:header="0"/>
        </w:sectPr>
      </w:pPr>
    </w:p>
    <w:bookmarkStart w:id="227" w:name="page228"/>
    <w:bookmarkEnd w:id="227"/>
    <w:p>
      <w:pPr>
        <w:ind w:right="3219" w:firstLine="444"/>
        <w:spacing w:after="0" w:line="239" w:lineRule="auto"/>
        <w:rPr>
          <w:sz w:val="20"/>
          <w:szCs w:val="20"/>
          <w:color w:val="auto"/>
        </w:rPr>
      </w:pPr>
      <w:r>
        <w:rPr>
          <w:rFonts w:ascii="Courier New" w:cs="Courier New" w:eastAsia="Courier New" w:hAnsi="Courier New"/>
          <w:sz w:val="15"/>
          <w:szCs w:val="15"/>
          <w:color w:val="auto"/>
        </w:rPr>
        <w:t>SECTION 10.02. Conditions to Obligation of Buyer for Closing. The obligation of Buyer to consummate the Closing is subject to the satisfaction of the following further conditions:</w:t>
      </w:r>
    </w:p>
    <w:p>
      <w:pPr>
        <w:spacing w:after="0" w:line="175" w:lineRule="exact"/>
        <w:rPr>
          <w:sz w:val="20"/>
          <w:szCs w:val="20"/>
          <w:color w:val="auto"/>
        </w:rPr>
      </w:pPr>
    </w:p>
    <w:p>
      <w:pPr>
        <w:ind w:right="3119" w:firstLine="435"/>
        <w:spacing w:after="0"/>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Sellers and Seller Guarantor shall have performed in all material respects all of their obligations hereunder required to be performed by them on or prior to the Closing Date, (ii) the representations and warranties of Sellers and Seller Guarantor contained in this Agreement (A) to the extent qualified by Material Adverse Effect shall be true and correct and (B) to the extent not qualified by Material Adverse Effect shall be true and correct, except that this clause (B) shall be deemed satisfied so long as any failures of such representations and warranties to be true and correct, taken together, do not have a Material Adverse Effect on the Company Group, Sellers or Seller Guarantor, in each case as of the Closing Date and (iii) Buyer shall have received a certificate signed by a senior officer of Holdings to the foregoing effect.</w:t>
      </w:r>
    </w:p>
    <w:p>
      <w:pPr>
        <w:spacing w:after="0" w:line="179"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action by any Governmental Entity required in satisfaction of Section 10.01(c) shall have been obtained pursuant to a Final Order, free of any conditions (other than conditions that are not reasonably likely, either individually or in the aggregate, to have a Regulatory Material Adverse Effect). For the purposes of this Agreement, "Final Order" means an action or decision that has been granted as to which (i) no request for a stay or any similar request is pending, no stay is in effect, the action or decision has not been vacated, reversed, set aside, annulled or suspended and any deadline for filing such a request that may be designated by statue or regulation has passed, (ii) no petition for rehearing or reconsideration or application for review is pending and the time for the filing of any such petition or application has passed, (iii) no Governmental Entity has undertaken to reconsider the action on its own motion and the time within which it may effect such reconsideration has passed and (iv) no appeal is pending (including other administrative or judicial review) or in effect and any deadline for filing any such appeal that may be specified by statute or rule has passed, which in any such case (i), (ii), (iii) or (iv) is reasonably likely to result in vacating, reversing, setting aside, annulling, suspending or modifying such action or decision (in any such case in a manner which would have a Regulatory Material Adverse Effect following the Closing); provided that, in the event that, prior to the granting of the FCC's approval, no comments shall have been filed in, or with respect to any proceeding, action or decision sought from the FCC in satisfaction of the requirements of Section 10.01(c), the approvals by FCC will be deemed to have been obtained pursuant to a Final Order.</w:t>
      </w:r>
    </w:p>
    <w:p>
      <w:pPr>
        <w:spacing w:after="0" w:line="345" w:lineRule="exact"/>
        <w:rPr>
          <w:rFonts w:ascii="Courier New" w:cs="Courier New" w:eastAsia="Courier New" w:hAnsi="Courier New"/>
          <w:sz w:val="14"/>
          <w:szCs w:val="14"/>
          <w:color w:val="auto"/>
        </w:rPr>
      </w:pPr>
    </w:p>
    <w:p>
      <w:pPr>
        <w:ind w:right="4019" w:firstLine="435"/>
        <w:spacing w:after="0" w:line="238" w:lineRule="auto"/>
        <w:tabs>
          <w:tab w:leader="none" w:pos="799"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stock of each Excluded Subsidiary shall have been transferred to Holdings or one of its Affiliates.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228" w:name="page229"/>
    <w:bookmarkEnd w:id="228"/>
    <w:p>
      <w:pPr>
        <w:ind w:left="-435" w:right="3119" w:firstLine="435"/>
        <w:spacing w:after="0" w:line="239"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received all documents it may reasonably request relating to the existence of Sellers, Seller Guarantor, the Company and the Included Subsidiaries and the authority of Sellers and Seller Guarantor for this Agreement, all in form and substance reasonably satisfactory to Buyer.</w:t>
      </w:r>
    </w:p>
    <w:p>
      <w:pPr>
        <w:spacing w:after="0" w:line="176" w:lineRule="exact"/>
        <w:rPr>
          <w:rFonts w:ascii="Courier New" w:cs="Courier New" w:eastAsia="Courier New" w:hAnsi="Courier New"/>
          <w:sz w:val="15"/>
          <w:szCs w:val="15"/>
          <w:color w:val="auto"/>
        </w:rPr>
      </w:pPr>
    </w:p>
    <w:p>
      <w:pPr>
        <w:ind w:left="-435" w:right="3119" w:firstLine="435"/>
        <w:spacing w:after="0" w:line="239"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received a certification signed by each of the Sellers to the effect that such Seller is not a "foreign person" as defined in Section 1445 of the Code.</w:t>
      </w:r>
    </w:p>
    <w:p>
      <w:pPr>
        <w:spacing w:after="0" w:line="175" w:lineRule="exact"/>
        <w:rPr>
          <w:rFonts w:ascii="Courier New" w:cs="Courier New" w:eastAsia="Courier New" w:hAnsi="Courier New"/>
          <w:sz w:val="15"/>
          <w:szCs w:val="15"/>
          <w:color w:val="auto"/>
        </w:rPr>
      </w:pPr>
    </w:p>
    <w:p>
      <w:pPr>
        <w:ind w:left="-435" w:right="3579" w:firstLine="435"/>
        <w:spacing w:after="0" w:line="238"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intercompany debt of the Company and the Included Subsidiaries shall have been repaid on or prior to the Closing Date.</w:t>
      </w:r>
    </w:p>
    <w:p>
      <w:pPr>
        <w:spacing w:after="0" w:line="174" w:lineRule="exact"/>
        <w:rPr>
          <w:rFonts w:ascii="Courier New" w:cs="Courier New" w:eastAsia="Courier New" w:hAnsi="Courier New"/>
          <w:sz w:val="15"/>
          <w:szCs w:val="15"/>
          <w:color w:val="auto"/>
        </w:rPr>
      </w:pPr>
    </w:p>
    <w:p>
      <w:pPr>
        <w:ind w:left="-435" w:right="3119" w:firstLine="435"/>
        <w:spacing w:after="0" w:line="264" w:lineRule="auto"/>
        <w:tabs>
          <w:tab w:leader="none" w:pos="36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shall have furnished to Buyer an opinion (the "FCC Opinion") of FCC counsel for Sellers, with customary qualifications, in form and substance reasonably satisfactory to Buyer, dated the Closing Date, to the effect that:</w:t>
      </w:r>
    </w:p>
    <w:p>
      <w:pPr>
        <w:spacing w:after="0" w:line="159" w:lineRule="exact"/>
        <w:rPr>
          <w:rFonts w:ascii="Courier New" w:cs="Courier New" w:eastAsia="Courier New" w:hAnsi="Courier New"/>
          <w:sz w:val="14"/>
          <w:szCs w:val="14"/>
          <w:color w:val="auto"/>
        </w:rPr>
      </w:pPr>
    </w:p>
    <w:p>
      <w:pPr>
        <w:ind w:left="5" w:right="3119" w:firstLine="438"/>
        <w:spacing w:after="0"/>
        <w:tabs>
          <w:tab w:leader="none" w:pos="804"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Included Subsidiaries hold the FCC Licenses listed on Annex A to the FCC Opinion and such FCC Licenses are in effect. The FCC has granted its consent to the transfer of control of the FCC Licenses listed in Annex A to the FCC Opinion to Buyer (the "FCC Consents") and, except as may be disclosed on Annex B to the FCC Opinion, (A) the time periods specified in the FCC's rules for the filing of petitions for reconsideration of the grant of the FCC Consents and for the reconsideration of the grant of the FCC Consents on the FCC's own motion have expired and (B) to counsel's knowledge, based on review of the FCC's publicly available records, no such petition reconsideration has been filed and the FCC has not instituted review of the grant of any of the FCC Consents on its own motion; and</w:t>
      </w:r>
    </w:p>
    <w:p>
      <w:pPr>
        <w:spacing w:after="0" w:line="179" w:lineRule="exact"/>
        <w:rPr>
          <w:rFonts w:ascii="Courier New" w:cs="Courier New" w:eastAsia="Courier New" w:hAnsi="Courier New"/>
          <w:sz w:val="15"/>
          <w:szCs w:val="15"/>
          <w:color w:val="auto"/>
        </w:rPr>
      </w:pPr>
    </w:p>
    <w:p>
      <w:pPr>
        <w:ind w:left="5" w:right="3119" w:firstLine="438"/>
        <w:spacing w:after="0" w:line="260" w:lineRule="auto"/>
        <w:tabs>
          <w:tab w:leader="none" w:pos="893"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counsel's knowledge, based upon a review of the FCC's publicly available records, there is not, except as may be set forth in Annex C to the FCC Opinion, any issued and outstanding notice of violation, order to show cause, material complaint or investigatory proceeding by or before the FCC against any of the FCC Licenses, which, individually or in the aggregate, if determined adversely, might reasonably be expected to result in any Material Adverse Effect on the Company Group.</w:t>
      </w:r>
    </w:p>
    <w:p>
      <w:pPr>
        <w:spacing w:after="0" w:line="162" w:lineRule="exact"/>
        <w:rPr>
          <w:rFonts w:ascii="Courier New" w:cs="Courier New" w:eastAsia="Courier New" w:hAnsi="Courier New"/>
          <w:sz w:val="14"/>
          <w:szCs w:val="14"/>
          <w:color w:val="auto"/>
        </w:rPr>
      </w:pPr>
    </w:p>
    <w:p>
      <w:pPr>
        <w:ind w:left="-435" w:right="3299" w:firstLine="435"/>
        <w:spacing w:after="0" w:line="238"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shall have furnished to Buyer the opinion of in-house counsel for Seller Guarantor, dated the Closing Date, to the effect that:</w:t>
      </w:r>
    </w:p>
    <w:p>
      <w:pPr>
        <w:spacing w:after="0" w:line="34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784"/>
          </w:cols>
          <w:pgMar w:left="675" w:top="802" w:right="1440" w:bottom="1440" w:gutter="0" w:footer="0" w:header="0"/>
        </w:sectPr>
      </w:pPr>
    </w:p>
    <w:bookmarkStart w:id="229" w:name="page230"/>
    <w:bookmarkEnd w:id="229"/>
    <w:p>
      <w:pPr>
        <w:ind w:left="440" w:right="3759" w:firstLine="438"/>
        <w:spacing w:after="0" w:line="271" w:lineRule="auto"/>
        <w:tabs>
          <w:tab w:leader="none" w:pos="1239"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an existing corporation in good standing under the law of the State of Delaware;</w:t>
      </w:r>
    </w:p>
    <w:p>
      <w:pPr>
        <w:spacing w:after="0" w:line="153" w:lineRule="exact"/>
        <w:rPr>
          <w:rFonts w:ascii="Courier New" w:cs="Courier New" w:eastAsia="Courier New" w:hAnsi="Courier New"/>
          <w:sz w:val="14"/>
          <w:szCs w:val="14"/>
          <w:color w:val="auto"/>
        </w:rPr>
      </w:pPr>
    </w:p>
    <w:p>
      <w:pPr>
        <w:ind w:left="440" w:right="3119" w:firstLine="438"/>
        <w:spacing w:after="0" w:line="239" w:lineRule="auto"/>
        <w:tabs>
          <w:tab w:leader="none" w:pos="1327"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Company's outstanding capital stock, including the Shares, have been duly authorized and validly issued and are fully paid and non-assessable; and</w:t>
      </w:r>
    </w:p>
    <w:p>
      <w:pPr>
        <w:spacing w:after="0" w:line="175" w:lineRule="exact"/>
        <w:rPr>
          <w:rFonts w:ascii="Courier New" w:cs="Courier New" w:eastAsia="Courier New" w:hAnsi="Courier New"/>
          <w:sz w:val="15"/>
          <w:szCs w:val="15"/>
          <w:color w:val="auto"/>
        </w:rPr>
      </w:pPr>
    </w:p>
    <w:p>
      <w:pPr>
        <w:ind w:left="440" w:right="3579" w:firstLine="438"/>
        <w:spacing w:after="0" w:line="238" w:lineRule="auto"/>
        <w:tabs>
          <w:tab w:leader="none" w:pos="1416"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executed and delivered by each Seller and by Seller Guarantor.</w:t>
      </w:r>
    </w:p>
    <w:p>
      <w:pPr>
        <w:spacing w:after="0" w:line="174" w:lineRule="exact"/>
        <w:rPr>
          <w:rFonts w:ascii="Courier New" w:cs="Courier New" w:eastAsia="Courier New" w:hAnsi="Courier New"/>
          <w:sz w:val="15"/>
          <w:szCs w:val="15"/>
          <w:color w:val="auto"/>
        </w:rPr>
      </w:pPr>
    </w:p>
    <w:p>
      <w:pPr>
        <w:ind w:right="3219" w:firstLine="435"/>
        <w:spacing w:after="0" w:line="260" w:lineRule="auto"/>
        <w:tabs>
          <w:tab w:leader="none" w:pos="799"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shall have furnished to the Buyer opinions of the Company's local counsel in Pennsylvania, New Jersey, Maryland, Delaware and Illinois in form and substance reasonably satisfactory to Buyer, dated the Closing Date, to the effect that all required approvals for the execution, delivery and performance by each of Sellers and Seller Guarantor of this Agreement pursuant to the requirements any state public utility commissions in the states of Pennsylvania, New Jersey, Maryland, Delaware and Illinois have been obtained.</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10.03. Conditions to Obligation of Sellers and Seller Guarantor for Closing. The obligation of Sellers and Seller Guarantor to consummate the Closing is subject to the satisfaction of the following further conditions:</w:t>
      </w:r>
    </w:p>
    <w:p>
      <w:pPr>
        <w:spacing w:after="0" w:line="175" w:lineRule="exact"/>
        <w:rPr>
          <w:sz w:val="20"/>
          <w:szCs w:val="20"/>
          <w:color w:val="auto"/>
        </w:rPr>
      </w:pPr>
    </w:p>
    <w:p>
      <w:pPr>
        <w:ind w:right="3119" w:firstLine="435"/>
        <w:spacing w:after="0"/>
        <w:tabs>
          <w:tab w:leader="none" w:pos="79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Buyer shall have performed in all material respects all of its obligations hereunder required to be performed by it at or prior to the Closing Date, (ii) the representations and warranties of Buyer contained in this Agreement (A) to the extent qualified by Material Adverse Effect shall be true and correct and (B) to the extent not qualified by Material Adverse Effect shall be true and correct, except that this clause (B) shall be deemed satisfied so long as any failures of such representations and warranties to be true and correct, taken together, do not have a Material Adverse Effect on Buyer, in each case as of the Closing Date and (iii) Sellers and Seller Guarantor shall have received a certificate signed by the Senior Officer of Buyer to the foregoing effect.</w:t>
      </w:r>
    </w:p>
    <w:p>
      <w:pPr>
        <w:spacing w:after="0" w:line="178"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and Seller Guarantor shall have received all documents it may reasonably request relating to the existence of Buyer and the authority of Buyer for this Agreement, all in form and substance reasonably satisfactory to Sellers and Seller Guarantor.</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have furnished to Sellers and Seller Guarantor the opinion of in-house counsel for Buyer, dated the Closing Date, to the effect that this Agreement has been duly executed and delivered by Buyer.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1" w:right="1440" w:bottom="1440" w:gutter="0" w:footer="0" w:header="0"/>
        </w:sectPr>
      </w:pPr>
    </w:p>
    <w:bookmarkStart w:id="230" w:name="page231"/>
    <w:bookmarkEnd w:id="230"/>
    <w:p>
      <w:pPr>
        <w:ind w:left="3100"/>
        <w:spacing w:after="0"/>
        <w:rPr>
          <w:sz w:val="20"/>
          <w:szCs w:val="20"/>
          <w:color w:val="auto"/>
        </w:rPr>
      </w:pPr>
      <w:r>
        <w:rPr>
          <w:rFonts w:ascii="Courier New" w:cs="Courier New" w:eastAsia="Courier New" w:hAnsi="Courier New"/>
          <w:sz w:val="15"/>
          <w:szCs w:val="15"/>
          <w:color w:val="auto"/>
        </w:rPr>
        <w:t>ARTICLE 11</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SURVIVAL; INDEMNIFICATION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11.01. Survival. The representations and warranties of Sellers, Seller Guarantor or Buyer contained in this Agreement or in any certificate or other writing delivered pursuant hereto or in connection herewith shall not survive the Closing Date; provided that (i) the representations and warranties contained in Article 3 of this Agreement shall survive until the first anniversary of the Closing Date except that the representations and warranties in Sections 3.01, 3.02, 3.05, 3.06 and 3.19 shall have no expiration date and the representations and warranties in Section 3.22 shall survive until the expiration of the applicable statue of limitations and (ii) the representations and warranties contained in Article 4 of this Agreement shall survive until the first anniversary of the Closing Date. The covenants and agreements contained in Sections 5.02, 5.05, 5.08 and 6.05 shall survive for the period set forth therein, the covenants, agreements, representations and warranties contained in Articles 8 and 9 and Section 11.02 to the extent it relates to Section 8.08(g) shall survive until expiration of the statute of limitations applicable to the matters covered thereby (giving effect to any waiver, mitigation or extension thereof), if later, and all other covenants and agreements shall survive indefinitely. Notwithstanding the preceding sentence, any covenant, agreement, representation or warranty in respect of which indemnity may be sought under this Agreement shall survive the time at which it would otherwise terminate pursuant to the preceding sentence, if notice of the inaccuracy or breach thereof giving rise to such right of indemnity shall have been given to the party against whom such indemnity may be sought prior to such time.</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11.02. Indemnification. (a) Sellers and Seller Guarantor, jointly and severally, hereby indemnify Buyer and its Affiliates against and agree to hold them harmless from any and all damage, loss, liability and expense (including without limitation reasonable expenses of investigation and reasonable attorneys' fees and expenses in connection with any action, suit or proceeding) ("Damages") incurred or suffered by Buyer or any of its Affiliates arising out of any misrepresentation or breach of warranty (disregarding all qualifications and exceptions contained therein relating to materiality (including the materiality as used in the definition of the Material Adverse Effect)), or breach of any covenant or agreement made or to be performed by Sellers or Seller Guarantor pursuant to this Agreement (other than pursuant to all of Article 8 except for Section 8.08(g)); provided that (i) Sellers and Seller Guarantor shall not be liable under this Section 11.02(a) unless the aggregate amount of Damages with respect to all matters referred to in this Section 11.02(a) exceeds $17,500,000 and then only to the extent of such excess and (ii) maximum liability of Sellers and Seller Guarantor under this Section 11.02(a) shall not exceed $450,000,000.</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8" w:right="1440" w:bottom="1440" w:gutter="0" w:footer="0" w:header="0"/>
        </w:sectPr>
      </w:pPr>
    </w:p>
    <w:bookmarkStart w:id="231" w:name="page232"/>
    <w:bookmarkEnd w:id="231"/>
    <w:p>
      <w:pPr>
        <w:ind w:right="3119" w:firstLine="435"/>
        <w:spacing w:after="0" w:line="259" w:lineRule="auto"/>
        <w:tabs>
          <w:tab w:leader="none" w:pos="799"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hereby indemnifies Sellers and each of their Subsidiaries against and agrees to hold them harmless from any and all Damages incurred or suffered by Sellers, Seller Guarantor or their Subsidiaries arising out of any misrepresentation or breach of warranty (disregarding all qualifications and exceptions contained therein relating to materiality (including the materiality as used in the definition of the Material Adverse Effect)), or breach of any covenant or agreement made or to be performed by Buyer pursuant to this Agreement (other than pursuant to Article 8); provided that (i) Buyer shall not be liable under this Section 11.02(b) unless the aggregate amount of Damages with respect to all matters referred to in this Section 11.02(b) exceeds $17,500,000 and then only to the extent of such excess and (ii) Buyer's maximum liability under this Section 11.02(b) shall not exceed $450,000,000.</w:t>
      </w:r>
    </w:p>
    <w:p>
      <w:pPr>
        <w:spacing w:after="0" w:line="33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in this Agreement to the contrary, Sellers and Seller Guarantor, jointly and severally, hereby indemnify Buyer and each of its Subsidiaries against and agree to hold them harmless from any and all Damages incurred or suffered by Buyer or its Subsidiaries arising out of or relating in any way to the Excluded Subsidiaries, including, without limitation, arising out of the transfer of capital stock of the Excluded Subsidiaries to Holdings or its Affiliates pursuant to Section 5.06 hereof.</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in this Agreement to the contrary, Buyer hereby indemnifies Sellers, Seller Guarantor and each of their Subsidiaries and agrees to hold them harmless from any and all Damages incurred or suffered by Sellers, Seller Guarantor or any of their Subsidiaries arising out of any breach of Buyer's agreement set forth in Section 6.04(b).</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11.03. Procedures. (a) The party seeking indemnification under Section 8.08 or 11.02 (the "Indemnified Party") agrees to give prompt notice to the party against whom indemnity is sought (the "Indemnifying Party") of the assertion of any claim, or the commencement of any suit, action or proceeding ("Claim") in respect of which indemnity may be sought under such Section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materially prejudiced the Indemnifying Party.</w:t>
      </w:r>
    </w:p>
    <w:p>
      <w:pPr>
        <w:spacing w:after="0" w:line="178" w:lineRule="exact"/>
        <w:rPr>
          <w:sz w:val="20"/>
          <w:szCs w:val="20"/>
          <w:color w:val="auto"/>
        </w:rPr>
      </w:pPr>
    </w:p>
    <w:p>
      <w:pPr>
        <w:ind w:right="3219" w:firstLine="435"/>
        <w:spacing w:after="0" w:line="262" w:lineRule="auto"/>
        <w:tabs>
          <w:tab w:leader="none" w:pos="799"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be entitled to participate in the defense of any Claim asserted by any third party ("Third Party Claim") and, subject to the limitations set forth in this Section 11.03, shall be entitled to control and appoint lead counsel for such defense, in each case at its expense.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232" w:name="page233"/>
    <w:bookmarkEnd w:id="232"/>
    <w:p>
      <w:pPr>
        <w:ind w:left="9" w:right="3399" w:firstLine="435"/>
        <w:spacing w:after="0" w:line="238" w:lineRule="auto"/>
        <w:tabs>
          <w:tab w:leader="none" w:pos="808"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shall assume the control of the defense of any Third Party Claim in accordance with the provisions of this Section</w:t>
      </w:r>
    </w:p>
    <w:p>
      <w:pPr>
        <w:spacing w:after="0" w:line="4" w:lineRule="exact"/>
        <w:rPr>
          <w:rFonts w:ascii="Courier New" w:cs="Courier New" w:eastAsia="Courier New" w:hAnsi="Courier New"/>
          <w:sz w:val="15"/>
          <w:szCs w:val="15"/>
          <w:color w:val="auto"/>
        </w:rPr>
      </w:pPr>
    </w:p>
    <w:p>
      <w:pPr>
        <w:ind w:left="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11.03(c), (i) the Indemnifying Party shall obtain the prior written consent of the Indemnified Party (which shall not be unreasonably withheld) before entering into any settlement of such Third Party Claim and (ii) the Indemnified Party shall be entitled to participate in the defense of such Third Party Claim and to employ separate counsel of its choice for such purpose. The fees and expenses of such separate counsel shall be paid by the Indemnified Party.</w:t>
      </w:r>
    </w:p>
    <w:p>
      <w:pPr>
        <w:spacing w:after="0" w:line="163" w:lineRule="exact"/>
        <w:rPr>
          <w:rFonts w:ascii="Courier New" w:cs="Courier New" w:eastAsia="Courier New" w:hAnsi="Courier New"/>
          <w:sz w:val="15"/>
          <w:szCs w:val="15"/>
          <w:color w:val="auto"/>
        </w:rPr>
      </w:pPr>
    </w:p>
    <w:p>
      <w:pPr>
        <w:ind w:left="9" w:right="3219" w:firstLine="435"/>
        <w:spacing w:after="0"/>
        <w:tabs>
          <w:tab w:leader="none" w:pos="808"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11.04. Calculation of Damages. (a) The amount of any Damages payable under Section 11.02 by the Indemnifying Party shall be net of any (i) amounts recovered or recoverable by the Indemnified Party under applicable insurance policies, (ii) Tax cost incurred by the Indemnified Party arising from the receipt of indemnity payments and (iii) Tax Benefit realized by the Indemnified Party arising from the incurrence or payment of any such Damages. In computing the amount of any such Tax cost or Tax Benefit, the Indemnified Party shall be deemed to fully utilize, at the highest marginal tax rate then in effect, all Tax items arising from the receipt of any indemnity payment hereunder or the incurrence or payment of any indemnified Damages. For purposes hereof, the amount shall not be deemed recoverable if a claim by the Indemnified Party has been submitted in good faith and was denied by the insurer.</w:t>
      </w:r>
    </w:p>
    <w:p>
      <w:pPr>
        <w:spacing w:after="0" w:line="162" w:lineRule="exact"/>
        <w:rPr>
          <w:sz w:val="20"/>
          <w:szCs w:val="20"/>
          <w:color w:val="auto"/>
        </w:rPr>
      </w:pPr>
    </w:p>
    <w:p>
      <w:pPr>
        <w:ind w:left="789" w:hanging="345"/>
        <w:spacing w:after="0"/>
        <w:tabs>
          <w:tab w:leader="none" w:pos="789"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shall not be liable under Section 11.02 for any</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Damages relating to any matter to the extent that (A) there is included in the Closing Date Balance Sheet a specific liability or reserve relating to such matter or (B) the Indemnified Party had otherwise been compensated for such matter pursuant to the Purchase Price adjustment under Section 2.04, or (ii) exemplary or punitive Damages (other than exemplary or punitive damages awarded to any third party).</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11.05. Assignment of Claims. If the Indemnified Party receives any payment from an Indemnifying Party in respect of any Damages pursuant to Section 11.02 and the Indemnified Party could have recovered all or a part of such Damages from a third party, including, without limitation, under an insurance policy described in Section 11.04(a) (a "Potential Contributor") based on the underlying Claim asserted against the Indemnifying Party, the Indemnified Party shall assign such of its rights to proceed against the Potential Contributor as are</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8"/>
          </w:cols>
          <w:pgMar w:left="231" w:top="631" w:right="1440" w:bottom="1440" w:gutter="0" w:footer="0" w:header="0"/>
        </w:sectPr>
      </w:pPr>
    </w:p>
    <w:bookmarkStart w:id="233" w:name="page234"/>
    <w:bookmarkEnd w:id="233"/>
    <w:p>
      <w:pPr>
        <w:ind w:right="3839"/>
        <w:spacing w:after="0" w:line="238" w:lineRule="auto"/>
        <w:rPr>
          <w:sz w:val="20"/>
          <w:szCs w:val="20"/>
          <w:color w:val="auto"/>
        </w:rPr>
      </w:pPr>
      <w:r>
        <w:rPr>
          <w:rFonts w:ascii="Courier New" w:cs="Courier New" w:eastAsia="Courier New" w:hAnsi="Courier New"/>
          <w:sz w:val="15"/>
          <w:szCs w:val="15"/>
          <w:color w:val="auto"/>
        </w:rPr>
        <w:t>necessary to permit the Indemnifying Party to recover from the Potential Contributor the amount of such payment.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11.06. Exclusivity. Except as specifically set forth in this Agreement and except for any claim for actual fraud, effective as of the Closing Buyer waives any rights and claims Buyer may have against Sellers or Seller Guarantor, whether in law or in equity, relating to the Company or the Shares or the transactions contemplated hereby. The rights and claims waived by Buyer include, without limitation, claims for contribution or other rights of recovery arising out of or relating to any Environmental Law, claims for breach of contract, breach of representation or warranty, negligent misrepresentation and all other claims for breach of duty. After the Closing, Sections 8.08 and 11.02 will provide the exclusive remedy for any misrepresentation, breach of warranty, covenant or other agreement (other than those contained in Sections 2.04, 5.02, 5.05, 5.08, 5.09, 6.02, 6.03, 6.05 and 7.04) or other claim (other than any claim for actual fraud) arising out of this Agreement or the transactions contemplated hereby.</w:t>
      </w:r>
    </w:p>
    <w:p>
      <w:pPr>
        <w:spacing w:after="0" w:line="200" w:lineRule="exact"/>
        <w:rPr>
          <w:sz w:val="20"/>
          <w:szCs w:val="20"/>
          <w:color w:val="auto"/>
        </w:rPr>
      </w:pPr>
    </w:p>
    <w:p>
      <w:pPr>
        <w:spacing w:after="0" w:line="32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12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SELLER GUARANTEE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12.01. Seller Guarantor. Seller Guarantor hereby irrevocably and unconditionally guarantees to Buyer the prompt and full discharge by Sellers of all of Sellers' covenants, agreements, obligations and liabilities under this Agreement including, without limitation, the due and punctual payment of all amounts which are or may become due and payable by Sellers hereunder, when and as the same shall become due and payable (collectively, the "Seller Obligations"), in accordance with the terms hereof. Seller Guarantor acknowledges and agrees that, with respect to all Seller Obligations to pay money, such guaranty shall be a guaranty of payment and performance and not of collection and shall not be conditioned or contingent upon the pursuit of any remedies against Sellers. If Sellers shall default in the due and punctual performance of any Seller Obligation, including the full and timely payment of any amount due and payable pursuant to any Seller Obligation, Seller Guarantor will forthwith perform or cause to be performed such Seller Obligation and will forthwith make full payment of any amount due with respect thereto at its sole cost and expense.</w:t>
      </w:r>
    </w:p>
    <w:p>
      <w:pPr>
        <w:spacing w:after="0" w:line="18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12.02. Guaranty Unconditional. The liabilities and obligations of Seller Guarantor pursuant to this Agreement are unconditional and absolute and, without limiting the generality of the foregoing, shall not be released, discharged or otherwise affected by: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972" w:right="1440" w:bottom="1440" w:gutter="0" w:footer="0" w:header="0"/>
        </w:sectPr>
      </w:pPr>
    </w:p>
    <w:bookmarkStart w:id="234" w:name="page235"/>
    <w:bookmarkEnd w:id="234"/>
    <w:p>
      <w:pPr>
        <w:ind w:right="3119" w:firstLine="435"/>
        <w:spacing w:after="0" w:line="271" w:lineRule="auto"/>
        <w:tabs>
          <w:tab w:leader="none" w:pos="799"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acceleration, extension, renewal, settlement, compromise, waiver or release in respect of any Seller Obligation, by operation of law or otherwise;</w:t>
      </w:r>
    </w:p>
    <w:p>
      <w:pPr>
        <w:spacing w:after="0" w:line="153" w:lineRule="exact"/>
        <w:rPr>
          <w:rFonts w:ascii="Courier New" w:cs="Courier New" w:eastAsia="Courier New" w:hAnsi="Courier New"/>
          <w:sz w:val="14"/>
          <w:szCs w:val="14"/>
          <w:color w:val="auto"/>
        </w:rPr>
      </w:pPr>
    </w:p>
    <w:p>
      <w:pPr>
        <w:ind w:right="3759" w:firstLine="435"/>
        <w:spacing w:after="0" w:line="238" w:lineRule="auto"/>
        <w:tabs>
          <w:tab w:leader="none" w:pos="79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in whole or in part, of this Agreement;</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or amendment of or supplement to this Agreement;</w:t>
      </w:r>
    </w:p>
    <w:p>
      <w:pPr>
        <w:spacing w:after="0" w:line="174" w:lineRule="exact"/>
        <w:rPr>
          <w:rFonts w:ascii="Courier New" w:cs="Courier New" w:eastAsia="Courier New" w:hAnsi="Courier New"/>
          <w:sz w:val="15"/>
          <w:szCs w:val="15"/>
          <w:color w:val="auto"/>
        </w:rPr>
      </w:pPr>
    </w:p>
    <w:p>
      <w:pPr>
        <w:ind w:right="3119" w:firstLine="435"/>
        <w:spacing w:after="0" w:line="264" w:lineRule="auto"/>
        <w:tabs>
          <w:tab w:leader="none" w:pos="799"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corporate existence, structure or ownership of either Seller or Seller Guarantor or any insolvency, bankruptcy, reorganization or other similar proceeding affecting any of them or their assets; or</w:t>
      </w:r>
    </w:p>
    <w:p>
      <w:pPr>
        <w:spacing w:after="0" w:line="159" w:lineRule="exact"/>
        <w:rPr>
          <w:rFonts w:ascii="Courier New" w:cs="Courier New" w:eastAsia="Courier New" w:hAnsi="Courier New"/>
          <w:sz w:val="14"/>
          <w:szCs w:val="14"/>
          <w:color w:val="auto"/>
        </w:rPr>
      </w:pPr>
    </w:p>
    <w:p>
      <w:pPr>
        <w:ind w:right="3119" w:firstLine="435"/>
        <w:spacing w:after="0" w:line="239" w:lineRule="auto"/>
        <w:tabs>
          <w:tab w:leader="none" w:pos="79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 omission to act, delay of any kind by any party hereto or any other Person, or any other circumstance whatsoever that might, but for the provisions of this Section, constitute a legal or equitable discharge of the obligations of Seller Guarantor hereunder.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12.03. Waivers of the Seller Guarantor. Seller Guarantor hereby waives any right, whether legal or equitable, statutory or non-statutory, to require Buyer to proceed against or take any action against or pursue any remedy with respect to Sellers, or any other Person or make presentment or demand for performance or give any notice of nonperformance before Buyer may enforce its rights hereunder against Seller Guarantor.</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12.04. Discharge Only upon Performance in Full; Restatement in Certain Circumstances. Seller Guarantor's obligations hereunder shall remain in full force and effect until the Seller Obligations shall have been performed in full. If at any time any performance by any Person of any Seller Obligation is rescinded or must be otherwise restored or returned, whether upon the insolvency, bankruptcy or reorganization of Sellers or otherwise, Seller Guarantor's obligations hereunder with respect to such Seller Obligation shall be reinstated at such time as though such Seller Obligation had become due and had not been performed.</w:t>
      </w:r>
    </w:p>
    <w:p>
      <w:pPr>
        <w:spacing w:after="0" w:line="177"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SECTION 12.05. Subrogation. Upon performance by Seller Guarantor of any Seller Obligation, Seller Guarantor shall be subrogated Buyer against such Seller, with respect to such Seller Obligation; provided that Seller Guarantor shall not enforce any Seller Obligation by way of subrogation against Seller while any Seller Obligation is due and unperformed by such Seller.</w:t>
      </w:r>
    </w:p>
    <w:p>
      <w:pPr>
        <w:spacing w:after="0" w:line="200" w:lineRule="exact"/>
        <w:rPr>
          <w:sz w:val="20"/>
          <w:szCs w:val="20"/>
          <w:color w:val="auto"/>
        </w:rPr>
      </w:pPr>
    </w:p>
    <w:p>
      <w:pPr>
        <w:spacing w:after="0" w:line="3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31" w:right="1440" w:bottom="1440" w:gutter="0" w:footer="0" w:header="0"/>
        </w:sectPr>
      </w:pPr>
    </w:p>
    <w:bookmarkStart w:id="235" w:name="page236"/>
    <w:bookmarkEnd w:id="235"/>
    <w:p>
      <w:pPr>
        <w:ind w:left="3100"/>
        <w:spacing w:after="0"/>
        <w:rPr>
          <w:sz w:val="20"/>
          <w:szCs w:val="20"/>
          <w:color w:val="auto"/>
        </w:rPr>
      </w:pPr>
      <w:r>
        <w:rPr>
          <w:rFonts w:ascii="Courier New" w:cs="Courier New" w:eastAsia="Courier New" w:hAnsi="Courier New"/>
          <w:sz w:val="15"/>
          <w:szCs w:val="15"/>
          <w:color w:val="auto"/>
        </w:rPr>
        <w:t>ARTICLE 13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TERMINATION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13.01. Grounds for Termination. This Agreement may be terminated:</w:t>
      </w:r>
    </w:p>
    <w:p>
      <w:pPr>
        <w:spacing w:after="0" w:line="171" w:lineRule="exact"/>
        <w:rPr>
          <w:sz w:val="20"/>
          <w:szCs w:val="20"/>
          <w:color w:val="auto"/>
        </w:rPr>
      </w:pPr>
    </w:p>
    <w:p>
      <w:pPr>
        <w:ind w:left="780" w:hanging="345"/>
        <w:spacing w:after="0"/>
        <w:tabs>
          <w:tab w:leader="none" w:pos="78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by mutual written agreement of each party hereto;</w:t>
      </w:r>
    </w:p>
    <w:p>
      <w:pPr>
        <w:spacing w:after="0" w:line="174" w:lineRule="exact"/>
        <w:rPr>
          <w:rFonts w:ascii="Courier New" w:cs="Courier New" w:eastAsia="Courier New" w:hAnsi="Courier New"/>
          <w:sz w:val="15"/>
          <w:szCs w:val="15"/>
          <w:color w:val="auto"/>
        </w:rPr>
      </w:pPr>
    </w:p>
    <w:p>
      <w:pPr>
        <w:ind w:right="3219" w:firstLine="435"/>
        <w:spacing w:after="0" w:line="259" w:lineRule="auto"/>
        <w:tabs>
          <w:tab w:leader="none" w:pos="799"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Holdings or Buyer if the Closing shall not have been consummated on or before September 30, 1999; provided, however, that (i) if Buyer or Holdings determines that additional time is necessary in connection with satisfaction of the conditions set forth in Sections 10.01(c) or 10.02(b), the termination date may be extended for 60 calendar days by Buyer or Holdings from time to time by written notice to the other party up to a date not beyond January 31, 2000 and (ii) if Buyer delivers a written request pursuant to Section 7.06 hereof on or after January 1, 2000, the termination date shall be extended until the date that is five business days after the date designated in such written request; provided, further, that the right to terminate this Agreement pursuant to this clause (b) shall not be available to any party that has wilfully breached in any material respect its obligations under this Agreement in any manner that shall have proximately contributed to the failure to consummate the transactions contemplated hereby;</w:t>
      </w:r>
    </w:p>
    <w:p>
      <w:pPr>
        <w:spacing w:after="0" w:line="16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Holdings or Buyer if there shall be any law or regulation that makes consummation of the transactions contemplated hereby illegal or otherwise prohibited or if consummation of the transactions contemplated hereby would violate any nonappealable final order, decree or judgment of any court or governmental body having competent jurisdiction; or</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Holdings or Buyer, if there has been a material misrepresentation, breach of warranty or breach of covenant or other obligation hereunder on the part of Buyer (in the case of termination by Holdings) or Sellers or Seller Guarantor (in the case of termination by Buyer); or if any condition to such party's obligations hereunder becomes incapable of fulfillment through no fault of such party.</w:t>
      </w:r>
    </w:p>
    <w:p>
      <w:pPr>
        <w:spacing w:after="0" w:line="175" w:lineRule="exact"/>
        <w:rPr>
          <w:sz w:val="20"/>
          <w:szCs w:val="20"/>
          <w:color w:val="auto"/>
        </w:rPr>
      </w:pPr>
    </w:p>
    <w:p>
      <w:pPr>
        <w:jc w:val="both"/>
        <w:ind w:right="3399" w:firstLine="444"/>
        <w:spacing w:after="0" w:line="238" w:lineRule="auto"/>
        <w:rPr>
          <w:sz w:val="20"/>
          <w:szCs w:val="20"/>
          <w:color w:val="auto"/>
        </w:rPr>
      </w:pPr>
      <w:r>
        <w:rPr>
          <w:rFonts w:ascii="Courier New" w:cs="Courier New" w:eastAsia="Courier New" w:hAnsi="Courier New"/>
          <w:sz w:val="15"/>
          <w:szCs w:val="15"/>
          <w:color w:val="auto"/>
        </w:rPr>
        <w:t>The party desiring to terminate this Agreement shall give notice of such termination to the other party.</w:t>
      </w:r>
    </w:p>
    <w:p>
      <w:pPr>
        <w:spacing w:after="0" w:line="175" w:lineRule="exact"/>
        <w:rPr>
          <w:sz w:val="20"/>
          <w:szCs w:val="20"/>
          <w:color w:val="auto"/>
        </w:rPr>
      </w:pPr>
    </w:p>
    <w:p>
      <w:pPr>
        <w:jc w:val="both"/>
        <w:ind w:right="3399" w:firstLine="444"/>
        <w:spacing w:after="0"/>
        <w:rPr>
          <w:sz w:val="20"/>
          <w:szCs w:val="20"/>
          <w:color w:val="auto"/>
        </w:rPr>
      </w:pPr>
      <w:r>
        <w:rPr>
          <w:rFonts w:ascii="Courier New" w:cs="Courier New" w:eastAsia="Courier New" w:hAnsi="Courier New"/>
          <w:sz w:val="15"/>
          <w:szCs w:val="15"/>
          <w:color w:val="auto"/>
        </w:rPr>
        <w:t>SECTION 13.02. Effect of Termination. If this Agreement is terminated as permitted by Section 13.01, termination shall be without liability of either party (or any stockholder, director, officer, employee, agent, consultant or representative of such party) to the other party to this Agreement; provided that if</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28" w:right="1440" w:bottom="1440" w:gutter="0" w:footer="0" w:header="0"/>
        </w:sectPr>
      </w:pPr>
    </w:p>
    <w:bookmarkStart w:id="236" w:name="page237"/>
    <w:bookmarkEnd w:id="236"/>
    <w:p>
      <w:pPr>
        <w:jc w:val="both"/>
        <w:ind w:left="9" w:right="3399"/>
        <w:spacing w:after="0" w:line="258" w:lineRule="auto"/>
        <w:rPr>
          <w:sz w:val="20"/>
          <w:szCs w:val="20"/>
          <w:color w:val="auto"/>
        </w:rPr>
      </w:pPr>
      <w:r>
        <w:rPr>
          <w:rFonts w:ascii="Courier New" w:cs="Courier New" w:eastAsia="Courier New" w:hAnsi="Courier New"/>
          <w:sz w:val="14"/>
          <w:szCs w:val="14"/>
          <w:color w:val="auto"/>
        </w:rPr>
        <w:t>such termination shall result from the willful (i) failure of either party to fulfill a condition to the performance of the obligations of the other party,</w:t>
      </w:r>
    </w:p>
    <w:p>
      <w:pPr>
        <w:ind w:left="9" w:right="3119" w:hanging="9"/>
        <w:spacing w:after="0"/>
        <w:tabs>
          <w:tab w:leader="none" w:pos="453"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perform a covenant of this Agreement or (iii) breach by either party hereto of any representation or warranty or agreement contained herein, such party shall be fully liable for any and all Damages incurred or suffered by the other party as a result of such failure or breach; and provided further that no party shall be liable for exemplary or punitive damages. The provisions of Sections 14.01, 14.03, 14.05, 14.06 and 14.07 shall survive any termination hereof pursuant to Section 13.01.</w:t>
      </w:r>
    </w:p>
    <w:p>
      <w:pPr>
        <w:spacing w:after="0" w:line="200" w:lineRule="exact"/>
        <w:rPr>
          <w:sz w:val="20"/>
          <w:szCs w:val="20"/>
          <w:color w:val="auto"/>
        </w:rPr>
      </w:pPr>
    </w:p>
    <w:p>
      <w:pPr>
        <w:spacing w:after="0" w:line="315"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ARTICLE 14</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SECTION 14.01. Notices. All notices, requests and other communications to any party hereunder shall be in writing (including facsimile transmission) and shall be given,</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if to Buyer, to:</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SBC Communications, Inc.</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175 East Houston</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San Antonio, Texas 78205</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Attention: Senior Executive Vice President</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and General Counsel</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Fax: (210) 351-2298</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Sullivan &amp; Cromwell</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125 Broad Street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New York, New York 10004</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Attention: Joseph B. Frumkin, Esq.</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Fax: (212) 558-3588</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if to Seller or Seller Guarantor, to:</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Attention: General Counsel</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Fax: (215) 981-7794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8"/>
          </w:cols>
          <w:pgMar w:left="231" w:top="972" w:right="1440" w:bottom="1440" w:gutter="0" w:footer="0" w:header="0"/>
        </w:sectPr>
      </w:pPr>
    </w:p>
    <w:bookmarkStart w:id="237" w:name="page238"/>
    <w:bookmarkEnd w:id="237"/>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0"/>
          <w:szCs w:val="20"/>
          <w:color w:val="auto"/>
        </w:rPr>
      </w:pPr>
    </w:p>
    <w:p>
      <w:pPr>
        <w:ind w:left="1580"/>
        <w:spacing w:after="0"/>
        <w:tabs>
          <w:tab w:leader="none" w:pos="33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Attention: Dennis S. Hersch, Esq.</w:t>
      </w:r>
    </w:p>
    <w:p>
      <w:pPr>
        <w:spacing w:after="0" w:line="1"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5"/>
          <w:szCs w:val="15"/>
          <w:color w:val="auto"/>
        </w:rPr>
        <w:t>Fax:</w:t>
        <w:tab/>
        <w:t>(212) 450-4800</w:t>
      </w:r>
    </w:p>
    <w:p>
      <w:pPr>
        <w:spacing w:after="0" w:line="174" w:lineRule="exact"/>
        <w:rPr>
          <w:sz w:val="20"/>
          <w:szCs w:val="20"/>
          <w:color w:val="auto"/>
        </w:rPr>
      </w:pPr>
    </w:p>
    <w:p>
      <w:pPr>
        <w:jc w:val="both"/>
        <w:ind w:right="3219"/>
        <w:spacing w:after="0" w:line="258" w:lineRule="auto"/>
        <w:rPr>
          <w:sz w:val="20"/>
          <w:szCs w:val="20"/>
          <w:color w:val="auto"/>
        </w:rPr>
      </w:pPr>
      <w:r>
        <w:rPr>
          <w:rFonts w:ascii="Courier New" w:cs="Courier New" w:eastAsia="Courier New" w:hAnsi="Courier New"/>
          <w:sz w:val="14"/>
          <w:szCs w:val="14"/>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1"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Otherwise, any such notice, request or communication shall be deemed not to have been received until the next succeeding business day in the place of receipt.</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14.02. Amendments and Waivers.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74" w:lineRule="exact"/>
        <w:rPr>
          <w:sz w:val="20"/>
          <w:szCs w:val="20"/>
          <w:color w:val="auto"/>
        </w:rPr>
      </w:pPr>
    </w:p>
    <w:p>
      <w:pPr>
        <w:ind w:right="3219" w:firstLine="435"/>
        <w:spacing w:after="0"/>
        <w:tabs>
          <w:tab w:leader="none" w:pos="7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14.03. Expenses. All costs and expenses incurred in connection with this Agreement shall be paid by the party incurring such cost or expense.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14.04.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 except that Buyer may transfer or assign, in whole or from time to time in part, to one or more of its Affiliates, the right to purchase all or a portion of the Shares, but no such transfer or assignment will relieve Buyer of its obligations hereunder.</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14.05. Governing Law. This Agreement shall be governed by and construed in accordance with the law of the State of Delaware, without regard to the conflicts of law rules of such state.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28" w:right="1440" w:bottom="1440" w:gutter="0" w:footer="0" w:header="0"/>
        </w:sectPr>
      </w:pPr>
    </w:p>
    <w:bookmarkStart w:id="238" w:name="page239"/>
    <w:bookmarkEnd w:id="238"/>
    <w:p>
      <w:pPr>
        <w:ind w:right="3119" w:firstLine="444"/>
        <w:spacing w:after="0" w:line="259" w:lineRule="auto"/>
        <w:rPr>
          <w:sz w:val="20"/>
          <w:szCs w:val="20"/>
          <w:color w:val="auto"/>
        </w:rPr>
      </w:pPr>
      <w:r>
        <w:rPr>
          <w:rFonts w:ascii="Courier New" w:cs="Courier New" w:eastAsia="Courier New" w:hAnsi="Courier New"/>
          <w:sz w:val="14"/>
          <w:szCs w:val="14"/>
          <w:color w:val="auto"/>
        </w:rPr>
        <w:t>SECTION 14.06. Jurisdiction. Except as otherwise expressly provided in this Agreement, any suit, action or proceeding seeking to enforce any provision of, or based on any matter arising out of or in connection with, this Agreement or the transactions contemplated hereby may be brought in the United States District Court for the District of Delaware or any other Delaware state court,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14.01 shall be deemed effective service of process on such party.</w:t>
      </w:r>
    </w:p>
    <w:p>
      <w:pPr>
        <w:spacing w:after="0" w:line="33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14.07. Waiver of Jury Trial. EACH OF THE PARTIES HERETO HEREBY IRREVOCABLY WAIVES ANY AND ALL RIGHT TO TRIAL BY JURY IN ANY LEGAL PROCEEDING ARISING OUT OF OR RELATED TO THIS AGREEMENT OR THE TRANSACTIONS CONTEMPLATED HEREBY.</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SECTION 14.08. Counterparts; No Third Party Beneficiaries. This Agreement may be signed in any number of counterparts, each of which shall be an original, with the same effect as if the signatures thereto and hereto were upon the same instrument. No provision of this Agreement is intended to confer upon any Person other than the parties hereto any rights or remedies hereunder.</w:t>
      </w:r>
    </w:p>
    <w:p>
      <w:pPr>
        <w:spacing w:after="0" w:line="162"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14.09. Table of Contents: Headings. The table of contents and section and other headings contained in this Agreement are for reference purposes only and are not intended to affect, describe, interpret, define or limit the meaning, scope, extent or intent of this Agreement.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14.10. Entire Agreement. This Agreement constitutes the entire agreement between the parties with respect to the subject matter of this Agreement and supersedes all prior agreements and understandings, both oral and written, between the parties with respect to the subject matter of this Agreement. No representation, inducement, promise, understanding, condition or warranty not set forth herein has been made or relied upon by either party hereto.</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239" w:name="page240"/>
    <w:bookmarkEnd w:id="239"/>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SBC COMMUNICATIONS INC.</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tabs>
          <w:tab w:leader="none" w:pos="3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James S. Kahan</w:t>
      </w:r>
    </w:p>
    <w:p>
      <w:pPr>
        <w:spacing w:after="0" w:line="1" w:lineRule="exact"/>
        <w:rPr>
          <w:sz w:val="20"/>
          <w:szCs w:val="20"/>
          <w:color w:val="auto"/>
        </w:rPr>
      </w:pPr>
    </w:p>
    <w:p>
      <w:pPr>
        <w:ind w:left="3000"/>
        <w:spacing w:after="0"/>
        <w:tabs>
          <w:tab w:leader="none" w:pos="3780" w:val="left"/>
        </w:tabs>
        <w:rPr>
          <w:sz w:val="20"/>
          <w:szCs w:val="20"/>
          <w:color w:val="auto"/>
        </w:rPr>
      </w:pPr>
      <w:r>
        <w:rPr>
          <w:rFonts w:ascii="Courier New" w:cs="Courier New" w:eastAsia="Courier New" w:hAnsi="Courier New"/>
          <w:sz w:val="15"/>
          <w:szCs w:val="15"/>
          <w:color w:val="auto"/>
        </w:rPr>
        <w:t>Title:</w:t>
        <w:tab/>
        <w:t>Senior Vice President-Corporate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Development</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CELLULAR HOLDINGS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FINANCIAL CORPORATION</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801" w:right="1440"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Subsidiaries of the Registrant</w:t>
            </w:r>
          </w:p>
        </w:tc>
        <w:tc>
          <w:tcPr>
            <w:tcW w:w="1700" w:type="dxa"/>
            <w:vAlign w:val="bottom"/>
          </w:tcPr>
          <w:p>
            <w:pPr>
              <w:spacing w:after="0"/>
              <w:rPr>
                <w:sz w:val="14"/>
                <w:szCs w:val="14"/>
                <w:color w:val="auto"/>
              </w:rPr>
            </w:pPr>
          </w:p>
        </w:tc>
      </w:tr>
      <w:tr>
        <w:trPr>
          <w:trHeight w:val="853"/>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Entity Name</w:t>
            </w:r>
          </w:p>
        </w:tc>
        <w:tc>
          <w:tcPr>
            <w:tcW w:w="382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1278844</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Ontario Ltd.</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Ontario, Canada</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Affiliate Marks Investments,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Affiliate Relations Holdings,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Affiliate Relations,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Amcell of Atlantic City,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NJ</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Amcell of Ocean County,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Amcell of Trenton,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NJ</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Amcell of Vineland Holdings,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American Cellular Network Corp.</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NJ</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Anglia Cable Communications Limited</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UK</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Aurora/Elgin Cellular Telephone Company,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IL</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w w:val="97"/>
              </w:rPr>
              <w:t>Automated Information Services of Phoenix Limited Partnership</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NM</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AWACS Financial Corporation</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AWACS Garden State,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AWACS Investment Holdings,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AWACS Purchasing Corporation</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AWACS Retail Stores,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AWACS, Inc.</w:t>
            </w:r>
          </w:p>
        </w:tc>
        <w:tc>
          <w:tcPr>
            <w:tcW w:w="3820" w:type="dxa"/>
            <w:vAlign w:val="bottom"/>
          </w:tcPr>
          <w:p>
            <w:pPr>
              <w:spacing w:after="0"/>
              <w:rPr>
                <w:sz w:val="14"/>
                <w:szCs w:val="14"/>
                <w:color w:val="auto"/>
              </w:rPr>
            </w:pP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PA</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Cablevision Investment of Detroit,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MI</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California Ad Sales,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Cambridge Cable Limited</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UK</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Cambridge Holding Company Limited</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UK</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CDirect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Mexico I,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CDirect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Mexico II,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Cell South of New Jersey,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NJ</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Classic</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3820" w:type="dxa"/>
            <w:vAlign w:val="bottom"/>
          </w:tcPr>
          <w:p>
            <w:pPr>
              <w:ind w:left="100"/>
              <w:spacing w:after="0"/>
              <w:rPr>
                <w:sz w:val="20"/>
                <w:szCs w:val="20"/>
                <w:color w:val="auto"/>
              </w:rPr>
            </w:pPr>
            <w:r>
              <w:rPr>
                <w:rFonts w:ascii="Courier New" w:cs="Courier New" w:eastAsia="Courier New" w:hAnsi="Courier New"/>
                <w:sz w:val="15"/>
                <w:szCs w:val="15"/>
                <w:color w:val="auto"/>
              </w:rPr>
              <w:t>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Clinton</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TV Investors, Inc.</w:t>
            </w:r>
          </w:p>
        </w:tc>
        <w:tc>
          <w:tcPr>
            <w:tcW w:w="1700" w:type="dxa"/>
            <w:vAlign w:val="bottom"/>
          </w:tcPr>
          <w:p>
            <w:pPr>
              <w:ind w:left="900"/>
              <w:spacing w:after="0"/>
              <w:rPr>
                <w:sz w:val="20"/>
                <w:szCs w:val="20"/>
                <w:color w:val="auto"/>
              </w:rPr>
            </w:pPr>
            <w:r>
              <w:rPr>
                <w:rFonts w:ascii="Courier New" w:cs="Courier New" w:eastAsia="Courier New" w:hAnsi="Courier New"/>
                <w:sz w:val="15"/>
                <w:szCs w:val="15"/>
                <w:color w:val="auto"/>
              </w:rPr>
              <w:t>MI</w:t>
            </w:r>
          </w:p>
        </w:tc>
      </w:tr>
      <w:tr>
        <w:trPr>
          <w:trHeight w:val="83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Entity Name</w:t>
            </w:r>
          </w:p>
        </w:tc>
        <w:tc>
          <w:tcPr>
            <w:tcW w:w="3820" w:type="dxa"/>
            <w:vAlign w:val="bottom"/>
          </w:tcPr>
          <w:p>
            <w:pPr>
              <w:spacing w:after="0"/>
              <w:rPr>
                <w:sz w:val="24"/>
                <w:szCs w:val="2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Coastal</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TV,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CT</w:t>
            </w:r>
          </w:p>
        </w:tc>
      </w:tr>
      <w:tr>
        <w:trPr>
          <w:trHeight w:val="17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 Indiana, Inc.</w:t>
            </w:r>
          </w:p>
        </w:tc>
        <w:tc>
          <w:tcPr>
            <w:tcW w:w="3820" w:type="dxa"/>
            <w:vAlign w:val="bottom"/>
          </w:tcPr>
          <w:p>
            <w:pPr>
              <w:spacing w:after="0"/>
              <w:rPr>
                <w:sz w:val="14"/>
                <w:szCs w:val="1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COM Indianapolis,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 Inkster, Inc.</w:t>
            </w:r>
          </w:p>
        </w:tc>
        <w:tc>
          <w:tcPr>
            <w:tcW w:w="3820" w:type="dxa"/>
            <w:vAlign w:val="bottom"/>
          </w:tcPr>
          <w:p>
            <w:pPr>
              <w:spacing w:after="0"/>
              <w:rPr>
                <w:sz w:val="14"/>
                <w:szCs w:val="1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MI</w:t>
            </w:r>
          </w:p>
        </w:tc>
      </w:tr>
      <w:tr>
        <w:trPr>
          <w:trHeight w:val="17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 Maryland, Inc.</w:t>
            </w:r>
          </w:p>
        </w:tc>
        <w:tc>
          <w:tcPr>
            <w:tcW w:w="3820" w:type="dxa"/>
            <w:vAlign w:val="bottom"/>
          </w:tcPr>
          <w:p>
            <w:pPr>
              <w:spacing w:after="0"/>
              <w:rPr>
                <w:sz w:val="14"/>
                <w:szCs w:val="1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 MH,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3820" w:type="dxa"/>
            <w:vAlign w:val="bottom"/>
          </w:tcPr>
          <w:p>
            <w:pPr>
              <w:spacing w:after="0"/>
              <w:rPr>
                <w:sz w:val="14"/>
                <w:szCs w:val="1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COM Sacramento,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CA</w:t>
            </w:r>
          </w:p>
        </w:tc>
      </w:tr>
      <w:tr>
        <w:trPr>
          <w:trHeight w:val="171"/>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 South, Inc.</w:t>
            </w:r>
          </w:p>
        </w:tc>
        <w:tc>
          <w:tcPr>
            <w:tcW w:w="3820" w:type="dxa"/>
            <w:vAlign w:val="bottom"/>
          </w:tcPr>
          <w:p>
            <w:pPr>
              <w:spacing w:after="0"/>
              <w:rPr>
                <w:sz w:val="14"/>
                <w:szCs w:val="14"/>
                <w:color w:val="auto"/>
              </w:rPr>
            </w:pP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CO</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COM Sports Holding Company,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COM Sports Ventures,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COM Telephony Services,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Argentina,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Biztravel,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Brazil,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Telephony Services,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Communications,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Communications,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PA</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Funding,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Investors,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of Indiana,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of Maryland,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Tri-Holdings, Inc.</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II</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III</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Corporation of Alabama</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AL</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Corporation of California</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CA</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Corporation of Connecticut</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CT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Corporation of Florida</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FL</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4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Corporation of the Southeast</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FL</w:t>
            </w:r>
          </w:p>
        </w:tc>
      </w:tr>
    </w:tbl>
    <w:p>
      <w:pPr>
        <w:sectPr>
          <w:pgSz w:w="11900" w:h="16838" w:orient="portrait"/>
          <w:cols w:equalWidth="0" w:num="1">
            <w:col w:w="10219"/>
          </w:cols>
          <w:pgMar w:left="240" w:top="139"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780" w:space="720"/>
            <w:col w:w="4719"/>
          </w:cols>
          <w:pgMar w:left="240" w:top="460"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Cablevision Investment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Arkansas,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Birmingham,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Boca Raton,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Broward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Bryant,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Burlington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Cambridge,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Carolina,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Central New Jersey,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Chesterfield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Danbury,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Delmarva,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Dothan,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Flint,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Fontana,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Fort Wayne Limited Partnership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Gadsden,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Gloucester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Grosse Pointe,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Hallandale,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Harford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Hopewell Valley,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Howard County,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MD</w:t>
      </w:r>
    </w:p>
    <w:p>
      <w:pPr>
        <w:sectPr>
          <w:pgSz w:w="11900" w:h="16838" w:orient="portrait"/>
          <w:cols w:equalWidth="0" w:num="2">
            <w:col w:w="5740" w:space="720"/>
            <w:col w:w="3759"/>
          </w:cols>
          <w:pgMar w:left="240" w:top="460" w:right="1440" w:bottom="1440" w:gutter="0" w:footer="0" w:header="0"/>
          <w:type w:val="continuous"/>
        </w:sectPr>
      </w:pPr>
    </w:p>
    <w:bookmarkStart w:id="242" w:name="page243"/>
    <w:bookmarkEnd w:id="242"/>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780" w:space="720"/>
            <w:col w:w="4719"/>
          </w:cols>
          <w:pgMar w:left="240" w:top="63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Cablevision of Huntsville,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Indianapolis,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Indianapolis,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Inkster Limited Partnership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Inland Valley,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Jersey City,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Laurel,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Lawrence,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Little Rock,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Lompoc,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London,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Lower Merion,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Marianna,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Maryland Limited Partnership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Maryland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Mercer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Meridian,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Middletown,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Mobile,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Monmouth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Jersey,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Newport Beach,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 Orange,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Northwest New Jersey,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Ocean County,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AL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NJ</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NJ</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NJ</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NJ</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w:t>
      </w:r>
    </w:p>
    <w:p>
      <w:pPr>
        <w:sectPr>
          <w:pgSz w:w="11900" w:h="16838" w:orient="portrait"/>
          <w:cols w:equalWidth="0" w:num="2">
            <w:col w:w="5580" w:space="720"/>
            <w:col w:w="3919"/>
          </w:cols>
          <w:pgMar w:left="240" w:top="631" w:right="1440" w:bottom="1440" w:gutter="0" w:footer="0" w:header="0"/>
          <w:type w:val="continuous"/>
        </w:sectPr>
      </w:pPr>
    </w:p>
    <w:bookmarkStart w:id="243" w:name="page244"/>
    <w:bookmarkEnd w:id="243"/>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680" w:space="720"/>
            <w:col w:w="4819"/>
          </w:cols>
          <w:pgMar w:left="240" w:top="460"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Cablevision of Paducah,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Perry,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Plainfield,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Sacramento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Sacramento,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 Bernardino,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Ana,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Maria,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Seal Beach,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Simi Valley,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Southeast Michigan,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Taylor,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Meadowlands,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Shoals,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Tupelo,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Tuscaloosa,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Utica,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Florida,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Palm Beach,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5220" w:space="720"/>
            <w:col w:w="4279"/>
          </w:cols>
          <w:pgMar w:left="240" w:top="460" w:right="1440" w:bottom="1440" w:gutter="0" w:footer="0" w:header="0"/>
          <w:type w:val="continuous"/>
        </w:sectPr>
      </w:pPr>
    </w:p>
    <w:bookmarkStart w:id="244" w:name="page245"/>
    <w:bookmarkEnd w:id="244"/>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Entity Name</w:t>
            </w:r>
          </w:p>
        </w:tc>
        <w:tc>
          <w:tcPr>
            <w:tcW w:w="2220" w:type="dxa"/>
            <w:vAlign w:val="bottom"/>
          </w:tcPr>
          <w:p>
            <w:pPr>
              <w:ind w:left="620"/>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Cablevision of Westmoreland,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Cablevision of Willow Grove,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Capital Corporation</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Cellular Communications,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Cellular Communications,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Cellular Corporation</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Cellular Holding Corporation</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Central NJ Holding Company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CitySearch,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Commercial Online Communications,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Communications Properties,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Crystalvision,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Darlington Limited</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DC Radio,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Directory Assistance Partnership</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Directory Services,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do Brasil S/C Ltda</w:t>
            </w:r>
          </w:p>
        </w:tc>
        <w:tc>
          <w:tcPr>
            <w:tcW w:w="22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Entertainment Holdings LLC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Financial Agency Corporation</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Financial Corporation</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Florida Programming Investments,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Funding,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FW,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Garden State,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Hattiesburg Holding Company,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Heritage,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Holdings,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ICG,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Interactive Capital Group,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Comcast Interactive Investments, Inc.</w:t>
            </w:r>
          </w:p>
        </w:tc>
        <w:tc>
          <w:tcPr>
            <w:tcW w:w="222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DE</w:t>
            </w:r>
          </w:p>
        </w:tc>
      </w:tr>
    </w:tbl>
    <w:p>
      <w:pPr>
        <w:sectPr>
          <w:pgSz w:w="11900" w:h="16838" w:orient="portrait"/>
          <w:cols w:equalWidth="0" w:num="1">
            <w:col w:w="10219"/>
          </w:cols>
          <w:pgMar w:left="240" w:top="628"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680" w:space="720"/>
            <w:col w:w="4819"/>
          </w:cols>
          <w:pgMar w:left="240" w:top="63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International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International Programming,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Internet Access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Internet Investments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Internet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Investment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Java,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Learning Ventures,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Life Insurance Holding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Long Distance,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Business Online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Telephony Communications of Florida,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Telephony Communications of Michigan,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MH Telephony Communications of New Jersey,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Michigan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Midwest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MTV,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Netherlands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Online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Online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Philadelphia Interconnect Partner,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Primestar Holdings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Ventures,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QVC,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5220" w:space="720"/>
            <w:col w:w="4279"/>
          </w:cols>
          <w:pgMar w:left="240" w:top="631" w:right="1440" w:bottom="1440" w:gutter="0" w:footer="0" w:header="0"/>
          <w:type w:val="continuous"/>
        </w:sectPr>
      </w:pPr>
    </w:p>
    <w:bookmarkStart w:id="246" w:name="page247"/>
    <w:bookmarkEnd w:id="246"/>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Entity Name</w:t>
            </w:r>
          </w:p>
        </w:tc>
        <w:tc>
          <w:tcPr>
            <w:tcW w:w="230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Real Estate Holdings of Alabama,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AL</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Real Estate Holdings,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SCH Holdings,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CO</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Sound Communications,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CO</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Sound Communications,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IL</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Sound Corporation</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Spectacor, L.P.</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PA</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Sports Holding Company,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Storer Finance Sub,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Storer,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Technology,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Teesside Limited</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UK</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Telecommunications,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PA</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Holdings,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California,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CA</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Connecticut,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CT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Delaware,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Florida,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FL</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Georgia,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GA</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Indiana,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IN</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Maryland,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MD</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Michigan,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MI</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New Jersey,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NJ</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Pennsylvania,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PA</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Communications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South Carolina,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SC</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Telephony Services</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Services Holdings, Inc.</w:t>
            </w: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Comcast Telephony Services,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Comcast Teleport, Inc.</w:t>
            </w:r>
          </w:p>
        </w:tc>
        <w:tc>
          <w:tcPr>
            <w:tcW w:w="2300" w:type="dxa"/>
            <w:vAlign w:val="bottom"/>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DE</w:t>
            </w:r>
          </w:p>
        </w:tc>
      </w:tr>
    </w:tbl>
    <w:p>
      <w:pPr>
        <w:sectPr>
          <w:pgSz w:w="11900" w:h="16838" w:orient="portrait"/>
          <w:cols w:equalWidth="0" w:num="1">
            <w:col w:w="10219"/>
          </w:cols>
          <w:pgMar w:left="240" w:top="628"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780" w:space="720"/>
            <w:col w:w="4719"/>
          </w:cols>
          <w:pgMar w:left="240" w:top="63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TM,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Consulting,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Holdings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Programming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WCS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ComCon Entertainment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Companies,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Distribution Co.,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 Television International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 Television,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Online,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Online,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Coast Cable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 Marks,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Exclamation Music,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EZShop International,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Television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 Telecommunications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Hebcom Enterprises,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Hebenstreit Communications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Hebenstreit Communications Dallas 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Hebenstreit Communications of Philadelphia-Wilmington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BVI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w:t>
      </w:r>
    </w:p>
    <w:p>
      <w:pPr>
        <w:spacing w:after="0" w:line="3" w:lineRule="exact"/>
        <w:rPr>
          <w:sz w:val="20"/>
          <w:szCs w:val="20"/>
          <w:color w:val="auto"/>
        </w:rPr>
      </w:pPr>
    </w:p>
    <w:p>
      <w:pPr>
        <w:sectPr>
          <w:pgSz w:w="11900" w:h="16838" w:orient="portrait"/>
          <w:cols w:equalWidth="0" w:num="2">
            <w:col w:w="5740" w:space="720"/>
            <w:col w:w="3759"/>
          </w:cols>
          <w:pgMar w:left="240" w:top="631"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Partnership</w:t>
      </w:r>
    </w:p>
    <w:p>
      <w:pPr>
        <w:sectPr>
          <w:pgSz w:w="11900" w:h="16838" w:orient="portrait"/>
          <w:cols w:equalWidth="0" w:num="1">
            <w:col w:w="10219"/>
          </w:cols>
          <w:pgMar w:left="240" w:top="631"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Innovative Retailing,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Joliet Cellular Telephone Company,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Branch Cellular Telephone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H Lightnet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5740" w:space="720"/>
            <w:col w:w="3759"/>
          </w:cols>
          <w:pgMar w:left="240" w:top="631" w:right="1440" w:bottom="1440" w:gutter="0" w:footer="0" w:header="0"/>
          <w:type w:val="continuous"/>
        </w:sectPr>
      </w:pPr>
    </w:p>
    <w:bookmarkStart w:id="248" w:name="page249"/>
    <w:bookmarkEnd w:id="248"/>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Entity Name</w:t>
            </w:r>
          </w:p>
        </w:tc>
        <w:tc>
          <w:tcPr>
            <w:tcW w:w="3060" w:type="dxa"/>
            <w:vAlign w:val="bottom"/>
          </w:tcPr>
          <w:p>
            <w:pPr>
              <w:spacing w:after="0"/>
              <w:rPr>
                <w:sz w:val="14"/>
                <w:szCs w:val="14"/>
                <w:color w:val="auto"/>
              </w:rPr>
            </w:pPr>
          </w:p>
        </w:tc>
        <w:tc>
          <w:tcPr>
            <w:tcW w:w="2180" w:type="dxa"/>
            <w:vAlign w:val="bottom"/>
          </w:tcPr>
          <w:p>
            <w:pPr>
              <w:ind w:left="580"/>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Mobile Enterprises,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Mt. Clemens Cable TV Investors,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MTCB S.A</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Brazil</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New Brunswick Cellular Telephone Company</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New England Microwave,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CT</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Ocean County</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Cellular Telephone Company</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WA</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Pattison Development,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Pattison Realty,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76ers,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76ers, L.P.</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Cable Investment Corporation</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Flyers Enterprises Company</w:t>
            </w:r>
          </w:p>
        </w:tc>
        <w:tc>
          <w:tcPr>
            <w:tcW w:w="21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Nova Scotia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Phantoms,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Phantoms, L.P.</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Sports Media Joint Venture</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Sports Media,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Sports Media, L.P.</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Q Fit, Inc.</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Q The Music,</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Q2 Inc.</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NY</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QDirect Ventures,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QExhibits,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QHealth, Inc.</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QVC Britain</w:t>
            </w:r>
          </w:p>
        </w:tc>
        <w:tc>
          <w:tcPr>
            <w:tcW w:w="3060" w:type="dxa"/>
            <w:vAlign w:val="bottom"/>
          </w:tcPr>
          <w:p>
            <w:pPr>
              <w:spacing w:after="0"/>
              <w:rPr>
                <w:sz w:val="14"/>
                <w:szCs w:val="14"/>
                <w:color w:val="auto"/>
              </w:rPr>
            </w:pP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QVC Britain I,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QVC Britain II,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QVC Britain III, Inc.</w:t>
            </w:r>
          </w:p>
        </w:tc>
        <w:tc>
          <w:tcPr>
            <w:tcW w:w="21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QVC Canada Holdings II Ltd.</w:t>
            </w:r>
          </w:p>
        </w:tc>
        <w:tc>
          <w:tcPr>
            <w:tcW w:w="21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Ontario</w:t>
            </w:r>
          </w:p>
        </w:tc>
      </w:tr>
      <w:tr>
        <w:trPr>
          <w:trHeight w:val="17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QVC Canada Holdings Ltd.</w:t>
            </w:r>
          </w:p>
        </w:tc>
        <w:tc>
          <w:tcPr>
            <w:tcW w:w="21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Ontario</w:t>
            </w:r>
          </w:p>
        </w:tc>
      </w:tr>
    </w:tbl>
    <w:p>
      <w:pPr>
        <w:sectPr>
          <w:pgSz w:w="11900" w:h="16838" w:orient="portrait"/>
          <w:cols w:equalWidth="0" w:num="1">
            <w:col w:w="10219"/>
          </w:cols>
          <w:pgMar w:left="240" w:top="628" w:right="1440"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Entity Name</w:t>
            </w:r>
          </w:p>
        </w:tc>
        <w:tc>
          <w:tcPr>
            <w:tcW w:w="2260" w:type="dxa"/>
            <w:vAlign w:val="bottom"/>
          </w:tcPr>
          <w:p>
            <w:pPr>
              <w:ind w:left="660"/>
              <w:spacing w:after="0"/>
              <w:rPr>
                <w:sz w:val="20"/>
                <w:szCs w:val="20"/>
                <w:color w:val="auto"/>
              </w:rPr>
            </w:pPr>
            <w:r>
              <w:rPr>
                <w:rFonts w:ascii="Courier New" w:cs="Courier New" w:eastAsia="Courier New" w:hAnsi="Courier New"/>
                <w:sz w:val="15"/>
                <w:szCs w:val="15"/>
                <w:color w:val="auto"/>
                <w:w w:val="97"/>
              </w:rPr>
              <w:t>Organization Place</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Chesapeake,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de Mexico de C.V</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Mexico</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Delaware,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Deutschland GMBH</w:t>
            </w:r>
          </w:p>
        </w:tc>
        <w:tc>
          <w:tcPr>
            <w:tcW w:w="226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EV-SERVICE GmbH</w:t>
            </w:r>
          </w:p>
        </w:tc>
        <w:tc>
          <w:tcPr>
            <w:tcW w:w="226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Germany I,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Germany II,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Holdings,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International,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Local,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Mexico II,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Mexico III,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Mexico,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Middle East,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NS Holding Company</w:t>
            </w:r>
          </w:p>
        </w:tc>
        <w:tc>
          <w:tcPr>
            <w:tcW w:w="226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Nova Scotia</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ProductWorks,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Realty,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San Antonio,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TX</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Virginia,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QVC,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River City Cablevision,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11,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34,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36,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37,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38,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48,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SCI 55, Inc.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Selkirk Communications (Delaware) Corporation</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Shop.eonline.com, LLC</w:t>
            </w:r>
          </w:p>
        </w:tc>
        <w:tc>
          <w:tcPr>
            <w:tcW w:w="22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CA</w:t>
            </w:r>
          </w:p>
        </w:tc>
      </w:tr>
    </w:tbl>
    <w:p>
      <w:pPr>
        <w:sectPr>
          <w:pgSz w:w="11900" w:h="16838" w:orient="portrait"/>
          <w:cols w:equalWidth="0" w:num="1">
            <w:col w:w="10219"/>
          </w:cols>
          <w:pgMar w:left="240" w:top="628"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80" w:lineRule="exact"/>
        <w:rPr>
          <w:sz w:val="20"/>
          <w:szCs w:val="20"/>
          <w:color w:val="auto"/>
        </w:rPr>
      </w:pPr>
    </w:p>
    <w:p>
      <w:pPr>
        <w:sectPr>
          <w:pgSz w:w="11900" w:h="16838" w:orient="portrait"/>
          <w:cols w:equalWidth="0" w:num="2">
            <w:col w:w="4600" w:space="720"/>
            <w:col w:w="4899"/>
          </w:cols>
          <w:pgMar w:left="240" w:top="63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Southern East Anglia Cable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Spectacor Adjoining Real Estate New Arena, 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Spectrum Arena Limited Partnership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Vineland Cellular Telephone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Westmoreland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Cellular Telephone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Cellular Telephone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5220" w:space="720"/>
            <w:col w:w="4279"/>
          </w:cols>
          <w:pgMar w:left="240" w:top="631" w:right="1440" w:bottom="1440" w:gutter="0" w:footer="0" w:header="0"/>
          <w:type w:val="continuous"/>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INDEPENDENT AUDITORS' CONSENT AND REPORT ON 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(the "Company") on Form S-3 and S-8 of our report dated February 22, 1999, appearing in the Annual Report on Form 10-K of Comcast Corporation and its subsidiaries for the year ended December 31,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6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Registration Statement Number</w:t>
            </w:r>
          </w:p>
        </w:tc>
      </w:tr>
      <w:tr>
        <w:trPr>
          <w:trHeight w:val="34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33-41440</w:t>
            </w:r>
          </w:p>
        </w:tc>
      </w:tr>
      <w:tr>
        <w:trPr>
          <w:trHeight w:val="34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33-63223</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9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33-54365</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33-56903</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The 1996 Comcast Corporation Stock Option Plan</w:t>
            </w:r>
          </w:p>
        </w:tc>
        <w:tc>
          <w:tcPr>
            <w:tcW w:w="9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333-08577</w:t>
            </w:r>
          </w:p>
        </w:tc>
      </w:tr>
      <w:tr>
        <w:trPr>
          <w:trHeight w:val="34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333-18715</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Comcast-Spectacor 401(k) Plan</w:t>
            </w:r>
          </w:p>
        </w:tc>
        <w:tc>
          <w:tcPr>
            <w:tcW w:w="9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333-69709</w:t>
            </w:r>
          </w:p>
        </w:tc>
      </w:tr>
      <w:tr>
        <w:trPr>
          <w:trHeight w:val="512"/>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Title of Security Registered</w:t>
            </w: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20" w:type="dxa"/>
            <w:vAlign w:val="bottom"/>
          </w:tcPr>
          <w:p>
            <w:pPr>
              <w:spacing w:after="0"/>
              <w:rPr>
                <w:sz w:val="24"/>
                <w:szCs w:val="24"/>
                <w:color w:val="auto"/>
              </w:rPr>
            </w:pPr>
          </w:p>
        </w:tc>
      </w:tr>
      <w:tr>
        <w:trPr>
          <w:trHeight w:val="17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 par</w:t>
            </w:r>
          </w:p>
        </w:tc>
        <w:tc>
          <w:tcPr>
            <w:tcW w:w="1720" w:type="dxa"/>
            <w:vAlign w:val="bottom"/>
          </w:tcPr>
          <w:p>
            <w:pPr>
              <w:spacing w:after="0"/>
              <w:rPr>
                <w:sz w:val="14"/>
                <w:szCs w:val="14"/>
                <w:color w:val="auto"/>
              </w:rPr>
            </w:pPr>
          </w:p>
        </w:tc>
      </w:tr>
      <w:tr>
        <w:trPr>
          <w:trHeight w:val="17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value; Depository Shares representing Preferred Stock;</w:t>
            </w:r>
          </w:p>
        </w:tc>
        <w:tc>
          <w:tcPr>
            <w:tcW w:w="1720" w:type="dxa"/>
            <w:vAlign w:val="bottom"/>
          </w:tcPr>
          <w:p>
            <w:pPr>
              <w:spacing w:after="0"/>
              <w:rPr>
                <w:sz w:val="14"/>
                <w:szCs w:val="14"/>
                <w:color w:val="auto"/>
              </w:rPr>
            </w:pPr>
          </w:p>
        </w:tc>
      </w:tr>
      <w:tr>
        <w:trPr>
          <w:trHeight w:val="17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Class A Common Stock, $1.00 par value; Class A Special</w:t>
            </w:r>
          </w:p>
        </w:tc>
        <w:tc>
          <w:tcPr>
            <w:tcW w:w="1720" w:type="dxa"/>
            <w:vAlign w:val="bottom"/>
          </w:tcPr>
          <w:p>
            <w:pPr>
              <w:spacing w:after="0"/>
              <w:rPr>
                <w:sz w:val="14"/>
                <w:szCs w:val="1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940" w:type="dxa"/>
            <w:vAlign w:val="bottom"/>
          </w:tcPr>
          <w:p>
            <w:pPr>
              <w:spacing w:after="0"/>
              <w:rPr>
                <w:sz w:val="14"/>
                <w:szCs w:val="1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33-50785</w:t>
            </w:r>
          </w:p>
        </w:tc>
      </w:tr>
    </w:tbl>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Our audits of the financial statements referred to in our aforementioned report also included the financial statement schedules of the Company, listed in Item 14(b)(i).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19"/>
          </w:cols>
          <w:pgMar w:left="240" w:top="480" w:right="1440" w:bottom="1440" w:gutter="0" w:footer="0" w:header="0"/>
        </w:sectPr>
      </w:pPr>
    </w:p>
    <w:bookmarkStart w:id="252" w:name="page253"/>
    <w:bookmarkEnd w:id="252"/>
    <w:p>
      <w:pPr>
        <w:spacing w:after="0"/>
        <w:tabs>
          <w:tab w:leader="none" w:pos="1220" w:val="left"/>
        </w:tabs>
        <w:rPr>
          <w:sz w:val="20"/>
          <w:szCs w:val="20"/>
          <w:color w:val="auto"/>
        </w:rPr>
      </w:pPr>
      <w:r>
        <w:rPr>
          <w:rFonts w:ascii="Courier New" w:cs="Courier New" w:eastAsia="Courier New" w:hAnsi="Courier New"/>
          <w:sz w:val="15"/>
          <w:szCs w:val="15"/>
          <w:color w:val="auto"/>
        </w:rPr>
        <w:t>Exhibit 23.2</w:t>
      </w:r>
      <w:r>
        <w:rPr>
          <w:sz w:val="20"/>
          <w:szCs w:val="20"/>
          <w:color w:val="auto"/>
        </w:rPr>
        <w:tab/>
      </w:r>
      <w:r>
        <w:rPr>
          <w:rFonts w:ascii="Courier New" w:cs="Courier New" w:eastAsia="Courier New" w:hAnsi="Courier New"/>
          <w:sz w:val="14"/>
          <w:szCs w:val="14"/>
          <w:color w:val="auto"/>
        </w:rPr>
        <w:t>Consent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consent to the incorporation by reference in the registration statements (Nos. 33-41440, 33-63223, 33-54365, 33-56903, 333-08577, 333-18715 and 333-69709) on Form S-8 and (No. 33-50785) on Form S-3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25, 1999</w:t>
      </w:r>
    </w:p>
    <w:p>
      <w:pPr>
        <w:sectPr>
          <w:pgSz w:w="11900" w:h="16838" w:orient="portrait"/>
          <w:cols w:equalWidth="0" w:num="1">
            <w:col w:w="10219"/>
          </w:cols>
          <w:pgMar w:left="240" w:top="139" w:right="1440" w:bottom="1440" w:gutter="0" w:footer="0" w:header="0"/>
        </w:sectPr>
      </w:pPr>
    </w:p>
    <w:bookmarkStart w:id="253" w:name="page254"/>
    <w:bookmarkEnd w:id="253"/>
    <w:p>
      <w:pPr>
        <w:ind w:left="8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63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0000022301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871</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670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121</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3,843</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3,887</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(1,362)</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14,817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3,093</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5,464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541</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32</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370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2,873</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14,817</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5,145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5,145</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1,462</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4,588</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(1,467)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467</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963</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1,008</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(31)</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972</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2.57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2.41</w:t>
      </w:r>
    </w:p>
    <w:p>
      <w:pPr>
        <w:spacing w:after="0" w:line="174"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5"/>
          <w:szCs w:val="15"/>
          <w:color w:val="auto"/>
        </w:rPr>
        <w:t>Current assets includes investments available for sale of $3,635. Loss before income tax expense and other items excludes the effect of minority interests, net of tax, of $44.3.</w:t>
      </w:r>
    </w:p>
    <w:p>
      <w:pPr>
        <w:sectPr>
          <w:pgSz w:w="11900" w:h="16838" w:orient="portrait"/>
          <w:cols w:equalWidth="0" w:num="1">
            <w:col w:w="10219"/>
          </w:cols>
          <w:pgMar w:left="240" w:top="480"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audited the accompanying consolidated balance sheets of QVC, Inc. and subsidiaries as of December 31, 1998 and 1997, and the related consolidated statements of operations and comprehensive income, shareholders' equity and cash flows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December 31, 1998 and 1997, and the results of their operations and their cash flows for each of the years in the three-year period ended December 31, 1998, in conformity with generally accepted accounting principles.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3, 1999</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6DE806"/>
    <w:multiLevelType w:val="hybridMultilevel"/>
    <w:lvl w:ilvl="0">
      <w:lvlJc w:val="left"/>
      <w:lvlText w:val="[%1]"/>
      <w:numFmt w:val="upperLetter"/>
      <w:start w:val="24"/>
    </w:lvl>
  </w:abstractNum>
  <w:abstractNum w:abstractNumId="1">
    <w:nsid w:val="1816F8C4"/>
    <w:multiLevelType w:val="hybridMultilevel"/>
    <w:lvl w:ilvl="0">
      <w:lvlJc w:val="left"/>
      <w:lvlText w:val="["/>
      <w:numFmt w:val="bullet"/>
      <w:start w:val="1"/>
    </w:lvl>
  </w:abstractNum>
  <w:abstractNum w:abstractNumId="2">
    <w:nsid w:val="37DF2233"/>
    <w:multiLevelType w:val="hybridMultilevel"/>
    <w:lvl w:ilvl="0">
      <w:lvlJc w:val="left"/>
      <w:lvlText w:val="o"/>
      <w:numFmt w:val="bullet"/>
      <w:start w:val="1"/>
    </w:lvl>
  </w:abstractNum>
  <w:abstractNum w:abstractNumId="3">
    <w:nsid w:val="7AB49DAF"/>
    <w:multiLevelType w:val="hybridMultilevel"/>
    <w:lvl w:ilvl="0">
      <w:lvlJc w:val="left"/>
      <w:lvlText w:val="o"/>
      <w:numFmt w:val="bullet"/>
      <w:start w:val="1"/>
    </w:lvl>
  </w:abstractNum>
  <w:abstractNum w:abstractNumId="4">
    <w:nsid w:val="759F82CD"/>
    <w:multiLevelType w:val="hybridMultilevel"/>
    <w:lvl w:ilvl="0">
      <w:lvlJc w:val="left"/>
      <w:lvlText w:val="o"/>
      <w:numFmt w:val="bullet"/>
      <w:start w:val="1"/>
    </w:lvl>
  </w:abstractNum>
  <w:abstractNum w:abstractNumId="5">
    <w:nsid w:val="61E74EA3"/>
    <w:multiLevelType w:val="hybridMultilevel"/>
    <w:lvl w:ilvl="0">
      <w:lvlJc w:val="left"/>
      <w:lvlText w:val="o"/>
      <w:numFmt w:val="bullet"/>
      <w:start w:val="1"/>
    </w:lvl>
  </w:abstractNum>
  <w:abstractNum w:abstractNumId="6">
    <w:nsid w:val="597B4D84"/>
    <w:multiLevelType w:val="hybridMultilevel"/>
    <w:lvl w:ilvl="0">
      <w:lvlJc w:val="left"/>
      <w:lvlText w:val="o"/>
      <w:numFmt w:val="bullet"/>
      <w:start w:val="1"/>
    </w:lvl>
  </w:abstractNum>
  <w:abstractNum w:abstractNumId="7">
    <w:nsid w:val="F819E7F"/>
    <w:multiLevelType w:val="hybridMultilevel"/>
    <w:lvl w:ilvl="0">
      <w:lvlJc w:val="left"/>
      <w:lvlText w:val="o"/>
      <w:numFmt w:val="bullet"/>
      <w:start w:val="1"/>
    </w:lvl>
  </w:abstractNum>
  <w:abstractNum w:abstractNumId="8">
    <w:nsid w:val="57C7D42D"/>
    <w:multiLevelType w:val="hybridMultilevel"/>
    <w:lvl w:ilvl="0">
      <w:lvlJc w:val="left"/>
      <w:lvlText w:val="o"/>
      <w:numFmt w:val="bullet"/>
      <w:start w:val="1"/>
    </w:lvl>
  </w:abstractNum>
  <w:abstractNum w:abstractNumId="9">
    <w:nsid w:val="312167AD"/>
    <w:multiLevelType w:val="hybridMultilevel"/>
    <w:lvl w:ilvl="0">
      <w:lvlJc w:val="left"/>
      <w:lvlText w:val="o"/>
      <w:numFmt w:val="bullet"/>
      <w:start w:val="1"/>
    </w:lvl>
  </w:abstractNum>
  <w:abstractNum w:abstractNumId="10">
    <w:nsid w:val="631B64D4"/>
    <w:multiLevelType w:val="hybridMultilevel"/>
    <w:lvl w:ilvl="0">
      <w:lvlJc w:val="left"/>
      <w:lvlText w:val="(%1)"/>
      <w:numFmt w:val="decimal"/>
      <w:start w:val="1"/>
    </w:lvl>
  </w:abstractNum>
  <w:abstractNum w:abstractNumId="11">
    <w:nsid w:val="78B5E776"/>
    <w:multiLevelType w:val="hybridMultilevel"/>
    <w:lvl w:ilvl="0">
      <w:lvlJc w:val="left"/>
      <w:lvlText w:val="o"/>
      <w:numFmt w:val="bullet"/>
      <w:start w:val="1"/>
    </w:lvl>
  </w:abstractNum>
  <w:abstractNum w:abstractNumId="12">
    <w:nsid w:val="75486E47"/>
    <w:multiLevelType w:val="hybridMultilevel"/>
    <w:lvl w:ilvl="0">
      <w:lvlJc w:val="left"/>
      <w:lvlText w:val="o"/>
      <w:numFmt w:val="bullet"/>
      <w:start w:val="1"/>
    </w:lvl>
  </w:abstractNum>
  <w:abstractNum w:abstractNumId="13">
    <w:nsid w:val="6E534CDE"/>
    <w:multiLevelType w:val="hybridMultilevel"/>
    <w:lvl w:ilvl="0">
      <w:lvlJc w:val="left"/>
      <w:lvlText w:val="o"/>
      <w:numFmt w:val="bullet"/>
      <w:start w:val="1"/>
    </w:lvl>
  </w:abstractNum>
  <w:abstractNum w:abstractNumId="14">
    <w:nsid w:val="1A0DDE32"/>
    <w:multiLevelType w:val="hybridMultilevel"/>
    <w:lvl w:ilvl="0">
      <w:lvlJc w:val="left"/>
      <w:lvlText w:val="o"/>
      <w:numFmt w:val="bullet"/>
      <w:start w:val="1"/>
    </w:lvl>
  </w:abstractNum>
  <w:abstractNum w:abstractNumId="15">
    <w:nsid w:val="65968C1C"/>
    <w:multiLevelType w:val="hybridMultilevel"/>
    <w:lvl w:ilvl="0">
      <w:lvlJc w:val="left"/>
      <w:lvlText w:val="o"/>
      <w:numFmt w:val="bullet"/>
      <w:start w:val="1"/>
    </w:lvl>
    <w:lvl w:ilvl="1">
      <w:lvlJc w:val="left"/>
      <w:lvlText w:val="-"/>
      <w:numFmt w:val="bullet"/>
      <w:start w:val="1"/>
    </w:lvl>
  </w:abstractNum>
  <w:abstractNum w:abstractNumId="16">
    <w:nsid w:val="46263DEC"/>
    <w:multiLevelType w:val="hybridMultilevel"/>
    <w:lvl w:ilvl="0">
      <w:lvlJc w:val="left"/>
      <w:lvlText w:val="o"/>
      <w:numFmt w:val="bullet"/>
      <w:start w:val="1"/>
    </w:lvl>
  </w:abstractNum>
  <w:abstractNum w:abstractNumId="17">
    <w:nsid w:val="260D8C4A"/>
    <w:multiLevelType w:val="hybridMultilevel"/>
    <w:lvl w:ilvl="0">
      <w:lvlJc w:val="left"/>
      <w:lvlText w:val="o"/>
      <w:numFmt w:val="bullet"/>
      <w:start w:val="1"/>
    </w:lvl>
  </w:abstractNum>
  <w:abstractNum w:abstractNumId="18">
    <w:nsid w:val="73D4D3C4"/>
    <w:multiLevelType w:val="hybridMultilevel"/>
    <w:lvl w:ilvl="0">
      <w:lvlJc w:val="left"/>
      <w:lvlText w:val="o"/>
      <w:numFmt w:val="bullet"/>
      <w:start w:val="1"/>
    </w:lvl>
  </w:abstractNum>
  <w:abstractNum w:abstractNumId="19">
    <w:nsid w:val="746F2E30"/>
    <w:multiLevelType w:val="hybridMultilevel"/>
    <w:lvl w:ilvl="0">
      <w:lvlJc w:val="left"/>
      <w:lvlText w:val="o"/>
      <w:numFmt w:val="bullet"/>
      <w:start w:val="1"/>
    </w:lvl>
    <w:lvl w:ilvl="1">
      <w:lvlJc w:val="left"/>
      <w:lvlText w:val="-"/>
      <w:numFmt w:val="bullet"/>
      <w:start w:val="1"/>
    </w:lvl>
  </w:abstractNum>
  <w:abstractNum w:abstractNumId="20">
    <w:nsid w:val="6FDE8AF6"/>
    <w:multiLevelType w:val="hybridMultilevel"/>
    <w:lvl w:ilvl="0">
      <w:lvlJc w:val="left"/>
      <w:lvlText w:val="o"/>
      <w:numFmt w:val="bullet"/>
      <w:start w:val="1"/>
    </w:lvl>
  </w:abstractNum>
  <w:abstractNum w:abstractNumId="21">
    <w:nsid w:val="3FC32E20"/>
    <w:multiLevelType w:val="hybridMultilevel"/>
    <w:lvl w:ilvl="0">
      <w:lvlJc w:val="left"/>
      <w:lvlText w:val="o"/>
      <w:numFmt w:val="bullet"/>
      <w:start w:val="1"/>
    </w:lvl>
  </w:abstractNum>
  <w:abstractNum w:abstractNumId="22">
    <w:nsid w:val="49C0E823"/>
    <w:multiLevelType w:val="hybridMultilevel"/>
    <w:lvl w:ilvl="0">
      <w:lvlJc w:val="left"/>
      <w:lvlText w:val="o"/>
      <w:numFmt w:val="bullet"/>
      <w:start w:val="1"/>
    </w:lvl>
  </w:abstractNum>
  <w:abstractNum w:abstractNumId="23">
    <w:nsid w:val="14D53685"/>
    <w:multiLevelType w:val="hybridMultilevel"/>
    <w:lvl w:ilvl="0">
      <w:lvlJc w:val="left"/>
      <w:lvlText w:val="o"/>
      <w:numFmt w:val="bullet"/>
      <w:start w:val="1"/>
    </w:lvl>
  </w:abstractNum>
  <w:abstractNum w:abstractNumId="24">
    <w:nsid w:val="230F856C"/>
    <w:multiLevelType w:val="hybridMultilevel"/>
    <w:lvl w:ilvl="0">
      <w:lvlJc w:val="left"/>
      <w:lvlText w:val="o"/>
      <w:numFmt w:val="bullet"/>
      <w:start w:val="1"/>
    </w:lvl>
  </w:abstractNum>
  <w:abstractNum w:abstractNumId="25">
    <w:nsid w:val="6EAA85FB"/>
    <w:multiLevelType w:val="hybridMultilevel"/>
    <w:lvl w:ilvl="0">
      <w:lvlJc w:val="left"/>
      <w:lvlText w:val="o"/>
      <w:numFmt w:val="bullet"/>
      <w:start w:val="1"/>
    </w:lvl>
  </w:abstractNum>
  <w:abstractNum w:abstractNumId="26">
    <w:nsid w:val="3F06ECB2"/>
    <w:multiLevelType w:val="hybridMultilevel"/>
    <w:lvl w:ilvl="0">
      <w:lvlJc w:val="left"/>
      <w:lvlText w:val="o"/>
      <w:numFmt w:val="bullet"/>
      <w:start w:val="1"/>
    </w:lvl>
  </w:abstractNum>
  <w:abstractNum w:abstractNumId="27">
    <w:nsid w:val="3B594807"/>
    <w:multiLevelType w:val="hybridMultilevel"/>
    <w:lvl w:ilvl="0">
      <w:lvlJc w:val="left"/>
      <w:lvlText w:val="o"/>
      <w:numFmt w:val="bullet"/>
      <w:start w:val="1"/>
    </w:lvl>
  </w:abstractNum>
  <w:abstractNum w:abstractNumId="28">
    <w:nsid w:val="6CAA2304"/>
    <w:multiLevelType w:val="hybridMultilevel"/>
    <w:lvl w:ilvl="0">
      <w:lvlJc w:val="left"/>
      <w:lvlText w:val="o"/>
      <w:numFmt w:val="bullet"/>
      <w:start w:val="1"/>
    </w:lvl>
    <w:lvl w:ilvl="1">
      <w:lvlJc w:val="left"/>
      <w:lvlText w:val="-"/>
      <w:numFmt w:val="bullet"/>
      <w:start w:val="1"/>
    </w:lvl>
  </w:abstractNum>
  <w:abstractNum w:abstractNumId="29">
    <w:nsid w:val="3F7C2FF4"/>
    <w:multiLevelType w:val="hybridMultilevel"/>
    <w:lvl w:ilvl="0">
      <w:lvlJc w:val="left"/>
      <w:lvlText w:val="o"/>
      <w:numFmt w:val="bullet"/>
      <w:start w:val="1"/>
    </w:lvl>
  </w:abstractNum>
  <w:abstractNum w:abstractNumId="30">
    <w:nsid w:val="25413BEC"/>
    <w:multiLevelType w:val="hybridMultilevel"/>
    <w:lvl w:ilvl="0">
      <w:lvlJc w:val="left"/>
      <w:lvlText w:val="o"/>
      <w:numFmt w:val="bullet"/>
      <w:start w:val="1"/>
    </w:lvl>
  </w:abstractNum>
  <w:abstractNum w:abstractNumId="31">
    <w:nsid w:val="17180B0B"/>
    <w:multiLevelType w:val="hybridMultilevel"/>
    <w:lvl w:ilvl="0">
      <w:lvlJc w:val="left"/>
      <w:lvlText w:val="o"/>
      <w:numFmt w:val="bullet"/>
      <w:start w:val="1"/>
    </w:lvl>
  </w:abstractNum>
  <w:abstractNum w:abstractNumId="32">
    <w:nsid w:val="579328B9"/>
    <w:multiLevelType w:val="hybridMultilevel"/>
    <w:lvl w:ilvl="0">
      <w:lvlJc w:val="left"/>
      <w:lvlText w:val="o"/>
      <w:numFmt w:val="bullet"/>
      <w:start w:val="1"/>
    </w:lvl>
  </w:abstractNum>
  <w:abstractNum w:abstractNumId="33">
    <w:nsid w:val="5D205E20"/>
    <w:multiLevelType w:val="hybridMultilevel"/>
    <w:lvl w:ilvl="0">
      <w:lvlJc w:val="left"/>
      <w:lvlText w:val="(%1)"/>
      <w:numFmt w:val="decimal"/>
      <w:start w:val="1"/>
    </w:lvl>
    <w:lvl w:ilvl="1">
      <w:lvlJc w:val="left"/>
      <w:lvlText w:val="-"/>
      <w:numFmt w:val="bullet"/>
      <w:start w:val="1"/>
    </w:lvl>
  </w:abstractNum>
  <w:abstractNum w:abstractNumId="34">
    <w:nsid w:val="11CCA8BA"/>
    <w:multiLevelType w:val="hybridMultilevel"/>
    <w:lvl w:ilvl="0">
      <w:lvlJc w:val="left"/>
      <w:lvlText w:val="o"/>
      <w:numFmt w:val="bullet"/>
      <w:start w:val="1"/>
    </w:lvl>
  </w:abstractNum>
  <w:abstractNum w:abstractNumId="35">
    <w:nsid w:val="4D32AB86"/>
    <w:multiLevelType w:val="hybridMultilevel"/>
    <w:lvl w:ilvl="0">
      <w:lvlJc w:val="left"/>
      <w:lvlText w:val="o"/>
      <w:numFmt w:val="bullet"/>
      <w:start w:val="1"/>
    </w:lvl>
  </w:abstractNum>
  <w:abstractNum w:abstractNumId="36">
    <w:nsid w:val="3F07ACC3"/>
    <w:multiLevelType w:val="hybridMultilevel"/>
    <w:lvl w:ilvl="0">
      <w:lvlJc w:val="left"/>
      <w:lvlText w:val="(%1)"/>
      <w:numFmt w:val="decimal"/>
      <w:start w:val="1"/>
    </w:lvl>
  </w:abstractNum>
  <w:abstractNum w:abstractNumId="37">
    <w:nsid w:val="6B47F63E"/>
    <w:multiLevelType w:val="hybridMultilevel"/>
    <w:lvl w:ilvl="0">
      <w:lvlJc w:val="left"/>
      <w:lvlText w:val="(%1)"/>
      <w:numFmt w:val="decimal"/>
      <w:start w:val="1"/>
    </w:lvl>
    <w:lvl w:ilvl="1">
      <w:lvlJc w:val="left"/>
      <w:lvlText w:val="-"/>
      <w:numFmt w:val="bullet"/>
      <w:start w:val="1"/>
    </w:lvl>
  </w:abstractNum>
  <w:abstractNum w:abstractNumId="38">
    <w:nsid w:val="5CB44A05"/>
    <w:multiLevelType w:val="hybridMultilevel"/>
    <w:lvl w:ilvl="0">
      <w:lvlJc w:val="left"/>
      <w:lvlText w:val="%1."/>
      <w:numFmt w:val="decimal"/>
      <w:start w:val="1"/>
    </w:lvl>
    <w:lvl w:ilvl="1">
      <w:lvlJc w:val="left"/>
      <w:lvlText w:val="-"/>
      <w:numFmt w:val="bullet"/>
      <w:start w:val="1"/>
    </w:lvl>
  </w:abstractNum>
  <w:abstractNum w:abstractNumId="39">
    <w:nsid w:val="16CF80F1"/>
    <w:multiLevelType w:val="hybridMultilevel"/>
    <w:lvl w:ilvl="0">
      <w:lvlJc w:val="left"/>
      <w:lvlText w:val="%1."/>
      <w:numFmt w:val="decimal"/>
      <w:start w:val="3"/>
    </w:lvl>
    <w:lvl w:ilvl="1">
      <w:lvlJc w:val="left"/>
      <w:lvlText w:val="-"/>
      <w:numFmt w:val="bullet"/>
      <w:start w:val="1"/>
    </w:lvl>
  </w:abstractNum>
  <w:abstractNum w:abstractNumId="40">
    <w:nsid w:val="1C695DEC"/>
    <w:multiLevelType w:val="hybridMultilevel"/>
    <w:lvl w:ilvl="0">
      <w:lvlJc w:val="left"/>
      <w:lvlText w:val="(%1)"/>
      <w:numFmt w:val="lowerRoman"/>
      <w:start w:val="3"/>
    </w:lvl>
  </w:abstractNum>
  <w:abstractNum w:abstractNumId="41">
    <w:nsid w:val="3FCFAED9"/>
    <w:multiLevelType w:val="hybridMultilevel"/>
    <w:lvl w:ilvl="0">
      <w:lvlJc w:val="left"/>
      <w:lvlText w:val="(%1)"/>
      <w:numFmt w:val="lowerRoman"/>
      <w:start w:val="1"/>
    </w:lvl>
  </w:abstractNum>
  <w:abstractNum w:abstractNumId="42">
    <w:nsid w:val="F856867"/>
    <w:multiLevelType w:val="hybridMultilevel"/>
    <w:lvl w:ilvl="0">
      <w:lvlJc w:val="left"/>
      <w:lvlText w:val="(%1)"/>
      <w:numFmt w:val="decimal"/>
      <w:start w:val="1"/>
    </w:lvl>
    <w:lvl w:ilvl="1">
      <w:lvlJc w:val="left"/>
      <w:lvlText w:val="-"/>
      <w:numFmt w:val="bullet"/>
      <w:start w:val="1"/>
    </w:lvl>
  </w:abstractNum>
  <w:abstractNum w:abstractNumId="43">
    <w:nsid w:val="11B1CC33"/>
    <w:multiLevelType w:val="hybridMultilevel"/>
    <w:lvl w:ilvl="0">
      <w:lvlJc w:val="left"/>
      <w:lvlText w:val="%1."/>
      <w:numFmt w:val="decimal"/>
      <w:start w:val="6"/>
    </w:lvl>
    <w:lvl w:ilvl="1">
      <w:lvlJc w:val="left"/>
      <w:lvlText w:val="-"/>
      <w:numFmt w:val="bullet"/>
      <w:start w:val="1"/>
    </w:lvl>
  </w:abstractNum>
  <w:abstractNum w:abstractNumId="44">
    <w:nsid w:val="2E22FBB7"/>
    <w:multiLevelType w:val="hybridMultilevel"/>
    <w:lvl w:ilvl="0">
      <w:lvlJc w:val="left"/>
      <w:lvlText w:val="(%1)"/>
      <w:numFmt w:val="decimal"/>
      <w:start w:val="199"/>
    </w:lvl>
  </w:abstractNum>
  <w:abstractNum w:abstractNumId="45">
    <w:nsid w:val="29934699"/>
    <w:multiLevelType w:val="hybridMultilevel"/>
    <w:lvl w:ilvl="0">
      <w:lvlJc w:val="left"/>
      <w:lvlText w:val="(%1)"/>
      <w:numFmt w:val="decimal"/>
      <w:start w:val="466"/>
    </w:lvl>
  </w:abstractNum>
  <w:abstractNum w:abstractNumId="46">
    <w:nsid w:val="77485850"/>
    <w:multiLevelType w:val="hybridMultilevel"/>
    <w:lvl w:ilvl="0">
      <w:lvlJc w:val="left"/>
      <w:lvlText w:val="(%1)"/>
      <w:numFmt w:val="decimal"/>
      <w:start w:val="229"/>
    </w:lvl>
  </w:abstractNum>
  <w:abstractNum w:abstractNumId="47">
    <w:nsid w:val="744939A3"/>
    <w:multiLevelType w:val="hybridMultilevel"/>
    <w:lvl w:ilvl="0">
      <w:lvlJc w:val="left"/>
      <w:lvlText w:val="%1"/>
      <w:numFmt w:val="decimal"/>
      <w:start w:val="658"/>
    </w:lvl>
  </w:abstractNum>
  <w:abstractNum w:abstractNumId="48">
    <w:nsid w:val="4FA0D2E3"/>
    <w:multiLevelType w:val="hybridMultilevel"/>
    <w:lvl w:ilvl="0">
      <w:lvlJc w:val="left"/>
      <w:lvlText w:val="%1"/>
      <w:numFmt w:val="decimal"/>
      <w:start w:val="658"/>
    </w:lvl>
  </w:abstractNum>
  <w:abstractNum w:abstractNumId="49">
    <w:nsid w:val="6B1D2C14"/>
    <w:multiLevelType w:val="hybridMultilevel"/>
    <w:lvl w:ilvl="0">
      <w:lvlJc w:val="left"/>
      <w:lvlText w:val="%1."/>
      <w:numFmt w:val="decimal"/>
      <w:start w:val="7"/>
    </w:lvl>
  </w:abstractNum>
  <w:abstractNum w:abstractNumId="50">
    <w:nsid w:val="68B867D3"/>
    <w:multiLevelType w:val="hybridMultilevel"/>
    <w:lvl w:ilvl="0">
      <w:lvlJc w:val="left"/>
      <w:lvlText w:val="%1."/>
      <w:numFmt w:val="decimal"/>
      <w:start w:val="8"/>
    </w:lvl>
    <w:lvl w:ilvl="1">
      <w:lvlJc w:val="left"/>
      <w:lvlText w:val="-"/>
      <w:numFmt w:val="bullet"/>
      <w:start w:val="1"/>
    </w:lvl>
  </w:abstractNum>
  <w:abstractNum w:abstractNumId="51">
    <w:nsid w:val="3F7F5DD9"/>
    <w:multiLevelType w:val="hybridMultilevel"/>
    <w:lvl w:ilvl="0">
      <w:lvlJc w:val="left"/>
      <w:lvlText w:val="%1."/>
      <w:numFmt w:val="decimal"/>
      <w:start w:val="9"/>
    </w:lvl>
    <w:lvl w:ilvl="1">
      <w:lvlJc w:val="left"/>
      <w:lvlText w:val="-"/>
      <w:numFmt w:val="bullet"/>
      <w:start w:val="1"/>
    </w:lvl>
  </w:abstractNum>
  <w:abstractNum w:abstractNumId="52">
    <w:nsid w:val="2AE05A34"/>
    <w:multiLevelType w:val="hybridMultilevel"/>
    <w:lvl w:ilvl="0">
      <w:lvlJc w:val="left"/>
      <w:lvlText w:val="%1."/>
      <w:numFmt w:val="decimal"/>
      <w:start w:val="10"/>
    </w:lvl>
  </w:abstractNum>
  <w:abstractNum w:abstractNumId="53">
    <w:nsid w:val="32794FF7"/>
    <w:multiLevelType w:val="hybridMultilevel"/>
    <w:lvl w:ilvl="0">
      <w:lvlJc w:val="left"/>
      <w:lvlText w:val="(%1)"/>
      <w:numFmt w:val="decimal"/>
      <w:start w:val="1"/>
    </w:lvl>
    <w:lvl w:ilvl="1">
      <w:lvlJc w:val="left"/>
      <w:lvlText w:val="-"/>
      <w:numFmt w:val="bullet"/>
      <w:start w:val="1"/>
    </w:lvl>
  </w:abstractNum>
  <w:abstractNum w:abstractNumId="54">
    <w:nsid w:val="5454945E"/>
    <w:multiLevelType w:val="hybridMultilevel"/>
    <w:lvl w:ilvl="0">
      <w:lvlJc w:val="left"/>
      <w:lvlText w:val="(%1)"/>
      <w:numFmt w:val="decimal"/>
      <w:start w:val="1"/>
    </w:lvl>
    <w:lvl w:ilvl="1">
      <w:lvlJc w:val="left"/>
      <w:lvlText w:val="-"/>
      <w:numFmt w:val="bullet"/>
      <w:start w:val="1"/>
    </w:lvl>
  </w:abstractNum>
  <w:abstractNum w:abstractNumId="55">
    <w:nsid w:val="4DEFDFA0"/>
    <w:multiLevelType w:val="hybridMultilevel"/>
    <w:lvl w:ilvl="0">
      <w:lvlJc w:val="left"/>
      <w:lvlText w:val="(%1)"/>
      <w:numFmt w:val="lowerLetter"/>
      <w:start w:val="1"/>
    </w:lvl>
  </w:abstractNum>
  <w:abstractNum w:abstractNumId="56">
    <w:nsid w:val="2123D5F2"/>
    <w:multiLevelType w:val="hybridMultilevel"/>
    <w:lvl w:ilvl="0">
      <w:lvlJc w:val="left"/>
      <w:lvlText w:val="(%1)"/>
      <w:numFmt w:val="lowerLetter"/>
      <w:start w:val="3"/>
    </w:lvl>
  </w:abstractNum>
  <w:abstractNum w:abstractNumId="57">
    <w:nsid w:val="135B8110"/>
    <w:multiLevelType w:val="hybridMultilevel"/>
    <w:lvl w:ilvl="0">
      <w:lvlJc w:val="left"/>
      <w:lvlText w:val="*"/>
      <w:numFmt w:val="bullet"/>
      <w:start w:val="1"/>
    </w:lvl>
    <w:lvl w:ilvl="1">
      <w:lvlJc w:val="left"/>
      <w:lvlText w:val="-"/>
      <w:numFmt w:val="bullet"/>
      <w:start w:val="1"/>
    </w:lvl>
  </w:abstractNum>
  <w:abstractNum w:abstractNumId="58">
    <w:nsid w:val="94927A8"/>
    <w:multiLevelType w:val="hybridMultilevel"/>
    <w:lvl w:ilvl="0">
      <w:lvlJc w:val="left"/>
      <w:lvlText w:val="*"/>
      <w:numFmt w:val="bullet"/>
      <w:start w:val="1"/>
    </w:lvl>
    <w:lvl w:ilvl="1">
      <w:lvlJc w:val="left"/>
      <w:lvlText w:val="-"/>
      <w:numFmt w:val="bullet"/>
      <w:start w:val="1"/>
    </w:lvl>
  </w:abstractNum>
  <w:abstractNum w:abstractNumId="59">
    <w:nsid w:val="DCDF8F6"/>
    <w:multiLevelType w:val="hybridMultilevel"/>
    <w:lvl w:ilvl="0">
      <w:lvlJc w:val="left"/>
      <w:lvlText w:val="**"/>
      <w:numFmt w:val="bullet"/>
      <w:start w:val="1"/>
    </w:lvl>
    <w:lvl w:ilvl="1">
      <w:lvlJc w:val="left"/>
      <w:lvlText w:val="-"/>
      <w:numFmt w:val="bullet"/>
      <w:start w:val="1"/>
    </w:lvl>
  </w:abstractNum>
  <w:abstractNum w:abstractNumId="60">
    <w:nsid w:val="52D7B105"/>
    <w:multiLevelType w:val="hybridMultilevel"/>
    <w:lvl w:ilvl="0">
      <w:lvlJc w:val="left"/>
      <w:lvlText w:val="(%1)"/>
      <w:numFmt w:val="upperLetter"/>
      <w:start w:val="1"/>
    </w:lvl>
    <w:lvl w:ilvl="1">
      <w:lvlJc w:val="left"/>
      <w:lvlText w:val="-"/>
      <w:numFmt w:val="bullet"/>
      <w:start w:val="1"/>
    </w:lvl>
  </w:abstractNum>
  <w:abstractNum w:abstractNumId="61">
    <w:nsid w:val="2E8A6394"/>
    <w:multiLevelType w:val="hybridMultilevel"/>
    <w:lvl w:ilvl="0">
      <w:lvlJc w:val="left"/>
      <w:lvlText w:val="%1."/>
      <w:numFmt w:val="decimal"/>
      <w:start w:val="1"/>
    </w:lvl>
    <w:lvl w:ilvl="1">
      <w:lvlJc w:val="left"/>
      <w:lvlText w:val="(%2)"/>
      <w:numFmt w:val="lowerLetter"/>
      <w:start w:val="1"/>
    </w:lvl>
  </w:abstractNum>
  <w:abstractNum w:abstractNumId="62">
    <w:nsid w:val="24E60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3">
    <w:nsid w:val="2A6AD9BE"/>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4"/>
    </w:lvl>
  </w:abstractNum>
  <w:abstractNum w:abstractNumId="64">
    <w:nsid w:val="BAAC1B4"/>
    <w:multiLevelType w:val="hybridMultilevel"/>
    <w:lvl w:ilvl="0">
      <w:lvlJc w:val="left"/>
      <w:lvlText w:val="%1."/>
      <w:numFmt w:val="decimal"/>
      <w:start w:val="4"/>
    </w:lvl>
  </w:abstractNum>
  <w:abstractNum w:abstractNumId="65">
    <w:nsid w:val="36B2ACBC"/>
    <w:multiLevelType w:val="hybridMultilevel"/>
    <w:lvl w:ilvl="0">
      <w:lvlJc w:val="left"/>
      <w:lvlText w:val="%1."/>
      <w:numFmt w:val="decimal"/>
      <w:start w:val="5"/>
    </w:lvl>
    <w:lvl w:ilvl="1">
      <w:lvlJc w:val="left"/>
      <w:lvlText w:val="(%2)"/>
      <w:numFmt w:val="lowerLetter"/>
      <w:start w:val="1"/>
    </w:lvl>
  </w:abstractNum>
  <w:abstractNum w:abstractNumId="66">
    <w:nsid w:val="779D8544"/>
    <w:multiLevelType w:val="hybridMultilevel"/>
    <w:lvl w:ilvl="0">
      <w:lvlJc w:val="left"/>
      <w:lvlText w:val="(%1)"/>
      <w:numFmt w:val="lowerLetter"/>
      <w:start w:val="4"/>
    </w:lvl>
    <w:lvl w:ilvl="1">
      <w:lvlJc w:val="left"/>
      <w:lvlText w:val="(%2)"/>
      <w:numFmt w:val="lowerRoman"/>
      <w:start w:val="1"/>
    </w:lvl>
  </w:abstractNum>
  <w:abstractNum w:abstractNumId="67">
    <w:nsid w:val="4AB26E78"/>
    <w:multiLevelType w:val="hybridMultilevel"/>
    <w:lvl w:ilvl="0">
      <w:lvlJc w:val="left"/>
      <w:lvlText w:val="%1"/>
      <w:numFmt w:val="lowerLetter"/>
      <w:start w:val="1"/>
    </w:lvl>
    <w:lvl w:ilvl="1">
      <w:lvlJc w:val="left"/>
      <w:lvlText w:val="(%2)"/>
      <w:numFmt w:val="lowerLetter"/>
      <w:start w:val="22"/>
    </w:lvl>
  </w:abstractNum>
  <w:abstractNum w:abstractNumId="68">
    <w:nsid w:val="21FAA2FA"/>
    <w:multiLevelType w:val="hybridMultilevel"/>
    <w:lvl w:ilvl="0">
      <w:lvlJc w:val="left"/>
      <w:lvlText w:val="(%1)"/>
      <w:numFmt w:val="lowerLetter"/>
      <w:start w:val="5"/>
    </w:lvl>
    <w:lvl w:ilvl="1">
      <w:lvlJc w:val="left"/>
      <w:lvlText w:val="(%2)"/>
      <w:numFmt w:val="lowerLetter"/>
      <w:start w:val="9"/>
    </w:lvl>
  </w:abstractNum>
  <w:abstractNum w:abstractNumId="69">
    <w:nsid w:val="5451CF49"/>
    <w:multiLevelType w:val="hybridMultilevel"/>
    <w:lvl w:ilvl="0">
      <w:lvlJc w:val="left"/>
      <w:lvlText w:val="%1"/>
      <w:numFmt w:val="lowerLetter"/>
      <w:start w:val="1"/>
    </w:lvl>
    <w:lvl w:ilvl="1">
      <w:lvlJc w:val="left"/>
      <w:lvlText w:val="(%2)"/>
      <w:numFmt w:val="lowerLetter"/>
      <w:start w:val="35"/>
    </w:lvl>
  </w:abstractNum>
  <w:abstractNum w:abstractNumId="70">
    <w:nsid w:val="6181EF69"/>
    <w:multiLevelType w:val="hybridMultilevel"/>
    <w:lvl w:ilvl="0">
      <w:lvlJc w:val="left"/>
      <w:lvlText w:val="(%1)"/>
      <w:numFmt w:val="lowerLetter"/>
      <w:start w:val="6"/>
    </w:lvl>
    <w:lvl w:ilvl="1">
      <w:lvlJc w:val="left"/>
      <w:lvlText w:val="%2"/>
      <w:numFmt w:val="lowerLetter"/>
      <w:start w:val="1"/>
    </w:lvl>
  </w:abstractNum>
  <w:abstractNum w:abstractNumId="71">
    <w:nsid w:val="3E6400E6"/>
    <w:multiLevelType w:val="hybridMultilevel"/>
    <w:lvl w:ilvl="0">
      <w:lvlJc w:val="left"/>
      <w:lvlText w:val="(%1)"/>
      <w:numFmt w:val="lowerLetter"/>
      <w:start w:val="8"/>
    </w:lvl>
  </w:abstractNum>
  <w:abstractNum w:abstractNumId="72">
    <w:nsid w:val="14217E23"/>
    <w:multiLevelType w:val="hybridMultilevel"/>
    <w:lvl w:ilvl="0">
      <w:lvlJc w:val="left"/>
      <w:lvlText w:val="%1"/>
      <w:numFmt w:val="upperLetter"/>
      <w:start w:val="1"/>
    </w:lvl>
    <w:lvl w:ilvl="1">
      <w:lvlJc w:val="left"/>
      <w:lvlText w:val="%2."/>
      <w:numFmt w:val="decimal"/>
      <w:start w:val="7"/>
    </w:lvl>
  </w:abstractNum>
  <w:abstractNum w:abstractNumId="73">
    <w:nsid w:val="710757D0"/>
    <w:multiLevelType w:val="hybridMultilevel"/>
    <w:lvl w:ilvl="0">
      <w:lvlJc w:val="left"/>
      <w:lvlText w:val="(%1)"/>
      <w:numFmt w:val="upperLetter"/>
      <w:start w:val="2"/>
    </w:lvl>
    <w:lvl w:ilvl="1">
      <w:lvlJc w:val="left"/>
      <w:lvlText w:val="%2"/>
      <w:numFmt w:val="decimal"/>
      <w:start w:val="1"/>
    </w:lvl>
  </w:abstractNum>
  <w:abstractNum w:abstractNumId="74">
    <w:nsid w:val="5015CD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5">
    <w:nsid w:val="424479DA"/>
    <w:multiLevelType w:val="hybridMultilevel"/>
    <w:lvl w:ilvl="0">
      <w:lvlJc w:val="left"/>
      <w:lvlText w:val="%1"/>
      <w:numFmt w:val="decimal"/>
      <w:start w:val="1"/>
    </w:lvl>
    <w:lvl w:ilvl="1">
      <w:lvlJc w:val="left"/>
      <w:lvlText w:val="(%2)"/>
      <w:numFmt w:val="lowerLetter"/>
      <w:start w:val="3"/>
    </w:lvl>
  </w:abstractNum>
  <w:abstractNum w:abstractNumId="76">
    <w:nsid w:val="1A9A9E69"/>
    <w:multiLevelType w:val="hybridMultilevel"/>
    <w:lvl w:ilvl="0">
      <w:lvlJc w:val="left"/>
      <w:lvlText w:val="%1."/>
      <w:numFmt w:val="decimal"/>
      <w:start w:val="9"/>
    </w:lvl>
    <w:lvl w:ilvl="1">
      <w:lvlJc w:val="left"/>
      <w:lvlText w:val="%2"/>
      <w:numFmt w:val="lowerLetter"/>
      <w:start w:val="1"/>
    </w:lvl>
  </w:abstractNum>
  <w:abstractNum w:abstractNumId="77">
    <w:nsid w:val="475E256A"/>
    <w:multiLevelType w:val="hybridMultilevel"/>
    <w:lvl w:ilvl="0">
      <w:lvlJc w:val="left"/>
      <w:lvlText w:val="%1."/>
      <w:numFmt w:val="decimal"/>
      <w:start w:val="11"/>
    </w:lvl>
    <w:lvl w:ilvl="1">
      <w:lvlJc w:val="left"/>
      <w:lvlText w:val="(%2)"/>
      <w:numFmt w:val="lowerLetter"/>
      <w:start w:val="1"/>
    </w:lvl>
  </w:abstractNum>
  <w:abstractNum w:abstractNumId="78">
    <w:nsid w:val="368DB37E"/>
    <w:multiLevelType w:val="hybridMultilevel"/>
    <w:lvl w:ilvl="0">
      <w:lvlJc w:val="left"/>
      <w:lvlText w:val="%1."/>
      <w:numFmt w:val="decimal"/>
      <w:start w:val="13"/>
    </w:lvl>
    <w:lvl w:ilvl="1">
      <w:lvlJc w:val="left"/>
      <w:lvlText w:val="(%2)"/>
      <w:numFmt w:val="lowerLetter"/>
      <w:start w:val="1"/>
    </w:lvl>
  </w:abstractNum>
  <w:abstractNum w:abstractNumId="79">
    <w:nsid w:val="6A3B714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4"/>
    </w:lvl>
  </w:abstractNum>
  <w:abstractNum w:abstractNumId="80">
    <w:nsid w:val="327B517E"/>
    <w:multiLevelType w:val="hybridMultilevel"/>
    <w:lvl w:ilvl="0">
      <w:lvlJc w:val="left"/>
      <w:lvlText w:val="(%1)"/>
      <w:numFmt w:val="lowerLetter"/>
      <w:start w:val="7"/>
    </w:lvl>
    <w:lvl w:ilvl="1">
      <w:lvlJc w:val="left"/>
      <w:lvlText w:val="(%2)"/>
      <w:numFmt w:val="lowerRoman"/>
      <w:start w:val="1"/>
    </w:lvl>
  </w:abstractNum>
  <w:abstractNum w:abstractNumId="81">
    <w:nsid w:val="1F461B51"/>
    <w:multiLevelType w:val="hybridMultilevel"/>
    <w:lvl w:ilvl="0">
      <w:lvlJc w:val="left"/>
      <w:lvlText w:val="(%1)"/>
      <w:numFmt w:val="lowerLetter"/>
      <w:start w:val="9"/>
    </w:lvl>
    <w:lvl w:ilvl="1">
      <w:lvlJc w:val="left"/>
      <w:lvlText w:val="(%2)"/>
      <w:numFmt w:val="lowerRoman"/>
      <w:start w:val="1"/>
    </w:lvl>
  </w:abstractNum>
  <w:abstractNum w:abstractNumId="82">
    <w:nsid w:val="29BACF25"/>
    <w:multiLevelType w:val="hybridMultilevel"/>
    <w:lvl w:ilvl="0">
      <w:lvlJc w:val="left"/>
      <w:lvlText w:val="(%1)"/>
      <w:numFmt w:val="lowerLetter"/>
      <w:start w:val="11"/>
    </w:lvl>
  </w:abstractNum>
  <w:abstractNum w:abstractNumId="83">
    <w:nsid w:val="5D5BABB3"/>
    <w:multiLevelType w:val="hybridMultilevel"/>
    <w:lvl w:ilvl="0">
      <w:lvlJc w:val="left"/>
      <w:lvlText w:val="%1."/>
      <w:numFmt w:val="decimal"/>
      <w:start w:val="1"/>
    </w:lvl>
  </w:abstractNum>
  <w:abstractNum w:abstractNumId="84">
    <w:nsid w:val="51BF6B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5">
    <w:nsid w:val="7E0F6384"/>
    <w:multiLevelType w:val="hybridMultilevel"/>
    <w:lvl w:ilvl="0">
      <w:lvlJc w:val="left"/>
      <w:lvlText w:val="(%1)"/>
      <w:numFmt w:val="lowerLetter"/>
      <w:start w:val="5"/>
    </w:lvl>
  </w:abstractNum>
  <w:abstractNum w:abstractNumId="86">
    <w:nsid w:val="2B4B8B53"/>
    <w:multiLevelType w:val="hybridMultilevel"/>
    <w:lvl w:ilvl="0">
      <w:lvlJc w:val="left"/>
      <w:lvlText w:val="(%1)"/>
      <w:numFmt w:val="lowerLetter"/>
      <w:start w:val="15"/>
    </w:lvl>
  </w:abstractNum>
  <w:abstractNum w:abstractNumId="87">
    <w:nsid w:val="72E3413A"/>
    <w:multiLevelType w:val="hybridMultilevel"/>
    <w:lvl w:ilvl="0">
      <w:lvlJc w:val="left"/>
      <w:lvlText w:val="(%1)"/>
      <w:numFmt w:val="lowerLetter"/>
      <w:start w:val="16"/>
    </w:lvl>
    <w:lvl w:ilvl="1">
      <w:lvlJc w:val="left"/>
      <w:lvlText w:val="(%2)"/>
      <w:numFmt w:val="lowerRoman"/>
      <w:start w:val="1"/>
    </w:lvl>
  </w:abstractNum>
  <w:abstractNum w:abstractNumId="88">
    <w:nsid w:val="116AE494"/>
    <w:multiLevelType w:val="hybridMultilevel"/>
    <w:lvl w:ilvl="0">
      <w:lvlJc w:val="left"/>
      <w:lvlText w:val="(%1)"/>
      <w:numFmt w:val="lowerRoman"/>
      <w:start w:val="10"/>
    </w:lvl>
  </w:abstractNum>
  <w:abstractNum w:abstractNumId="89">
    <w:nsid w:val="3494B2FB"/>
    <w:multiLevelType w:val="hybridMultilevel"/>
    <w:lvl w:ilvl="0">
      <w:lvlJc w:val="left"/>
      <w:lvlText w:val="(%1)"/>
      <w:numFmt w:val="lowerLetter"/>
      <w:start w:val="25"/>
    </w:lvl>
  </w:abstractNum>
  <w:abstractNum w:abstractNumId="90">
    <w:nsid w:val="B13A31"/>
    <w:multiLevelType w:val="hybridMultilevel"/>
    <w:lvl w:ilvl="0">
      <w:lvlJc w:val="left"/>
      <w:lvlText w:val="(%1)"/>
      <w:numFmt w:val="lowerLetter"/>
      <w:start w:val="23"/>
    </w:lvl>
  </w:abstractNum>
  <w:abstractNum w:abstractNumId="91">
    <w:nsid w:val="64429599"/>
    <w:multiLevelType w:val="hybridMultilevel"/>
    <w:lvl w:ilvl="0">
      <w:lvlJc w:val="left"/>
      <w:lvlText w:val="(%1)"/>
      <w:numFmt w:val="lowerLetter"/>
      <w:start w:val="27"/>
    </w:lvl>
    <w:lvl w:ilvl="1">
      <w:lvlJc w:val="left"/>
      <w:lvlText w:val="(%2)"/>
      <w:numFmt w:val="lowerRoman"/>
      <w:start w:val="1"/>
    </w:lvl>
  </w:abstractNum>
  <w:abstractNum w:abstractNumId="92">
    <w:nsid w:val="631F1690"/>
    <w:multiLevelType w:val="hybridMultilevel"/>
    <w:lvl w:ilvl="0">
      <w:lvlJc w:val="left"/>
      <w:lvlText w:val="(%1)"/>
      <w:numFmt w:val="lowerLetter"/>
      <w:start w:val="28"/>
    </w:lvl>
    <w:lvl w:ilvl="1">
      <w:lvlJc w:val="left"/>
      <w:lvlText w:val="(%2)"/>
      <w:numFmt w:val="lowerRoman"/>
      <w:start w:val="1"/>
    </w:lvl>
  </w:abstractNum>
  <w:abstractNum w:abstractNumId="93">
    <w:nsid w:val="25973E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4">
    <w:nsid w:val="EAD6F57"/>
    <w:multiLevelType w:val="hybridMultilevel"/>
    <w:lvl w:ilvl="0">
      <w:lvlJc w:val="left"/>
      <w:lvlText w:val="%1."/>
      <w:numFmt w:val="decimal"/>
      <w:start w:val="5"/>
    </w:lvl>
    <w:lvl w:ilvl="1">
      <w:lvlJc w:val="left"/>
      <w:lvlText w:val="(%2)"/>
      <w:numFmt w:val="lowerLetter"/>
      <w:start w:val="1"/>
    </w:lvl>
  </w:abstractNum>
  <w:abstractNum w:abstractNumId="95">
    <w:nsid w:val="6EC9D844"/>
    <w:multiLevelType w:val="hybridMultilevel"/>
    <w:lvl w:ilvl="0">
      <w:lvlJc w:val="left"/>
      <w:lvlText w:val="%1"/>
      <w:numFmt w:val="decimal"/>
      <w:start w:val="1"/>
    </w:lvl>
    <w:lvl w:ilvl="1">
      <w:lvlJc w:val="left"/>
      <w:lvlText w:val="(%2)"/>
      <w:numFmt w:val="lowerLetter"/>
      <w:start w:val="2"/>
    </w:lvl>
  </w:abstractNum>
  <w:abstractNum w:abstractNumId="96">
    <w:nsid w:val="5C49EAEE"/>
    <w:multiLevelType w:val="hybridMultilevel"/>
    <w:lvl w:ilvl="0">
      <w:lvlJc w:val="left"/>
      <w:lvlText w:val="%1."/>
      <w:numFmt w:val="decimal"/>
      <w:start w:val="7"/>
    </w:lvl>
    <w:lvl w:ilvl="1">
      <w:lvlJc w:val="left"/>
      <w:lvlText w:val="%2"/>
      <w:numFmt w:val="lowerLetter"/>
      <w:start w:val="1"/>
    </w:lvl>
  </w:abstractNum>
  <w:abstractNum w:abstractNumId="97">
    <w:nsid w:val="64AF49B"/>
    <w:multiLevelType w:val="hybridMultilevel"/>
    <w:lvl w:ilvl="0">
      <w:lvlJc w:val="left"/>
      <w:lvlText w:val="(%1)"/>
      <w:numFmt w:val="lowerLetter"/>
      <w:start w:val="1"/>
    </w:lvl>
  </w:abstractNum>
  <w:abstractNum w:abstractNumId="98">
    <w:nsid w:val="397C46BC"/>
    <w:multiLevelType w:val="hybridMultilevel"/>
    <w:lvl w:ilvl="0">
      <w:lvlJc w:val="left"/>
      <w:lvlText w:val="(%1)"/>
      <w:numFmt w:val="lowerLetter"/>
      <w:start w:val="4"/>
    </w:lvl>
  </w:abstractNum>
  <w:abstractNum w:abstractNumId="99">
    <w:nsid w:val="7E448DE9"/>
    <w:multiLevelType w:val="hybridMultilevel"/>
    <w:lvl w:ilvl="0">
      <w:lvlJc w:val="left"/>
      <w:lvlText w:val="(%1)"/>
      <w:numFmt w:val="lowerRoman"/>
      <w:start w:val="1"/>
    </w:lvl>
  </w:abstractNum>
  <w:abstractNum w:abstractNumId="100">
    <w:nsid w:val="5A9CC3E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01">
    <w:nsid w:val="1AFE3625"/>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02">
    <w:nsid w:val="3CA88ECF"/>
    <w:multiLevelType w:val="hybridMultilevel"/>
    <w:lvl w:ilvl="0">
      <w:lvlJc w:val="left"/>
      <w:lvlText w:val="(%1)"/>
      <w:numFmt w:val="lowerLetter"/>
      <w:start w:val="1"/>
    </w:lvl>
    <w:lvl w:ilvl="1">
      <w:lvlJc w:val="left"/>
      <w:lvlText w:val="(%2)"/>
      <w:numFmt w:val="lowerRoman"/>
      <w:start w:val="1"/>
    </w:lvl>
  </w:abstractNum>
  <w:abstractNum w:abstractNumId="103">
    <w:nsid w:val="6EBE4208"/>
    <w:multiLevelType w:val="hybridMultilevel"/>
    <w:lvl w:ilvl="0">
      <w:lvlJc w:val="left"/>
      <w:lvlText w:val="(%1)"/>
      <w:numFmt w:val="lowerLetter"/>
      <w:start w:val="5"/>
    </w:lvl>
    <w:lvl w:ilvl="1">
      <w:lvlJc w:val="left"/>
      <w:lvlText w:val="(%2)"/>
      <w:numFmt w:val="lowerRoman"/>
      <w:start w:val="1"/>
    </w:lvl>
  </w:abstractNum>
  <w:abstractNum w:abstractNumId="104">
    <w:nsid w:val="C058DF5"/>
    <w:multiLevelType w:val="hybridMultilevel"/>
    <w:lvl w:ilvl="0">
      <w:lvlJc w:val="left"/>
      <w:lvlText w:val="%1"/>
      <w:numFmt w:val="decimal"/>
      <w:start w:val="1"/>
    </w:lvl>
    <w:lvl w:ilvl="1">
      <w:lvlJc w:val="left"/>
      <w:lvlText w:val="(%2)"/>
      <w:numFmt w:val="lowerLetter"/>
      <w:start w:val="7"/>
    </w:lvl>
  </w:abstractNum>
  <w:abstractNum w:abstractNumId="105">
    <w:nsid w:val="CBE5BE9"/>
    <w:multiLevelType w:val="hybridMultilevel"/>
    <w:lvl w:ilvl="0">
      <w:lvlJc w:val="left"/>
      <w:lvlText w:val="%1."/>
      <w:numFmt w:val="decimal"/>
      <w:start w:val="9"/>
    </w:lvl>
    <w:lvl w:ilvl="1">
      <w:lvlJc w:val="left"/>
      <w:lvlText w:val="%2"/>
      <w:numFmt w:val="lowerLetter"/>
      <w:start w:val="1"/>
    </w:lvl>
  </w:abstractNum>
  <w:abstractNum w:abstractNumId="106">
    <w:nsid w:val="3102BBE2"/>
    <w:multiLevelType w:val="hybridMultilevel"/>
    <w:lvl w:ilvl="0">
      <w:lvlJc w:val="left"/>
      <w:lvlText w:val="%1."/>
      <w:numFmt w:val="decimal"/>
      <w:start w:val="10"/>
    </w:lvl>
  </w:abstractNum>
  <w:abstractNum w:abstractNumId="107">
    <w:nsid w:val="26A02C5E"/>
    <w:multiLevelType w:val="hybridMultilevel"/>
    <w:lvl w:ilvl="0">
      <w:lvlJc w:val="left"/>
      <w:lvlText w:val="%1."/>
      <w:numFmt w:val="decimal"/>
      <w:start w:val="11"/>
    </w:lvl>
    <w:lvl w:ilvl="1">
      <w:lvlJc w:val="left"/>
      <w:lvlText w:val="(%2)"/>
      <w:numFmt w:val="lowerLetter"/>
      <w:start w:val="1"/>
    </w:lvl>
  </w:abstractNum>
  <w:abstractNum w:abstractNumId="108">
    <w:nsid w:val="541C8153"/>
    <w:multiLevelType w:val="hybridMultilevel"/>
    <w:lvl w:ilvl="0">
      <w:lvlJc w:val="left"/>
      <w:lvlText w:val="%1."/>
      <w:numFmt w:val="decimal"/>
      <w:start w:val="13"/>
    </w:lvl>
  </w:abstractNum>
  <w:abstractNum w:abstractNumId="109">
    <w:nsid w:val="67906F60"/>
    <w:multiLevelType w:val="hybridMultilevel"/>
    <w:lvl w:ilvl="0">
      <w:lvlJc w:val="left"/>
      <w:lvlText w:val="%1."/>
      <w:numFmt w:val="decimal"/>
      <w:start w:val="14"/>
    </w:lvl>
  </w:abstractNum>
  <w:abstractNum w:abstractNumId="110">
    <w:nsid w:val="10DB9DAA"/>
    <w:multiLevelType w:val="hybridMultilevel"/>
    <w:lvl w:ilvl="0">
      <w:lvlJc w:val="left"/>
      <w:lvlText w:val="%1."/>
      <w:numFmt w:val="decimal"/>
      <w:start w:val="15"/>
    </w:lvl>
    <w:lvl w:ilvl="1">
      <w:lvlJc w:val="left"/>
      <w:lvlText w:val="(%2)"/>
      <w:numFmt w:val="lowerLetter"/>
      <w:start w:val="1"/>
    </w:lvl>
  </w:abstractNum>
  <w:abstractNum w:abstractNumId="111">
    <w:nsid w:val="697D2D2"/>
    <w:multiLevelType w:val="hybridMultilevel"/>
    <w:lvl w:ilvl="0">
      <w:lvlJc w:val="left"/>
      <w:lvlText w:val="%1"/>
      <w:numFmt w:val="upperLetter"/>
      <w:start w:val="1"/>
    </w:lvl>
    <w:lvl w:ilvl="1">
      <w:lvlJc w:val="left"/>
      <w:lvlText w:val="(%2)"/>
      <w:numFmt w:val="lowerRoman"/>
      <w:start w:val="1"/>
    </w:lvl>
  </w:abstractNum>
  <w:abstractNum w:abstractNumId="112">
    <w:nsid w:val="6D68AB2"/>
    <w:multiLevelType w:val="hybridMultilevel"/>
    <w:lvl w:ilvl="0">
      <w:lvlJc w:val="left"/>
      <w:lvlText w:val="(%1)"/>
      <w:numFmt w:val="upperLetter"/>
      <w:start w:val="2"/>
    </w:lvl>
    <w:lvl w:ilvl="1">
      <w:lvlJc w:val="left"/>
      <w:lvlText w:val="(%2)"/>
      <w:numFmt w:val="lowerRoman"/>
      <w:start w:val="3"/>
    </w:lvl>
  </w:abstractNum>
  <w:abstractNum w:abstractNumId="113">
    <w:nsid w:val="3A966CD0"/>
    <w:multiLevelType w:val="hybridMultilevel"/>
    <w:lvl w:ilvl="0">
      <w:lvlJc w:val="left"/>
      <w:lvlText w:val="%1"/>
      <w:numFmt w:val="decimal"/>
      <w:start w:val="1"/>
    </w:lvl>
    <w:lvl w:ilvl="1">
      <w:lvlJc w:val="left"/>
      <w:lvlText w:val="(%2)"/>
      <w:numFmt w:val="lowerLetter"/>
      <w:start w:val="3"/>
    </w:lvl>
  </w:abstractNum>
  <w:abstractNum w:abstractNumId="114">
    <w:nsid w:val="63F37E85"/>
    <w:multiLevelType w:val="hybridMultilevel"/>
    <w:lvl w:ilvl="0">
      <w:lvlJc w:val="left"/>
      <w:lvlText w:val="%1."/>
      <w:numFmt w:val="decimal"/>
      <w:start w:val="16"/>
    </w:lvl>
    <w:lvl w:ilvl="1">
      <w:lvlJc w:val="left"/>
      <w:lvlText w:val="(%2)"/>
      <w:numFmt w:val="lowerLetter"/>
      <w:start w:val="1"/>
    </w:lvl>
  </w:abstractNum>
  <w:abstractNum w:abstractNumId="115">
    <w:nsid w:val="5895F5FA"/>
    <w:multiLevelType w:val="hybridMultilevel"/>
    <w:lvl w:ilvl="0">
      <w:lvlJc w:val="left"/>
      <w:lvlText w:val="%1"/>
      <w:numFmt w:val="decimal"/>
      <w:start w:val="1"/>
    </w:lvl>
    <w:lvl w:ilvl="1">
      <w:lvlJc w:val="left"/>
      <w:lvlText w:val="(%2)"/>
      <w:numFmt w:val="lowerLetter"/>
      <w:start w:val="2"/>
    </w:lvl>
  </w:abstractNum>
  <w:abstractNum w:abstractNumId="116">
    <w:nsid w:val="38A5D054"/>
    <w:multiLevelType w:val="hybridMultilevel"/>
    <w:lvl w:ilvl="0">
      <w:lvlJc w:val="left"/>
      <w:lvlText w:val="%1."/>
      <w:numFmt w:val="decimal"/>
      <w:start w:val="17"/>
    </w:lvl>
    <w:lvl w:ilvl="1">
      <w:lvlJc w:val="left"/>
      <w:lvlText w:val="%2"/>
      <w:numFmt w:val="lowerLetter"/>
      <w:start w:val="1"/>
    </w:lvl>
  </w:abstractNum>
  <w:abstractNum w:abstractNumId="117">
    <w:nsid w:val="F3F09D8"/>
    <w:multiLevelType w:val="hybridMultilevel"/>
    <w:lvl w:ilvl="0">
      <w:lvlJc w:val="left"/>
      <w:lvlText w:val="%1."/>
      <w:numFmt w:val="decimal"/>
      <w:start w:val="18"/>
    </w:lvl>
  </w:abstractNum>
  <w:abstractNum w:abstractNumId="118">
    <w:nsid w:val="4B793735"/>
    <w:multiLevelType w:val="hybridMultilevel"/>
    <w:lvl w:ilvl="0">
      <w:lvlJc w:val="left"/>
      <w:lvlText w:val="(%1)"/>
      <w:numFmt w:val="decimal"/>
      <w:start w:val="1"/>
    </w:lvl>
  </w:abstractNum>
  <w:abstractNum w:abstractNumId="119">
    <w:nsid w:val="4A10B4E8"/>
    <w:multiLevelType w:val="hybridMultilevel"/>
    <w:lvl w:ilvl="0">
      <w:lvlJc w:val="left"/>
      <w:lvlText w:val="(%1)"/>
      <w:numFmt w:val="lowerRoman"/>
      <w:start w:val="1"/>
    </w:lvl>
  </w:abstractNum>
  <w:abstractNum w:abstractNumId="120">
    <w:nsid w:val="43D3BCD4"/>
    <w:multiLevelType w:val="hybridMultilevel"/>
    <w:lvl w:ilvl="0">
      <w:lvlJc w:val="left"/>
      <w:lvlText w:val="%1"/>
      <w:numFmt w:val="decimal"/>
      <w:start w:val="31"/>
    </w:lvl>
  </w:abstractNum>
  <w:abstractNum w:abstractNumId="121">
    <w:nsid w:val="4C2A7166"/>
    <w:multiLevelType w:val="hybridMultilevel"/>
    <w:lvl w:ilvl="0">
      <w:lvlJc w:val="left"/>
      <w:lvlText w:val="(%1)"/>
      <w:numFmt w:val="lowerRoman"/>
      <w:start w:val="2"/>
    </w:lvl>
  </w:abstractNum>
  <w:abstractNum w:abstractNumId="122">
    <w:nsid w:val="2E534A82"/>
    <w:multiLevelType w:val="hybridMultilevel"/>
    <w:lvl w:ilvl="0">
      <w:lvlJc w:val="left"/>
      <w:lvlText w:val="%1."/>
      <w:numFmt w:val="decimal"/>
      <w:start w:val="1"/>
    </w:lvl>
  </w:abstractNum>
  <w:abstractNum w:abstractNumId="123">
    <w:nsid w:val="26F2D364"/>
    <w:multiLevelType w:val="hybridMultilevel"/>
    <w:lvl w:ilvl="0">
      <w:lvlJc w:val="left"/>
      <w:lvlText w:val="%1."/>
      <w:numFmt w:val="decimal"/>
      <w:start w:val="2"/>
    </w:lvl>
    <w:lvl w:ilvl="1">
      <w:lvlJc w:val="left"/>
      <w:lvlText w:val="(%2)"/>
      <w:numFmt w:val="lowerLetter"/>
      <w:start w:val="1"/>
    </w:lvl>
  </w:abstractNum>
  <w:abstractNum w:abstractNumId="124">
    <w:nsid w:val="71C1AF98"/>
    <w:multiLevelType w:val="hybridMultilevel"/>
    <w:lvl w:ilvl="0">
      <w:lvlJc w:val="left"/>
      <w:lvlText w:val="(%1)"/>
      <w:numFmt w:val="lowerLetter"/>
      <w:start w:val="8"/>
    </w:lvl>
    <w:lvl w:ilvl="1">
      <w:lvlJc w:val="left"/>
      <w:lvlText w:val="(%2)"/>
      <w:numFmt w:val="lowerRoman"/>
      <w:start w:val="1"/>
    </w:lvl>
  </w:abstractNum>
  <w:abstractNum w:abstractNumId="125">
    <w:nsid w:val="3D00B9D9"/>
    <w:multiLevelType w:val="hybridMultilevel"/>
    <w:lvl w:ilvl="0">
      <w:lvlJc w:val="left"/>
      <w:lvlText w:val="(%1)"/>
      <w:numFmt w:val="lowerLetter"/>
      <w:start w:val="13"/>
    </w:lvl>
    <w:lvl w:ilvl="1">
      <w:lvlJc w:val="left"/>
      <w:lvlText w:val="(%2)"/>
      <w:numFmt w:val="lowerRoman"/>
      <w:start w:val="1"/>
    </w:lvl>
  </w:abstractNum>
  <w:abstractNum w:abstractNumId="126">
    <w:nsid w:val="15BCABA8"/>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24"/>
    </w:lvl>
  </w:abstractNum>
  <w:abstractNum w:abstractNumId="127">
    <w:nsid w:val="4E0B9A87"/>
    <w:multiLevelType w:val="hybridMultilevel"/>
    <w:lvl w:ilvl="0">
      <w:lvlJc w:val="left"/>
      <w:lvlText w:val="(%1)"/>
      <w:numFmt w:val="lowerLetter"/>
      <w:start w:val="18"/>
    </w:lvl>
  </w:abstractNum>
  <w:abstractNum w:abstractNumId="128">
    <w:nsid w:val="434BAE75"/>
    <w:multiLevelType w:val="hybridMultilevel"/>
    <w:lvl w:ilvl="0">
      <w:lvlJc w:val="left"/>
      <w:lvlText w:val="(%1)"/>
      <w:numFmt w:val="lowerLetter"/>
      <w:start w:val="22"/>
    </w:lvl>
    <w:lvl w:ilvl="1">
      <w:lvlJc w:val="left"/>
      <w:lvlText w:val="(%2)"/>
      <w:numFmt w:val="lowerRoman"/>
      <w:start w:val="1"/>
    </w:lvl>
  </w:abstractNum>
  <w:abstractNum w:abstractNumId="129">
    <w:nsid w:val="4F38F265"/>
    <w:multiLevelType w:val="hybridMultilevel"/>
    <w:lvl w:ilvl="0">
      <w:lvlJc w:val="left"/>
      <w:lvlText w:val="(%1)"/>
      <w:numFmt w:val="lowerLetter"/>
      <w:start w:val="26"/>
    </w:lvl>
  </w:abstractNum>
  <w:abstractNum w:abstractNumId="130">
    <w:nsid w:val="4C502870"/>
    <w:multiLevelType w:val="hybridMultilevel"/>
    <w:lvl w:ilvl="0">
      <w:lvlJc w:val="left"/>
      <w:lvlText w:val="(%1)"/>
      <w:numFmt w:val="lowerLetter"/>
      <w:start w:val="27"/>
    </w:lvl>
    <w:lvl w:ilvl="1">
      <w:lvlJc w:val="left"/>
      <w:lvlText w:val="(%2)"/>
      <w:numFmt w:val="lowerRoman"/>
      <w:start w:val="1"/>
    </w:lvl>
  </w:abstractNum>
  <w:abstractNum w:abstractNumId="131">
    <w:nsid w:val="1DE8725A"/>
    <w:multiLevelType w:val="hybridMultilevel"/>
    <w:lvl w:ilvl="0">
      <w:lvlJc w:val="left"/>
      <w:lvlText w:val="%1"/>
      <w:numFmt w:val="decimal"/>
      <w:start w:val="1"/>
    </w:lvl>
    <w:lvl w:ilvl="1">
      <w:lvlJc w:val="left"/>
      <w:lvlText w:val="(%2)"/>
      <w:numFmt w:val="lowerLetter"/>
      <w:start w:val="32"/>
    </w:lvl>
  </w:abstractNum>
  <w:abstractNum w:abstractNumId="132">
    <w:nsid w:val="6A37288A"/>
    <w:multiLevelType w:val="hybridMultilevel"/>
    <w:lvl w:ilvl="0">
      <w:lvlJc w:val="left"/>
      <w:lvlText w:val="%1."/>
      <w:numFmt w:val="decimal"/>
      <w:start w:val="3"/>
    </w:lvl>
    <w:lvl w:ilvl="1">
      <w:lvlJc w:val="left"/>
      <w:lvlText w:val="%2"/>
      <w:numFmt w:val="lowerLetter"/>
      <w:start w:val="1"/>
    </w:lvl>
  </w:abstractNum>
  <w:abstractNum w:abstractNumId="133">
    <w:nsid w:val="8F8B73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4">
    <w:nsid w:val="CA6B462"/>
    <w:multiLevelType w:val="hybridMultilevel"/>
    <w:lvl w:ilvl="0">
      <w:lvlJc w:val="left"/>
      <w:lvlText w:val="(%1)"/>
      <w:numFmt w:val="lowerLetter"/>
      <w:start w:val="3"/>
    </w:lvl>
  </w:abstractNum>
  <w:abstractNum w:abstractNumId="135">
    <w:nsid w:val="763CB680"/>
    <w:multiLevelType w:val="hybridMultilevel"/>
    <w:lvl w:ilvl="0">
      <w:lvlJc w:val="left"/>
      <w:lvlText w:val="%1"/>
      <w:numFmt w:val="decimal"/>
      <w:start w:val="1"/>
    </w:lvl>
    <w:lvl w:ilvl="1">
      <w:lvlJc w:val="left"/>
      <w:lvlText w:val="(%2)"/>
      <w:numFmt w:val="lowerLetter"/>
      <w:start w:val="4"/>
    </w:lvl>
  </w:abstractNum>
  <w:abstractNum w:abstractNumId="136">
    <w:nsid w:val="15B71329"/>
    <w:multiLevelType w:val="hybridMultilevel"/>
    <w:lvl w:ilvl="0">
      <w:lvlJc w:val="left"/>
      <w:lvlText w:val="%1."/>
      <w:numFmt w:val="decimal"/>
      <w:start w:val="6"/>
    </w:lvl>
    <w:lvl w:ilvl="1">
      <w:lvlJc w:val="left"/>
      <w:lvlText w:val="%2"/>
      <w:numFmt w:val="lowerLetter"/>
      <w:start w:val="1"/>
    </w:lvl>
  </w:abstractNum>
  <w:abstractNum w:abstractNumId="137">
    <w:nsid w:val="3DA97044"/>
    <w:multiLevelType w:val="hybridMultilevel"/>
    <w:lvl w:ilvl="0">
      <w:lvlJc w:val="left"/>
      <w:lvlText w:val="%1."/>
      <w:numFmt w:val="decimal"/>
      <w:start w:val="7"/>
    </w:lvl>
  </w:abstractNum>
  <w:abstractNum w:abstractNumId="138">
    <w:nsid w:val="1CDCE2DE"/>
    <w:multiLevelType w:val="hybridMultilevel"/>
    <w:lvl w:ilvl="0">
      <w:lvlJc w:val="left"/>
      <w:lvlText w:val="(%1)"/>
      <w:numFmt w:val="lowerLetter"/>
      <w:start w:val="1"/>
    </w:lvl>
  </w:abstractNum>
  <w:abstractNum w:abstractNumId="139">
    <w:nsid w:val="69D3947C"/>
    <w:multiLevelType w:val="hybridMultilevel"/>
    <w:lvl w:ilvl="0">
      <w:lvlJc w:val="left"/>
      <w:lvlText w:val="%1"/>
      <w:numFmt w:val="decimal"/>
      <w:start w:val="1"/>
    </w:lvl>
    <w:lvl w:ilvl="1">
      <w:lvlJc w:val="left"/>
      <w:lvlText w:val="(%2)"/>
      <w:numFmt w:val="lowerLetter"/>
      <w:start w:val="5"/>
    </w:lvl>
  </w:abstractNum>
  <w:abstractNum w:abstractNumId="140">
    <w:nsid w:val="2539DFA5"/>
    <w:multiLevelType w:val="hybridMultilevel"/>
    <w:lvl w:ilvl="0">
      <w:lvlJc w:val="left"/>
      <w:lvlText w:val="%1."/>
      <w:numFmt w:val="decimal"/>
      <w:start w:val="8"/>
    </w:lvl>
    <w:lvl w:ilvl="1">
      <w:lvlJc w:val="left"/>
      <w:lvlText w:val="%2"/>
      <w:numFmt w:val="lowerLetter"/>
      <w:start w:val="1"/>
    </w:lvl>
  </w:abstractNum>
  <w:abstractNum w:abstractNumId="141">
    <w:nsid w:val="2DB88089"/>
    <w:multiLevelType w:val="hybridMultilevel"/>
    <w:lvl w:ilvl="0">
      <w:lvlJc w:val="left"/>
      <w:lvlText w:val="%1"/>
      <w:numFmt w:val="lowerLetter"/>
      <w:start w:val="1"/>
    </w:lvl>
    <w:lvl w:ilvl="1">
      <w:lvlJc w:val="left"/>
      <w:lvlText w:val="(%2)"/>
      <w:numFmt w:val="lowerRoman"/>
      <w:start w:val="1"/>
    </w:lvl>
  </w:abstractNum>
  <w:abstractNum w:abstractNumId="142">
    <w:nsid w:val="706B674E"/>
    <w:multiLevelType w:val="hybridMultilevel"/>
    <w:lvl w:ilvl="0">
      <w:lvlJc w:val="left"/>
      <w:lvlText w:val="(%1)"/>
      <w:numFmt w:val="lowerLetter"/>
      <w:start w:val="2"/>
    </w:lvl>
    <w:lvl w:ilvl="1">
      <w:lvlJc w:val="left"/>
      <w:lvlText w:val="(%2)"/>
      <w:numFmt w:val="lowerRoman"/>
      <w:start w:val="1"/>
    </w:lvl>
  </w:abstractNum>
  <w:abstractNum w:abstractNumId="143">
    <w:nsid w:val="2C106A57"/>
    <w:multiLevelType w:val="hybridMultilevel"/>
    <w:lvl w:ilvl="0">
      <w:lvlJc w:val="left"/>
      <w:lvlText w:val="(%1)"/>
      <w:numFmt w:val="lowerRoman"/>
      <w:start w:val="2"/>
    </w:lvl>
  </w:abstractNum>
  <w:abstractNum w:abstractNumId="144">
    <w:nsid w:val="684EED59"/>
    <w:multiLevelType w:val="hybridMultilevel"/>
    <w:lvl w:ilvl="0">
      <w:lvlJc w:val="left"/>
      <w:lvlText w:val="%1"/>
      <w:numFmt w:val="lowerRoman"/>
      <w:start w:val="1"/>
    </w:lvl>
    <w:lvl w:ilvl="1">
      <w:lvlJc w:val="left"/>
      <w:lvlText w:val="(%2)"/>
      <w:numFmt w:val="lowerLetter"/>
      <w:start w:val="25"/>
    </w:lvl>
  </w:abstractNum>
  <w:abstractNum w:abstractNumId="145">
    <w:nsid w:val="545EE5D3"/>
    <w:multiLevelType w:val="hybridMultilevel"/>
    <w:lvl w:ilvl="0">
      <w:lvlJc w:val="left"/>
      <w:lvlText w:val="(%1)"/>
      <w:numFmt w:val="lowerRoman"/>
      <w:start w:val="4"/>
    </w:lvl>
    <w:lvl w:ilvl="1">
      <w:lvlJc w:val="left"/>
      <w:lvlText w:val="%2"/>
      <w:numFmt w:val="lowerLetter"/>
      <w:start w:val="1"/>
    </w:lvl>
  </w:abstractNum>
  <w:abstractNum w:abstractNumId="146">
    <w:nsid w:val="4A6605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47">
    <w:nsid w:val="20F4BDA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8">
    <w:nsid w:val="639DEFAC"/>
    <w:multiLevelType w:val="hybridMultilevel"/>
    <w:lvl w:ilvl="0">
      <w:lvlJc w:val="left"/>
      <w:lvlText w:val="%1"/>
      <w:numFmt w:val="decimal"/>
      <w:start w:val="1"/>
    </w:lvl>
    <w:lvl w:ilvl="1">
      <w:lvlJc w:val="left"/>
      <w:lvlText w:val="(%2)"/>
      <w:numFmt w:val="lowerRoman"/>
      <w:start w:val="2"/>
    </w:lvl>
  </w:abstractNum>
  <w:abstractNum w:abstractNumId="149">
    <w:nsid w:val="501F9786"/>
    <w:multiLevelType w:val="hybridMultilevel"/>
    <w:lvl w:ilvl="0">
      <w:lvlJc w:val="left"/>
      <w:lvlText w:val="%1."/>
      <w:numFmt w:val="decimal"/>
      <w:start w:val="10"/>
    </w:lvl>
    <w:lvl w:ilvl="1">
      <w:lvlJc w:val="left"/>
      <w:lvlText w:val="%2"/>
      <w:numFmt w:val="lowerRoman"/>
      <w:start w:val="1"/>
    </w:lvl>
  </w:abstractNum>
  <w:abstractNum w:abstractNumId="150">
    <w:nsid w:val="6B057295"/>
    <w:multiLevelType w:val="hybridMultilevel"/>
    <w:lvl w:ilvl="0">
      <w:lvlJc w:val="left"/>
      <w:lvlText w:val="%1."/>
      <w:numFmt w:val="decimal"/>
      <w:start w:val="11"/>
    </w:lvl>
  </w:abstractNum>
  <w:abstractNum w:abstractNumId="151">
    <w:nsid w:val="2771AC80"/>
    <w:multiLevelType w:val="hybridMultilevel"/>
    <w:lvl w:ilvl="0">
      <w:lvlJc w:val="left"/>
      <w:lvlText w:val="%1."/>
      <w:numFmt w:val="decimal"/>
      <w:start w:val="12"/>
    </w:lvl>
  </w:abstractNum>
  <w:abstractNum w:abstractNumId="152">
    <w:nsid w:val="1C4A08EC"/>
    <w:multiLevelType w:val="hybridMultilevel"/>
    <w:lvl w:ilvl="0">
      <w:lvlJc w:val="left"/>
      <w:lvlText w:val="%1."/>
      <w:numFmt w:val="decimal"/>
      <w:start w:val="13"/>
    </w:lvl>
  </w:abstractNum>
  <w:abstractNum w:abstractNumId="153">
    <w:nsid w:val="1958BD17"/>
    <w:multiLevelType w:val="hybridMultilevel"/>
    <w:lvl w:ilvl="0">
      <w:lvlJc w:val="left"/>
      <w:lvlText w:val="%1."/>
      <w:numFmt w:val="decimal"/>
      <w:start w:val="14"/>
    </w:lvl>
  </w:abstractNum>
  <w:abstractNum w:abstractNumId="154">
    <w:nsid w:val="4E647FE4"/>
    <w:multiLevelType w:val="hybridMultilevel"/>
    <w:lvl w:ilvl="0">
      <w:lvlJc w:val="left"/>
      <w:lvlText w:val="%1."/>
      <w:numFmt w:val="decimal"/>
      <w:start w:val="1"/>
    </w:lvl>
  </w:abstractNum>
  <w:abstractNum w:abstractNumId="155">
    <w:nsid w:val="E0BB885"/>
    <w:multiLevelType w:val="hybridMultilevel"/>
    <w:lvl w:ilvl="0">
      <w:lvlJc w:val="left"/>
      <w:lvlText w:val="%1."/>
      <w:numFmt w:val="decimal"/>
      <w:start w:val="2"/>
    </w:lvl>
    <w:lvl w:ilvl="1">
      <w:lvlJc w:val="left"/>
      <w:lvlText w:val="(%2)"/>
      <w:numFmt w:val="lowerLetter"/>
      <w:start w:val="1"/>
    </w:lvl>
  </w:abstractNum>
  <w:abstractNum w:abstractNumId="156">
    <w:nsid w:val="565976F1"/>
    <w:multiLevelType w:val="hybridMultilevel"/>
    <w:lvl w:ilvl="0">
      <w:lvlJc w:val="left"/>
      <w:lvlText w:val="(%1)"/>
      <w:numFmt w:val="lowerLetter"/>
      <w:start w:val="8"/>
    </w:lvl>
    <w:lvl w:ilvl="1">
      <w:lvlJc w:val="left"/>
      <w:lvlText w:val="(%2)"/>
      <w:numFmt w:val="lowerRoman"/>
      <w:start w:val="1"/>
    </w:lvl>
  </w:abstractNum>
  <w:abstractNum w:abstractNumId="157">
    <w:nsid w:val="64212B8C"/>
    <w:multiLevelType w:val="hybridMultilevel"/>
    <w:lvl w:ilvl="0">
      <w:lvlJc w:val="left"/>
      <w:lvlText w:val="(%1)"/>
      <w:numFmt w:val="lowerLetter"/>
      <w:start w:val="15"/>
    </w:lvl>
  </w:abstractNum>
  <w:abstractNum w:abstractNumId="158">
    <w:nsid w:val="5C17530C"/>
    <w:multiLevelType w:val="hybridMultilevel"/>
    <w:lvl w:ilvl="0">
      <w:lvlJc w:val="left"/>
      <w:lvlText w:val="(%1)"/>
      <w:numFmt w:val="lowerLetter"/>
      <w:start w:val="16"/>
    </w:lvl>
    <w:lvl w:ilvl="1">
      <w:lvlJc w:val="left"/>
      <w:lvlText w:val="(%2)"/>
      <w:numFmt w:val="lowerLetter"/>
      <w:start w:val="9"/>
    </w:lvl>
  </w:abstractNum>
  <w:abstractNum w:abstractNumId="159">
    <w:nsid w:val="19A52566"/>
    <w:multiLevelType w:val="hybridMultilevel"/>
    <w:lvl w:ilvl="0">
      <w:lvlJc w:val="left"/>
      <w:lvlText w:val="%1"/>
      <w:numFmt w:val="lowerLetter"/>
      <w:start w:val="1"/>
    </w:lvl>
    <w:lvl w:ilvl="1">
      <w:lvlJc w:val="left"/>
      <w:lvlText w:val="(%2)"/>
      <w:numFmt w:val="lowerRoman"/>
      <w:start w:val="2"/>
    </w:lvl>
  </w:abstractNum>
  <w:abstractNum w:abstractNumId="160">
    <w:nsid w:val="335A1DF1"/>
    <w:multiLevelType w:val="hybridMultilevel"/>
    <w:lvl w:ilvl="0">
      <w:lvlJc w:val="left"/>
      <w:lvlText w:val="(%1)"/>
      <w:numFmt w:val="lowerLetter"/>
      <w:start w:val="23"/>
    </w:lvl>
    <w:lvl w:ilvl="1">
      <w:lvlJc w:val="left"/>
      <w:lvlText w:val="%2"/>
      <w:numFmt w:val="lowerRoman"/>
      <w:start w:val="1"/>
    </w:lvl>
  </w:abstractNum>
  <w:abstractNum w:abstractNumId="161">
    <w:nsid w:val="28677B7C"/>
    <w:multiLevelType w:val="hybridMultilevel"/>
    <w:lvl w:ilvl="0">
      <w:lvlJc w:val="left"/>
      <w:lvlText w:val="(%1)"/>
      <w:numFmt w:val="lowerLetter"/>
      <w:start w:val="27"/>
    </w:lvl>
    <w:lvl w:ilvl="1">
      <w:lvlJc w:val="left"/>
      <w:lvlText w:val="(%2)"/>
      <w:numFmt w:val="lowerRoman"/>
      <w:start w:val="1"/>
    </w:lvl>
  </w:abstractNum>
  <w:abstractNum w:abstractNumId="162">
    <w:nsid w:val="378D97C0"/>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163">
    <w:nsid w:val="1D9146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4">
    <w:nsid w:val="316032B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5">
    <w:nsid w:val="44344C22"/>
    <w:multiLevelType w:val="hybridMultilevel"/>
    <w:lvl w:ilvl="0">
      <w:lvlJc w:val="left"/>
      <w:lvlText w:val="(%1)"/>
      <w:numFmt w:val="lowerLetter"/>
      <w:start w:val="3"/>
    </w:lvl>
  </w:abstractNum>
  <w:abstractNum w:abstractNumId="166">
    <w:nsid w:val="13CDFCFC"/>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5"/>
    </w:lvl>
  </w:abstractNum>
  <w:abstractNum w:abstractNumId="167">
    <w:nsid w:val="471745E4"/>
    <w:multiLevelType w:val="hybridMultilevel"/>
    <w:lvl w:ilvl="0">
      <w:lvlJc w:val="left"/>
      <w:lvlText w:val="%1."/>
      <w:numFmt w:val="decimal"/>
      <w:start w:val="6"/>
    </w:lvl>
  </w:abstractNum>
  <w:abstractNum w:abstractNumId="168">
    <w:nsid w:val="1DDBC66"/>
    <w:multiLevelType w:val="hybridMultilevel"/>
    <w:lvl w:ilvl="0">
      <w:lvlJc w:val="left"/>
      <w:lvlText w:val="(%1)"/>
      <w:numFmt w:val="lowerLetter"/>
      <w:start w:val="1"/>
    </w:lvl>
  </w:abstractNum>
  <w:abstractNum w:abstractNumId="169">
    <w:nsid w:val="30AADFD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70">
    <w:nsid w:val="30EADA61"/>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71">
    <w:nsid w:val="27179C0B"/>
    <w:multiLevelType w:val="hybridMultilevel"/>
    <w:lvl w:ilvl="0">
      <w:lvlJc w:val="left"/>
      <w:lvlText w:val="%1"/>
      <w:numFmt w:val="decimal"/>
      <w:start w:val="1"/>
    </w:lvl>
    <w:lvl w:ilvl="1">
      <w:lvlJc w:val="left"/>
      <w:lvlText w:val="(%2)"/>
      <w:numFmt w:val="lowerLetter"/>
      <w:start w:val="1"/>
    </w:lvl>
  </w:abstractNum>
  <w:abstractNum w:abstractNumId="172">
    <w:nsid w:val="5E636063"/>
    <w:multiLevelType w:val="hybridMultilevel"/>
    <w:lvl w:ilvl="0">
      <w:lvlJc w:val="left"/>
      <w:lvlText w:val="%1."/>
      <w:numFmt w:val="decimal"/>
      <w:start w:val="8"/>
    </w:lvl>
    <w:lvl w:ilvl="1">
      <w:lvlJc w:val="left"/>
      <w:lvlText w:val="%2"/>
      <w:numFmt w:val="lowerLetter"/>
      <w:start w:val="1"/>
    </w:lvl>
  </w:abstractNum>
  <w:abstractNum w:abstractNumId="173">
    <w:nsid w:val="215641AF"/>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2"/>
    </w:lvl>
  </w:abstractNum>
  <w:abstractNum w:abstractNumId="174">
    <w:nsid w:val="53280662"/>
    <w:multiLevelType w:val="hybridMultilevel"/>
    <w:lvl w:ilvl="0">
      <w:lvlJc w:val="left"/>
      <w:lvlText w:val="%1"/>
      <w:numFmt w:val="lowerLetter"/>
      <w:start w:val="1"/>
    </w:lvl>
    <w:lvl w:ilvl="1">
      <w:lvlJc w:val="left"/>
      <w:lvlText w:val="(%2)"/>
      <w:numFmt w:val="lowerLetter"/>
      <w:start w:val="25"/>
    </w:lvl>
  </w:abstractNum>
  <w:abstractNum w:abstractNumId="175">
    <w:nsid w:val="46B24DBC"/>
    <w:multiLevelType w:val="hybridMultilevel"/>
    <w:lvl w:ilvl="0">
      <w:lvlJc w:val="left"/>
      <w:lvlText w:val="(%1)"/>
      <w:numFmt w:val="lowerLetter"/>
      <w:start w:val="35"/>
    </w:lvl>
    <w:lvl w:ilvl="1">
      <w:lvlJc w:val="left"/>
      <w:lvlText w:val="(%2)"/>
      <w:numFmt w:val="lowerLetter"/>
      <w:start w:val="22"/>
    </w:lvl>
  </w:abstractNum>
  <w:abstractNum w:abstractNumId="176">
    <w:nsid w:val="75B5278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77">
    <w:nsid w:val="57CE66B4"/>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78">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lvl w:ilvl="3">
      <w:lvlJc w:val="left"/>
      <w:lvlText w:val="(%4)"/>
      <w:numFmt w:val="lowerLetter"/>
      <w:start w:val="35"/>
    </w:lvl>
  </w:abstractNum>
  <w:abstractNum w:abstractNumId="179">
    <w:nsid w:val="5953172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80">
    <w:nsid w:val="27EDFE3A"/>
    <w:multiLevelType w:val="hybridMultilevel"/>
    <w:lvl w:ilvl="0">
      <w:lvlJc w:val="left"/>
      <w:lvlText w:val="(%1)"/>
      <w:numFmt w:val="lowerLetter"/>
      <w:start w:val="9"/>
    </w:lvl>
    <w:lvl w:ilvl="1">
      <w:lvlJc w:val="left"/>
      <w:lvlText w:val="(%2)"/>
      <w:numFmt w:val="lowerLetter"/>
      <w:start w:val="22"/>
    </w:lvl>
  </w:abstractNum>
  <w:abstractNum w:abstractNumId="181">
    <w:nsid w:val="52AC7DFF"/>
    <w:multiLevelType w:val="hybridMultilevel"/>
    <w:lvl w:ilvl="0">
      <w:lvlJc w:val="left"/>
      <w:lvlText w:val="%1"/>
      <w:numFmt w:val="lowerLetter"/>
      <w:start w:val="1"/>
    </w:lvl>
    <w:lvl w:ilvl="1">
      <w:lvlJc w:val="left"/>
      <w:lvlText w:val="(%2)"/>
      <w:numFmt w:val="lowerLetter"/>
      <w:start w:val="26"/>
    </w:lvl>
  </w:abstractNum>
  <w:abstractNum w:abstractNumId="182">
    <w:nsid w:val="C4C3AF"/>
    <w:multiLevelType w:val="hybridMultilevel"/>
    <w:lvl w:ilvl="0">
      <w:lvlJc w:val="left"/>
      <w:lvlText w:val="(%1)"/>
      <w:numFmt w:val="lowerLetter"/>
      <w:start w:val="35"/>
    </w:lvl>
    <w:lvl w:ilvl="1">
      <w:lvlJc w:val="left"/>
      <w:lvlText w:val="(%2)"/>
      <w:numFmt w:val="lowerLetter"/>
      <w:start w:val="22"/>
    </w:lvl>
  </w:abstractNum>
  <w:abstractNum w:abstractNumId="183">
    <w:nsid w:val="4438072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6"/>
    </w:lvl>
  </w:abstractNum>
  <w:abstractNum w:abstractNumId="184">
    <w:nsid w:val="6C053B16"/>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4"/>
    </w:lvl>
  </w:abstractNum>
  <w:abstractNum w:abstractNumId="185">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5"/>
    </w:lvl>
    <w:lvl w:ilvl="4">
      <w:lvlJc w:val="left"/>
      <w:lvlText w:val="(%5)"/>
      <w:numFmt w:val="lowerLetter"/>
      <w:start w:val="35"/>
    </w:lvl>
  </w:abstractNum>
  <w:abstractNum w:abstractNumId="186">
    <w:nsid w:val="5243BFA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lvl w:ilvl="3">
      <w:lvlJc w:val="left"/>
      <w:lvlText w:val="(%4)"/>
      <w:numFmt w:val="lowerLetter"/>
      <w:start w:val="22"/>
    </w:lvl>
    <w:lvl w:ilvl="4">
      <w:lvlJc w:val="left"/>
      <w:lvlText w:val="%5"/>
      <w:numFmt w:val="lowerLetter"/>
      <w:start w:val="1"/>
    </w:lvl>
  </w:abstractNum>
  <w:abstractNum w:abstractNumId="187">
    <w:nsid w:val="425EB207"/>
    <w:multiLevelType w:val="hybridMultilevel"/>
    <w:lvl w:ilvl="0">
      <w:lvlJc w:val="left"/>
      <w:lvlText w:val="%1"/>
      <w:numFmt w:val="lowerLetter"/>
      <w:start w:val="1"/>
    </w:lvl>
    <w:lvl w:ilvl="1">
      <w:lvlJc w:val="left"/>
      <w:lvlText w:val="(%2)"/>
      <w:numFmt w:val="lowerLetter"/>
      <w:start w:val="23"/>
    </w:lvl>
  </w:abstractNum>
  <w:abstractNum w:abstractNumId="188">
    <w:nsid w:val="334A6F1F"/>
    <w:multiLevelType w:val="hybridMultilevel"/>
    <w:lvl w:ilvl="0">
      <w:lvlJc w:val="left"/>
      <w:lvlText w:val="(%1)"/>
      <w:numFmt w:val="lowerLetter"/>
      <w:start w:val="35"/>
    </w:lvl>
    <w:lvl w:ilvl="1">
      <w:lvlJc w:val="left"/>
      <w:lvlText w:val="(%2)"/>
      <w:numFmt w:val="lowerLetter"/>
      <w:start w:val="22"/>
    </w:lvl>
  </w:abstractNum>
  <w:abstractNum w:abstractNumId="189">
    <w:nsid w:val="2E5B12B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3"/>
    </w:lvl>
  </w:abstractNum>
  <w:abstractNum w:abstractNumId="190">
    <w:nsid w:val="5C03D76D"/>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4"/>
    </w:lvl>
  </w:abstractNum>
  <w:abstractNum w:abstractNumId="191">
    <w:nsid w:val="66A48D11"/>
    <w:multiLevelType w:val="hybridMultilevel"/>
    <w:lvl w:ilvl="0">
      <w:lvlJc w:val="left"/>
      <w:lvlText w:val="%1"/>
      <w:numFmt w:val="lowerLetter"/>
      <w:start w:val="1"/>
    </w:lvl>
    <w:lvl w:ilvl="1">
      <w:lvlJc w:val="left"/>
      <w:lvlText w:val="(%2)"/>
      <w:numFmt w:val="lowerLetter"/>
      <w:start w:val="25"/>
    </w:lvl>
  </w:abstractNum>
  <w:abstractNum w:abstractNumId="192">
    <w:nsid w:val="56C28E34"/>
    <w:multiLevelType w:val="hybridMultilevel"/>
    <w:lvl w:ilvl="0">
      <w:lvlJc w:val="left"/>
      <w:lvlText w:val="(%1)"/>
      <w:numFmt w:val="lowerLetter"/>
      <w:start w:val="35"/>
    </w:lvl>
    <w:lvl w:ilvl="1">
      <w:lvlJc w:val="left"/>
      <w:lvlText w:val="(%2)"/>
      <w:numFmt w:val="lowerLetter"/>
      <w:start w:val="23"/>
    </w:lvl>
  </w:abstractNum>
  <w:abstractNum w:abstractNumId="193">
    <w:nsid w:val="13916F2D"/>
    <w:multiLevelType w:val="hybridMultilevel"/>
    <w:lvl w:ilvl="0">
      <w:lvlJc w:val="left"/>
      <w:lvlText w:val="(%1)"/>
      <w:numFmt w:val="lowerLetter"/>
      <w:start w:val="26"/>
    </w:lvl>
  </w:abstractNum>
  <w:abstractNum w:abstractNumId="194">
    <w:nsid w:val="435D38D"/>
    <w:multiLevelType w:val="hybridMultilevel"/>
    <w:lvl w:ilvl="0">
      <w:lvlJc w:val="left"/>
      <w:lvlText w:val="%1."/>
      <w:numFmt w:val="decimal"/>
      <w:start w:val="11"/>
    </w:lvl>
  </w:abstractNum>
  <w:abstractNum w:abstractNumId="195">
    <w:nsid w:val="822C0EF"/>
    <w:multiLevelType w:val="hybridMultilevel"/>
    <w:lvl w:ilvl="0">
      <w:lvlJc w:val="left"/>
      <w:lvlText w:val="%1."/>
      <w:numFmt w:val="decimal"/>
      <w:start w:val="12"/>
    </w:lvl>
  </w:abstractNum>
  <w:abstractNum w:abstractNumId="196">
    <w:nsid w:val="57C5BB4F"/>
    <w:multiLevelType w:val="hybridMultilevel"/>
    <w:lvl w:ilvl="0">
      <w:lvlJc w:val="left"/>
      <w:lvlText w:val="%1."/>
      <w:numFmt w:val="decimal"/>
      <w:start w:val="13"/>
    </w:lvl>
  </w:abstractNum>
  <w:abstractNum w:abstractNumId="197">
    <w:nsid w:val="1803D089"/>
    <w:multiLevelType w:val="hybridMultilevel"/>
    <w:lvl w:ilvl="0">
      <w:lvlJc w:val="left"/>
      <w:lvlText w:val="%1."/>
      <w:numFmt w:val="decimal"/>
      <w:start w:val="14"/>
    </w:lvl>
  </w:abstractNum>
  <w:abstractNum w:abstractNumId="198">
    <w:nsid w:val="4F3A06D4"/>
    <w:multiLevelType w:val="hybridMultilevel"/>
    <w:lvl w:ilvl="0">
      <w:lvlJc w:val="left"/>
      <w:lvlText w:val="%1."/>
      <w:numFmt w:val="decimal"/>
      <w:start w:val="15"/>
    </w:lvl>
  </w:abstractNum>
  <w:abstractNum w:abstractNumId="199">
    <w:nsid w:val="59A377B6"/>
    <w:multiLevelType w:val="hybridMultilevel"/>
    <w:lvl w:ilvl="0">
      <w:lvlJc w:val="left"/>
      <w:lvlText w:val="%1)"/>
      <w:numFmt w:val="decimal"/>
      <w:start w:val="109"/>
    </w:lvl>
  </w:abstractNum>
  <w:abstractNum w:abstractNumId="200">
    <w:nsid w:val="48AEB063"/>
    <w:multiLevelType w:val="hybridMultilevel"/>
    <w:lvl w:ilvl="0">
      <w:lvlJc w:val="left"/>
      <w:lvlText w:val="(%1)"/>
      <w:numFmt w:val="lowerLetter"/>
      <w:start w:val="26"/>
    </w:lvl>
  </w:abstractNum>
  <w:abstractNum w:abstractNumId="201">
    <w:nsid w:val="24E135"/>
    <w:multiLevelType w:val="hybridMultilevel"/>
    <w:lvl w:ilvl="0">
      <w:lvlJc w:val="left"/>
      <w:lvlText w:val="(%1)"/>
      <w:numFmt w:val="lowerLetter"/>
      <w:start w:val="24"/>
    </w:lvl>
  </w:abstractNum>
  <w:abstractNum w:abstractNumId="202">
    <w:nsid w:val="BB13C1"/>
    <w:multiLevelType w:val="hybridMultilevel"/>
    <w:lvl w:ilvl="0">
      <w:lvlJc w:val="left"/>
      <w:lvlText w:val="(%1)"/>
      <w:numFmt w:val="lowerRoman"/>
      <w:start w:val="10"/>
    </w:lvl>
  </w:abstractNum>
  <w:abstractNum w:abstractNumId="203">
    <w:nsid w:val="271210C7"/>
    <w:multiLevelType w:val="hybridMultilevel"/>
    <w:lvl w:ilvl="0">
      <w:lvlJc w:val="left"/>
      <w:lvlText w:val="(%1)"/>
      <w:numFmt w:val="lowerLetter"/>
      <w:start w:val="2"/>
    </w:lvl>
  </w:abstractNum>
  <w:abstractNum w:abstractNumId="204">
    <w:nsid w:val="217B22E4"/>
    <w:multiLevelType w:val="hybridMultilevel"/>
    <w:lvl w:ilvl="0">
      <w:lvlJc w:val="left"/>
      <w:lvlText w:val="(%1)"/>
      <w:numFmt w:val="lowerLetter"/>
      <w:start w:val="1"/>
    </w:lvl>
  </w:abstractNum>
  <w:abstractNum w:abstractNumId="205">
    <w:nsid w:val="53E31A24"/>
    <w:multiLevelType w:val="hybridMultilevel"/>
    <w:lvl w:ilvl="0">
      <w:lvlJc w:val="left"/>
      <w:lvlText w:val="(%1)"/>
      <w:numFmt w:val="lowerLetter"/>
      <w:start w:val="4"/>
    </w:lvl>
  </w:abstractNum>
  <w:abstractNum w:abstractNumId="206">
    <w:nsid w:val="6DC45E83"/>
    <w:multiLevelType w:val="hybridMultilevel"/>
    <w:lvl w:ilvl="0">
      <w:lvlJc w:val="left"/>
      <w:lvlText w:val="(%1)"/>
      <w:numFmt w:val="lowerLetter"/>
      <w:start w:val="2"/>
    </w:lvl>
  </w:abstractNum>
  <w:abstractNum w:abstractNumId="207">
    <w:nsid w:val="17304A67"/>
    <w:multiLevelType w:val="hybridMultilevel"/>
    <w:lvl w:ilvl="0">
      <w:lvlJc w:val="left"/>
      <w:lvlText w:val="(%1)"/>
      <w:numFmt w:val="lowerLetter"/>
      <w:start w:val="2"/>
    </w:lvl>
  </w:abstractNum>
  <w:abstractNum w:abstractNumId="208">
    <w:nsid w:val="2BB180D8"/>
    <w:multiLevelType w:val="hybridMultilevel"/>
    <w:lvl w:ilvl="0">
      <w:lvlJc w:val="left"/>
      <w:lvlText w:val="(%1)"/>
      <w:numFmt w:val="lowerLetter"/>
      <w:start w:val="4"/>
    </w:lvl>
  </w:abstractNum>
  <w:abstractNum w:abstractNumId="209">
    <w:nsid w:val="556B69ED"/>
    <w:multiLevelType w:val="hybridMultilevel"/>
    <w:lvl w:ilvl="0">
      <w:lvlJc w:val="left"/>
      <w:lvlText w:val="(%1)"/>
      <w:numFmt w:val="lowerLetter"/>
      <w:start w:val="7"/>
    </w:lvl>
  </w:abstractNum>
  <w:abstractNum w:abstractNumId="210">
    <w:nsid w:val="70836196"/>
    <w:multiLevelType w:val="hybridMultilevel"/>
    <w:lvl w:ilvl="0">
      <w:lvlJc w:val="left"/>
      <w:lvlText w:val="(%1)"/>
      <w:numFmt w:val="lowerRoman"/>
      <w:start w:val="1"/>
    </w:lvl>
  </w:abstractNum>
  <w:abstractNum w:abstractNumId="211">
    <w:nsid w:val="539F7F12"/>
    <w:multiLevelType w:val="hybridMultilevel"/>
    <w:lvl w:ilvl="0">
      <w:lvlJc w:val="left"/>
      <w:lvlText w:val="(%1)"/>
      <w:numFmt w:val="lowerLetter"/>
      <w:start w:val="25"/>
    </w:lvl>
  </w:abstractNum>
  <w:abstractNum w:abstractNumId="212">
    <w:nsid w:val="2817E7EC"/>
    <w:multiLevelType w:val="hybridMultilevel"/>
    <w:lvl w:ilvl="0">
      <w:lvlJc w:val="left"/>
      <w:lvlText w:val="%1"/>
      <w:numFmt w:val="lowerLetter"/>
      <w:start w:val="1"/>
    </w:lvl>
    <w:lvl w:ilvl="1">
      <w:lvlJc w:val="left"/>
      <w:lvlText w:val="(%2)"/>
      <w:numFmt w:val="lowerLetter"/>
      <w:start w:val="2"/>
    </w:lvl>
  </w:abstractNum>
  <w:abstractNum w:abstractNumId="213">
    <w:nsid w:val="71482545"/>
    <w:multiLevelType w:val="hybridMultilevel"/>
    <w:lvl w:ilvl="0">
      <w:lvlJc w:val="left"/>
      <w:lvlText w:val="(%1)"/>
      <w:numFmt w:val="lowerLetter"/>
      <w:start w:val="35"/>
    </w:lvl>
    <w:lvl w:ilvl="1">
      <w:lvlJc w:val="left"/>
      <w:lvlText w:val="%2"/>
      <w:numFmt w:val="lowerLetter"/>
      <w:start w:val="1"/>
    </w:lvl>
  </w:abstractNum>
  <w:abstractNum w:abstractNumId="214">
    <w:nsid w:val="17D78639"/>
    <w:multiLevelType w:val="hybridMultilevel"/>
    <w:lvl w:ilvl="0">
      <w:lvlJc w:val="left"/>
      <w:lvlText w:val="(%1)"/>
      <w:numFmt w:val="lowerLetter"/>
      <w:start w:val="2"/>
    </w:lvl>
  </w:abstractNum>
  <w:abstractNum w:abstractNumId="215">
    <w:nsid w:val="141D2302"/>
    <w:multiLevelType w:val="hybridMultilevel"/>
    <w:lvl w:ilvl="0">
      <w:lvlJc w:val="left"/>
      <w:lvlText w:val="(%1)"/>
      <w:numFmt w:val="lowerLetter"/>
      <w:start w:val="2"/>
    </w:lvl>
  </w:abstractNum>
  <w:abstractNum w:abstractNumId="216">
    <w:nsid w:val="407168D8"/>
    <w:multiLevelType w:val="hybridMultilevel"/>
    <w:lvl w:ilvl="0">
      <w:lvlJc w:val="left"/>
      <w:lvlText w:val="(%1)"/>
      <w:numFmt w:val="lowerLetter"/>
      <w:start w:val="1"/>
    </w:lvl>
  </w:abstractNum>
  <w:abstractNum w:abstractNumId="217">
    <w:nsid w:val="6A1B45E5"/>
    <w:multiLevelType w:val="hybridMultilevel"/>
    <w:lvl w:ilvl="0">
      <w:lvlJc w:val="left"/>
      <w:lvlText w:val="(%1)"/>
      <w:numFmt w:val="lowerLetter"/>
      <w:start w:val="2"/>
    </w:lvl>
  </w:abstractNum>
  <w:abstractNum w:abstractNumId="218">
    <w:nsid w:val="567BD50A"/>
    <w:multiLevelType w:val="hybridMultilevel"/>
    <w:lvl w:ilvl="0">
      <w:lvlJc w:val="left"/>
      <w:lvlText w:val="(%1)"/>
      <w:numFmt w:val="lowerLetter"/>
      <w:start w:val="1"/>
    </w:lvl>
  </w:abstractNum>
  <w:abstractNum w:abstractNumId="219">
    <w:nsid w:val="73BBD7F8"/>
    <w:multiLevelType w:val="hybridMultilevel"/>
    <w:lvl w:ilvl="0">
      <w:lvlJc w:val="left"/>
      <w:lvlText w:val="(%1)"/>
      <w:numFmt w:val="lowerLetter"/>
      <w:start w:val="3"/>
    </w:lvl>
  </w:abstractNum>
  <w:abstractNum w:abstractNumId="220">
    <w:nsid w:val="1876589D"/>
    <w:multiLevelType w:val="hybridMultilevel"/>
    <w:lvl w:ilvl="0">
      <w:lvlJc w:val="left"/>
      <w:lvlText w:val="(%1)"/>
      <w:numFmt w:val="lowerRoman"/>
      <w:start w:val="1"/>
    </w:lvl>
  </w:abstractNum>
  <w:abstractNum w:abstractNumId="221">
    <w:nsid w:val="327FAC77"/>
    <w:multiLevelType w:val="hybridMultilevel"/>
    <w:lvl w:ilvl="0">
      <w:lvlJc w:val="left"/>
      <w:lvlText w:val="(%1)"/>
      <w:numFmt w:val="lowerRoman"/>
      <w:start w:val="4"/>
    </w:lvl>
  </w:abstractNum>
  <w:abstractNum w:abstractNumId="222">
    <w:nsid w:val="5A606509"/>
    <w:multiLevelType w:val="hybridMultilevel"/>
    <w:lvl w:ilvl="0">
      <w:lvlJc w:val="left"/>
      <w:lvlText w:val="%1"/>
      <w:numFmt w:val="lowerLetter"/>
      <w:start w:val="1"/>
    </w:lvl>
    <w:lvl w:ilvl="1">
      <w:lvlJc w:val="left"/>
      <w:lvlText w:val="(%2)"/>
      <w:numFmt w:val="lowerRoman"/>
      <w:start w:val="12"/>
    </w:lvl>
  </w:abstractNum>
  <w:abstractNum w:abstractNumId="223">
    <w:nsid w:val="6F38E6D1"/>
    <w:multiLevelType w:val="hybridMultilevel"/>
    <w:lvl w:ilvl="0">
      <w:lvlJc w:val="left"/>
      <w:lvlText w:val="(%1)"/>
      <w:numFmt w:val="lowerLetter"/>
      <w:start w:val="2"/>
    </w:lvl>
    <w:lvl w:ilvl="1">
      <w:lvlJc w:val="left"/>
      <w:lvlText w:val="%2"/>
      <w:numFmt w:val="lowerRoman"/>
      <w:start w:val="1"/>
    </w:lvl>
  </w:abstractNum>
  <w:abstractNum w:abstractNumId="224">
    <w:nsid w:val="46111BA5"/>
    <w:multiLevelType w:val="hybridMultilevel"/>
    <w:lvl w:ilvl="0">
      <w:lvlJc w:val="left"/>
      <w:lvlText w:val="(%1)"/>
      <w:numFmt w:val="lowerLetter"/>
      <w:start w:val="2"/>
    </w:lvl>
  </w:abstractNum>
  <w:abstractNum w:abstractNumId="225">
    <w:nsid w:val="5E963896"/>
    <w:multiLevelType w:val="hybridMultilevel"/>
    <w:lvl w:ilvl="0">
      <w:lvlJc w:val="left"/>
      <w:lvlText w:val="%1"/>
      <w:numFmt w:val="lowerRoman"/>
      <w:start w:val="1"/>
    </w:lvl>
    <w:lvl w:ilvl="1">
      <w:lvlJc w:val="left"/>
      <w:lvlText w:val="(%2)"/>
      <w:numFmt w:val="lowerRoman"/>
      <w:start w:val="1"/>
    </w:lvl>
  </w:abstractNum>
  <w:abstractNum w:abstractNumId="226">
    <w:nsid w:val="775BA7C1"/>
    <w:multiLevelType w:val="hybridMultilevel"/>
    <w:lvl w:ilvl="0">
      <w:lvlJc w:val="left"/>
      <w:lvlText w:val="(%1)"/>
      <w:numFmt w:val="lowerRoman"/>
      <w:start w:val="10"/>
    </w:lvl>
    <w:lvl w:ilvl="1">
      <w:lvlJc w:val="left"/>
      <w:lvlText w:val="(%2)"/>
      <w:numFmt w:val="lowerRoman"/>
      <w:start w:val="2"/>
    </w:lvl>
  </w:abstractNum>
  <w:abstractNum w:abstractNumId="227">
    <w:nsid w:val="1DD6D6F4"/>
    <w:multiLevelType w:val="hybridMultilevel"/>
    <w:lvl w:ilvl="0">
      <w:lvlJc w:val="left"/>
      <w:lvlText w:val="(%1)"/>
      <w:numFmt w:val="lowerLetter"/>
      <w:start w:val="2"/>
    </w:lvl>
  </w:abstractNum>
  <w:abstractNum w:abstractNumId="228">
    <w:nsid w:val="769A091F"/>
    <w:multiLevelType w:val="hybridMultilevel"/>
    <w:lvl w:ilvl="0">
      <w:lvlJc w:val="left"/>
      <w:lvlText w:val="(%1)"/>
      <w:numFmt w:val="lowerRoman"/>
      <w:start w:val="1"/>
    </w:lvl>
  </w:abstractNum>
  <w:abstractNum w:abstractNumId="229">
    <w:nsid w:val="4695AE95"/>
    <w:multiLevelType w:val="hybridMultilevel"/>
    <w:lvl w:ilvl="0">
      <w:lvlJc w:val="left"/>
      <w:lvlText w:val="%1"/>
      <w:numFmt w:val="lowerRoman"/>
      <w:start w:val="1"/>
    </w:lvl>
    <w:lvl w:ilvl="1">
      <w:lvlJc w:val="left"/>
      <w:lvlText w:val="(%2)"/>
      <w:numFmt w:val="lowerRoman"/>
      <w:start w:val="2"/>
    </w:lvl>
  </w:abstractNum>
  <w:abstractNum w:abstractNumId="230">
    <w:nsid w:val="777A4EAA"/>
    <w:multiLevelType w:val="hybridMultilevel"/>
    <w:lvl w:ilvl="0">
      <w:lvlJc w:val="left"/>
      <w:lvlText w:val="(%1)"/>
      <w:numFmt w:val="lowerRoman"/>
      <w:start w:val="6"/>
    </w:lvl>
    <w:lvl w:ilvl="1">
      <w:lvlJc w:val="left"/>
      <w:lvlText w:val="%2"/>
      <w:numFmt w:val="lowerRoman"/>
      <w:start w:val="1"/>
    </w:lvl>
  </w:abstractNum>
  <w:abstractNum w:abstractNumId="231">
    <w:nsid w:val="3F48B982"/>
    <w:multiLevelType w:val="hybridMultilevel"/>
    <w:lvl w:ilvl="0">
      <w:lvlJc w:val="left"/>
      <w:lvlText w:val="(%1)"/>
      <w:numFmt w:val="lowerLetter"/>
      <w:start w:val="2"/>
    </w:lvl>
  </w:abstractNum>
  <w:abstractNum w:abstractNumId="232">
    <w:nsid w:val="46BA8FCA"/>
    <w:multiLevelType w:val="hybridMultilevel"/>
    <w:lvl w:ilvl="0">
      <w:lvlJc w:val="left"/>
      <w:lvlText w:val="%1"/>
      <w:numFmt w:val="lowerLetter"/>
      <w:start w:val="1"/>
    </w:lvl>
    <w:lvl w:ilvl="1">
      <w:lvlJc w:val="left"/>
      <w:lvlText w:val="(%2)"/>
      <w:numFmt w:val="lowerLetter"/>
      <w:start w:val="2"/>
    </w:lvl>
  </w:abstractNum>
  <w:abstractNum w:abstractNumId="233">
    <w:nsid w:val="7835626C"/>
    <w:multiLevelType w:val="hybridMultilevel"/>
    <w:lvl w:ilvl="0">
      <w:lvlJc w:val="left"/>
      <w:lvlText w:val="(%1)"/>
      <w:numFmt w:val="lowerLetter"/>
      <w:start w:val="35"/>
    </w:lvl>
    <w:lvl w:ilvl="1">
      <w:lvlJc w:val="left"/>
      <w:lvlText w:val="%2"/>
      <w:numFmt w:val="lowerLetter"/>
      <w:start w:val="1"/>
    </w:lvl>
  </w:abstractNum>
  <w:abstractNum w:abstractNumId="234">
    <w:nsid w:val="665ACA49"/>
    <w:multiLevelType w:val="hybridMultilevel"/>
    <w:lvl w:ilvl="0">
      <w:lvlJc w:val="left"/>
      <w:lvlText w:val="(%1)"/>
      <w:numFmt w:val="lowerLetter"/>
      <w:start w:val="2"/>
    </w:lvl>
  </w:abstractNum>
  <w:abstractNum w:abstractNumId="235">
    <w:nsid w:val="6835B2AE"/>
    <w:multiLevelType w:val="hybridMultilevel"/>
    <w:lvl w:ilvl="0">
      <w:lvlJc w:val="left"/>
      <w:lvlText w:val="(%1)"/>
      <w:numFmt w:val="lowerLetter"/>
      <w:start w:val="3"/>
    </w:lvl>
  </w:abstractNum>
  <w:abstractNum w:abstractNumId="236">
    <w:nsid w:val="4C187C90"/>
    <w:multiLevelType w:val="hybridMultilevel"/>
    <w:lvl w:ilvl="0">
      <w:lvlJc w:val="left"/>
      <w:lvlText w:val="(%1)"/>
      <w:numFmt w:val="lowerLetter"/>
      <w:start w:val="1"/>
    </w:lvl>
  </w:abstractNum>
  <w:abstractNum w:abstractNumId="237">
    <w:nsid w:val="541F28CD"/>
    <w:multiLevelType w:val="hybridMultilevel"/>
    <w:lvl w:ilvl="0">
      <w:lvlJc w:val="left"/>
      <w:lvlText w:val="(%1)"/>
      <w:numFmt w:val="lowerLetter"/>
      <w:start w:val="7"/>
    </w:lvl>
  </w:abstractNum>
  <w:abstractNum w:abstractNumId="238">
    <w:nsid w:val="7F65FD16"/>
    <w:multiLevelType w:val="hybridMultilevel"/>
    <w:lvl w:ilvl="0">
      <w:lvlJc w:val="left"/>
      <w:lvlText w:val="(%1)"/>
      <w:numFmt w:val="lowerLetter"/>
      <w:start w:val="2"/>
    </w:lvl>
  </w:abstractNum>
  <w:abstractNum w:abstractNumId="239">
    <w:nsid w:val="77C9FD68"/>
    <w:multiLevelType w:val="hybridMultilevel"/>
    <w:lvl w:ilvl="0">
      <w:lvlJc w:val="left"/>
      <w:lvlText w:val="(%1)"/>
      <w:numFmt w:val="lowerRoman"/>
      <w:start w:val="1"/>
    </w:lvl>
  </w:abstractNum>
  <w:abstractNum w:abstractNumId="240">
    <w:nsid w:val="298A92BA"/>
    <w:multiLevelType w:val="hybridMultilevel"/>
    <w:lvl w:ilvl="0">
      <w:lvlJc w:val="left"/>
      <w:lvlText w:val="(%1)"/>
      <w:numFmt w:val="lowerLetter"/>
      <w:start w:val="2"/>
    </w:lvl>
  </w:abstractNum>
  <w:abstractNum w:abstractNumId="241">
    <w:nsid w:val="6FE95EAC"/>
    <w:multiLevelType w:val="hybridMultilevel"/>
    <w:lvl w:ilvl="0">
      <w:lvlJc w:val="left"/>
      <w:lvlText w:val="(%1)"/>
      <w:numFmt w:val="lowerLetter"/>
      <w:start w:val="1"/>
    </w:lvl>
  </w:abstractNum>
  <w:abstractNum w:abstractNumId="242">
    <w:nsid w:val="4B697C7A"/>
    <w:multiLevelType w:val="hybridMultilevel"/>
    <w:lvl w:ilvl="0">
      <w:lvlJc w:val="left"/>
      <w:lvlText w:val="(%1)"/>
      <w:numFmt w:val="lowerLetter"/>
      <w:start w:val="5"/>
    </w:lvl>
  </w:abstractNum>
  <w:abstractNum w:abstractNumId="243">
    <w:nsid w:val="51A27AA6"/>
    <w:multiLevelType w:val="hybridMultilevel"/>
    <w:lvl w:ilvl="0">
      <w:lvlJc w:val="left"/>
      <w:lvlText w:val="(%1)"/>
      <w:numFmt w:val="lowerLetter"/>
      <w:start w:val="11"/>
    </w:lvl>
    <w:lvl w:ilvl="1">
      <w:lvlJc w:val="left"/>
      <w:lvlText w:val="(%2)"/>
      <w:numFmt w:val="lowerRoman"/>
      <w:start w:val="1"/>
    </w:lvl>
  </w:abstractNum>
  <w:abstractNum w:abstractNumId="244">
    <w:nsid w:val="613183F2"/>
    <w:multiLevelType w:val="hybridMultilevel"/>
    <w:lvl w:ilvl="0">
      <w:lvlJc w:val="left"/>
      <w:lvlText w:val="(%1)"/>
      <w:numFmt w:val="lowerLetter"/>
      <w:start w:val="2"/>
    </w:lvl>
  </w:abstractNum>
  <w:abstractNum w:abstractNumId="245">
    <w:nsid w:val="634102B4"/>
    <w:multiLevelType w:val="hybridMultilevel"/>
    <w:lvl w:ilvl="0">
      <w:lvlJc w:val="left"/>
      <w:lvlText w:val="(%1)"/>
      <w:numFmt w:val="lowerLetter"/>
      <w:start w:val="1"/>
    </w:lvl>
  </w:abstractNum>
  <w:abstractNum w:abstractNumId="246">
    <w:nsid w:val="65BF9DA8"/>
    <w:multiLevelType w:val="hybridMultilevel"/>
    <w:lvl w:ilvl="0">
      <w:lvlJc w:val="left"/>
      <w:lvlText w:val="(%1)"/>
      <w:numFmt w:val="lowerLetter"/>
      <w:start w:val="3"/>
    </w:lvl>
  </w:abstractNum>
  <w:abstractNum w:abstractNumId="247">
    <w:nsid w:val="21A2ECCA"/>
    <w:multiLevelType w:val="hybridMultilevel"/>
    <w:lvl w:ilvl="0">
      <w:lvlJc w:val="left"/>
      <w:lvlText w:val="(%1)"/>
      <w:numFmt w:val="lowerLetter"/>
      <w:start w:val="4"/>
    </w:lvl>
    <w:lvl w:ilvl="1">
      <w:lvlJc w:val="left"/>
      <w:lvlText w:val="(%2)"/>
      <w:numFmt w:val="lowerLetter"/>
      <w:start w:val="2"/>
    </w:lvl>
  </w:abstractNum>
  <w:abstractNum w:abstractNumId="248">
    <w:nsid w:val="4D5C4899"/>
    <w:multiLevelType w:val="hybridMultilevel"/>
    <w:lvl w:ilvl="0">
      <w:lvlJc w:val="left"/>
      <w:lvlText w:val="(%1)"/>
      <w:numFmt w:val="lowerLetter"/>
      <w:start w:val="3"/>
    </w:lvl>
  </w:abstractNum>
  <w:abstractNum w:abstractNumId="249">
    <w:nsid w:val="3C3B72B2"/>
    <w:multiLevelType w:val="hybridMultilevel"/>
    <w:lvl w:ilvl="0">
      <w:lvlJc w:val="left"/>
      <w:lvlText w:val="(%1)"/>
      <w:numFmt w:val="lowerLetter"/>
      <w:start w:val="1"/>
    </w:lvl>
  </w:abstractNum>
  <w:abstractNum w:abstractNumId="250">
    <w:nsid w:val="155EC4C2"/>
    <w:multiLevelType w:val="hybridMultilevel"/>
    <w:lvl w:ilvl="0">
      <w:lvlJc w:val="left"/>
      <w:lvlText w:val="(%1)"/>
      <w:numFmt w:val="lowerRoman"/>
      <w:start w:val="1"/>
    </w:lvl>
  </w:abstractNum>
  <w:abstractNum w:abstractNumId="251">
    <w:nsid w:val="65D2A137"/>
    <w:multiLevelType w:val="hybridMultilevel"/>
    <w:lvl w:ilvl="0">
      <w:lvlJc w:val="left"/>
      <w:lvlText w:val="(%1)"/>
      <w:numFmt w:val="lowerLetter"/>
      <w:start w:val="2"/>
    </w:lvl>
  </w:abstractNum>
  <w:abstractNum w:abstractNumId="252">
    <w:nsid w:val="6EBB1F2A"/>
    <w:multiLevelType w:val="hybridMultilevel"/>
    <w:lvl w:ilvl="0">
      <w:lvlJc w:val="left"/>
      <w:lvlText w:val="(%1)"/>
      <w:numFmt w:val="lowerLetter"/>
      <w:start w:val="1"/>
    </w:lvl>
  </w:abstractNum>
  <w:abstractNum w:abstractNumId="253">
    <w:nsid w:val="6FBF29CB"/>
    <w:multiLevelType w:val="hybridMultilevel"/>
    <w:lvl w:ilvl="0">
      <w:lvlJc w:val="left"/>
      <w:lvlText w:val="(%1)"/>
      <w:numFmt w:val="lowerLetter"/>
      <w:start w:val="2"/>
    </w:lvl>
  </w:abstractNum>
  <w:abstractNum w:abstractNumId="254">
    <w:nsid w:val="550B8808"/>
    <w:multiLevelType w:val="hybridMultilevel"/>
    <w:lvl w:ilvl="0">
      <w:lvlJc w:val="left"/>
      <w:lvlText w:val="(%1)"/>
      <w:numFmt w:val="lowerLetter"/>
      <w:start w:val="2"/>
    </w:lvl>
  </w:abstractNum>
  <w:abstractNum w:abstractNumId="255">
    <w:nsid w:val="34CC3ACF"/>
    <w:multiLevelType w:val="hybridMultilevel"/>
    <w:lvl w:ilvl="0">
      <w:lvlJc w:val="left"/>
      <w:lvlText w:val="(%1)"/>
      <w:numFmt w:val="lowerLetter"/>
      <w:start w:val="1"/>
    </w:lvl>
  </w:abstractNum>
  <w:abstractNum w:abstractNumId="256">
    <w:nsid w:val="4E556261"/>
    <w:multiLevelType w:val="hybridMultilevel"/>
    <w:lvl w:ilvl="0">
      <w:lvlJc w:val="left"/>
      <w:lvlText w:val="%1"/>
      <w:numFmt w:val="lowerLetter"/>
      <w:start w:val="1"/>
    </w:lvl>
    <w:lvl w:ilvl="1">
      <w:lvlJc w:val="left"/>
      <w:lvlText w:val="(%2)"/>
      <w:numFmt w:val="lowerLetter"/>
      <w:start w:val="4"/>
    </w:lvl>
  </w:abstractNum>
  <w:abstractNum w:abstractNumId="257">
    <w:nsid w:val="4C672FC9"/>
    <w:multiLevelType w:val="hybridMultilevel"/>
    <w:lvl w:ilvl="0">
      <w:lvlJc w:val="left"/>
      <w:lvlText w:val="(%1)"/>
      <w:numFmt w:val="lowerLetter"/>
      <w:start w:val="35"/>
    </w:lvl>
    <w:lvl w:ilvl="1">
      <w:lvlJc w:val="left"/>
      <w:lvlText w:val="%2"/>
      <w:numFmt w:val="lowerLetter"/>
      <w:start w:val="1"/>
    </w:lvl>
  </w:abstractNum>
  <w:abstractNum w:abstractNumId="258">
    <w:nsid w:val="52A311C3"/>
    <w:multiLevelType w:val="hybridMultilevel"/>
    <w:lvl w:ilvl="0">
      <w:lvlJc w:val="left"/>
      <w:lvlText w:val="(%1)"/>
      <w:numFmt w:val="lowerLetter"/>
      <w:start w:val="1"/>
    </w:lvl>
  </w:abstractNum>
  <w:abstractNum w:abstractNumId="259">
    <w:nsid w:val="44EF6B80"/>
    <w:multiLevelType w:val="hybridMultilevel"/>
    <w:lvl w:ilvl="0">
      <w:lvlJc w:val="left"/>
      <w:lvlText w:val="(%1)"/>
      <w:numFmt w:val="lowerLetter"/>
      <w:start w:val="2"/>
    </w:lvl>
  </w:abstractNum>
  <w:abstractNum w:abstractNumId="260">
    <w:nsid w:val="12FCDE5E"/>
    <w:multiLevelType w:val="hybridMultilevel"/>
    <w:lvl w:ilvl="0">
      <w:lvlJc w:val="left"/>
      <w:lvlText w:val="(%1)"/>
      <w:numFmt w:val="lowerLetter"/>
      <w:start w:val="4"/>
    </w:lvl>
  </w:abstractNum>
  <w:abstractNum w:abstractNumId="261">
    <w:nsid w:val="4A1D606E"/>
    <w:multiLevelType w:val="hybridMultilevel"/>
    <w:lvl w:ilvl="0">
      <w:lvlJc w:val="left"/>
      <w:lvlText w:val="(%1)"/>
      <w:numFmt w:val="lowerLetter"/>
      <w:start w:val="2"/>
    </w:lvl>
  </w:abstractNum>
  <w:abstractNum w:abstractNumId="262">
    <w:nsid w:val="4382503"/>
    <w:multiLevelType w:val="hybridMultilevel"/>
    <w:lvl w:ilvl="0">
      <w:lvlJc w:val="left"/>
      <w:lvlText w:val="(%1)"/>
      <w:numFmt w:val="lowerLetter"/>
      <w:start w:val="2"/>
    </w:lvl>
  </w:abstractNum>
  <w:abstractNum w:abstractNumId="263">
    <w:nsid w:val="59B76E28"/>
    <w:multiLevelType w:val="hybridMultilevel"/>
    <w:lvl w:ilvl="0">
      <w:lvlJc w:val="left"/>
      <w:lvlText w:val="(%1)"/>
      <w:numFmt w:val="lowerLetter"/>
      <w:start w:val="5"/>
    </w:lvl>
  </w:abstractNum>
  <w:abstractNum w:abstractNumId="264">
    <w:nsid w:val="4252C2DA"/>
    <w:multiLevelType w:val="hybridMultilevel"/>
    <w:lvl w:ilvl="0">
      <w:lvlJc w:val="left"/>
      <w:lvlText w:val="(%1)"/>
      <w:numFmt w:val="lowerLetter"/>
      <w:start w:val="2"/>
    </w:lvl>
  </w:abstractNum>
  <w:abstractNum w:abstractNumId="265">
    <w:nsid w:val="6A92EF4C"/>
    <w:multiLevelType w:val="hybridMultilevel"/>
    <w:lvl w:ilvl="0">
      <w:lvlJc w:val="left"/>
      <w:lvlText w:val="(%1)"/>
      <w:numFmt w:val="lowerLetter"/>
      <w:start w:val="2"/>
    </w:lvl>
  </w:abstractNum>
  <w:abstractNum w:abstractNumId="266">
    <w:nsid w:val="41ED20D7"/>
    <w:multiLevelType w:val="hybridMultilevel"/>
    <w:lvl w:ilvl="0">
      <w:lvlJc w:val="left"/>
      <w:lvlText w:val="(%1)"/>
      <w:numFmt w:val="lowerLetter"/>
      <w:start w:val="9"/>
    </w:lvl>
    <w:lvl w:ilvl="1">
      <w:lvlJc w:val="left"/>
      <w:lvlText w:val="(%2)"/>
      <w:numFmt w:val="lowerLetter"/>
      <w:start w:val="2"/>
    </w:lvl>
  </w:abstractNum>
  <w:abstractNum w:abstractNumId="267">
    <w:nsid w:val="E6B3F6A"/>
    <w:multiLevelType w:val="hybridMultilevel"/>
    <w:lvl w:ilvl="0">
      <w:lvlJc w:val="left"/>
      <w:lvlText w:val="(%1)"/>
      <w:numFmt w:val="lowerLetter"/>
      <w:start w:val="3"/>
    </w:lvl>
  </w:abstractNum>
  <w:abstractNum w:abstractNumId="268">
    <w:nsid w:val="3EB21819"/>
    <w:multiLevelType w:val="hybridMultilevel"/>
    <w:lvl w:ilvl="0">
      <w:lvlJc w:val="left"/>
      <w:lvlText w:val="(%1)"/>
      <w:numFmt w:val="lowerLetter"/>
      <w:start w:val="1"/>
    </w:lvl>
  </w:abstractNum>
  <w:abstractNum w:abstractNumId="269">
    <w:nsid w:val="41531DED"/>
    <w:multiLevelType w:val="hybridMultilevel"/>
    <w:lvl w:ilvl="0">
      <w:lvlJc w:val="left"/>
      <w:lvlText w:val="(%1)"/>
      <w:numFmt w:val="lowerLetter"/>
      <w:start w:val="1"/>
    </w:lvl>
  </w:abstractNum>
  <w:abstractNum w:abstractNumId="270">
    <w:nsid w:val="6353CD2"/>
    <w:multiLevelType w:val="hybridMultilevel"/>
    <w:lvl w:ilvl="0">
      <w:lvlJc w:val="left"/>
      <w:lvlText w:val="(%1)"/>
      <w:numFmt w:val="lowerLetter"/>
      <w:start w:val="4"/>
    </w:lvl>
    <w:lvl w:ilvl="1">
      <w:lvlJc w:val="left"/>
      <w:lvlText w:val="(%2)"/>
      <w:numFmt w:val="lowerRoman"/>
      <w:start w:val="1"/>
    </w:lvl>
  </w:abstractNum>
  <w:abstractNum w:abstractNumId="271">
    <w:nsid w:val="683CAAD3"/>
    <w:multiLevelType w:val="hybridMultilevel"/>
    <w:lvl w:ilvl="0">
      <w:lvlJc w:val="left"/>
      <w:lvlText w:val="%1"/>
      <w:numFmt w:val="lowerRoman"/>
      <w:start w:val="1"/>
    </w:lvl>
    <w:lvl w:ilvl="1">
      <w:lvlJc w:val="left"/>
      <w:lvlText w:val="(%2)"/>
      <w:numFmt w:val="lowerRoman"/>
      <w:start w:val="1"/>
    </w:lvl>
  </w:abstractNum>
  <w:abstractNum w:abstractNumId="272">
    <w:nsid w:val="313C7C99"/>
    <w:multiLevelType w:val="hybridMultilevel"/>
    <w:lvl w:ilvl="0">
      <w:lvlJc w:val="left"/>
      <w:lvlText w:val="(%1)"/>
      <w:numFmt w:val="lowerRoman"/>
      <w:start w:val="1"/>
    </w:lvl>
    <w:lvl w:ilvl="1">
      <w:lvlJc w:val="left"/>
      <w:lvlText w:val="%2"/>
      <w:numFmt w:val="lowerRoman"/>
      <w:start w:val="1"/>
    </w:lvl>
  </w:abstractNum>
  <w:abstractNum w:abstractNumId="273">
    <w:nsid w:val="519EB94C"/>
    <w:multiLevelType w:val="hybridMultilevel"/>
    <w:lvl w:ilvl="0">
      <w:lvlJc w:val="left"/>
      <w:lvlText w:val="(%1)"/>
      <w:numFmt w:val="lowerLetter"/>
      <w:start w:val="1"/>
    </w:lvl>
  </w:abstractNum>
  <w:abstractNum w:abstractNumId="274">
    <w:nsid w:val="39DF2579"/>
    <w:multiLevelType w:val="hybridMultilevel"/>
    <w:lvl w:ilvl="0">
      <w:lvlJc w:val="left"/>
      <w:lvlText w:val="(%1)"/>
      <w:numFmt w:val="lowerLetter"/>
      <w:start w:val="2"/>
    </w:lvl>
  </w:abstractNum>
  <w:abstractNum w:abstractNumId="275">
    <w:nsid w:val="126E008B"/>
    <w:multiLevelType w:val="hybridMultilevel"/>
    <w:lvl w:ilvl="0">
      <w:lvlJc w:val="left"/>
      <w:lvlText w:val="(%1)"/>
      <w:numFmt w:val="lowerLetter"/>
      <w:start w:val="2"/>
    </w:lvl>
  </w:abstractNum>
  <w:abstractNum w:abstractNumId="276">
    <w:nsid w:val="34DFBC00"/>
    <w:multiLevelType w:val="hybridMultilevel"/>
    <w:lvl w:ilvl="0">
      <w:lvlJc w:val="left"/>
      <w:lvlText w:val="(%1)"/>
      <w:numFmt w:val="lowerLetter"/>
      <w:start w:val="3"/>
    </w:lvl>
  </w:abstractNum>
  <w:abstractNum w:abstractNumId="277">
    <w:nsid w:val="1F9EC322"/>
    <w:multiLevelType w:val="hybridMultilevel"/>
    <w:lvl w:ilvl="0">
      <w:lvlJc w:val="left"/>
      <w:lvlText w:val="%1"/>
      <w:numFmt w:val="lowerLetter"/>
      <w:start w:val="1"/>
    </w:lvl>
    <w:lvl w:ilvl="1">
      <w:lvlJc w:val="left"/>
      <w:lvlText w:val="(%2)"/>
      <w:numFmt w:val="lowerLetter"/>
      <w:start w:val="2"/>
    </w:lvl>
  </w:abstractNum>
  <w:abstractNum w:abstractNumId="278">
    <w:nsid w:val="3410ED56"/>
    <w:multiLevelType w:val="hybridMultilevel"/>
    <w:lvl w:ilvl="0">
      <w:lvlJc w:val="left"/>
      <w:lvlText w:val="(%1)"/>
      <w:numFmt w:val="lowerLetter"/>
      <w:start w:val="9"/>
    </w:lvl>
    <w:lvl w:ilvl="1">
      <w:lvlJc w:val="left"/>
      <w:lvlText w:val="%2"/>
      <w:numFmt w:val="lowerLetter"/>
      <w:start w:val="1"/>
    </w:lvl>
  </w:abstractNum>
  <w:abstractNum w:abstractNumId="279">
    <w:nsid w:val="23C049A"/>
    <w:multiLevelType w:val="hybridMultilevel"/>
    <w:lvl w:ilvl="0">
      <w:lvlJc w:val="left"/>
      <w:lvlText w:val="(%1)"/>
      <w:numFmt w:val="lowerLetter"/>
      <w:start w:val="1"/>
    </w:lvl>
  </w:abstractNum>
  <w:abstractNum w:abstractNumId="280">
    <w:nsid w:val="5BDA35D4"/>
    <w:multiLevelType w:val="hybridMultilevel"/>
    <w:lvl w:ilvl="0">
      <w:lvlJc w:val="left"/>
      <w:lvlText w:val="(%1)"/>
      <w:numFmt w:val="lowerLetter"/>
      <w:start w:val="1"/>
    </w:lvl>
  </w:abstractNum>
  <w:abstractNum w:abstractNumId="281">
    <w:nsid w:val="496FB218"/>
    <w:multiLevelType w:val="hybridMultilevel"/>
    <w:lvl w:ilvl="0">
      <w:lvlJc w:val="left"/>
      <w:lvlText w:val="(%1)"/>
      <w:numFmt w:val="lowerRoman"/>
      <w:start w:val="2"/>
    </w:lvl>
  </w:abstractNum>
  <w:abstractNum w:abstractNumId="282">
    <w:nsid w:val="680EA5D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2019-12-12T23:04:23Z</dcterms:created>
  <dcterms:modified xsi:type="dcterms:W3CDTF">2019-12-12T23:04:23Z</dcterms:modified>
</cp:coreProperties>
</file>