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2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UNITED STATES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2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SECURITIES AND EXCHANGE COMMISSION</w:t>
      </w:r>
    </w:p>
    <w:p>
      <w:pPr>
        <w:jc w:val="center"/>
        <w:ind w:right="-2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Washington, D.C. 20549</w:t>
      </w:r>
    </w:p>
    <w:p>
      <w:pPr>
        <w:spacing w:after="0" w:line="196" w:lineRule="exact"/>
        <w:rPr>
          <w:sz w:val="24"/>
          <w:szCs w:val="24"/>
          <w:color w:val="auto"/>
        </w:rPr>
      </w:pPr>
    </w:p>
    <w:p>
      <w:pPr>
        <w:jc w:val="center"/>
        <w:ind w:right="-2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SCHEDULE 14A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Proxy Statement Pursuant to Section 14(a) of the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3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Securities Exchange Act of 1934 (Amendment No. )</w:t>
      </w: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spacing w:after="0" w:line="242" w:lineRule="exact"/>
        <w:tabs>
          <w:tab w:leader="none" w:pos="320" w:val="left"/>
          <w:tab w:leader="none" w:pos="7420" w:val="left"/>
        </w:tabs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21"/>
          <w:szCs w:val="21"/>
          <w:color w:val="auto"/>
        </w:rPr>
        <w:t>☑</w:t>
      </w:r>
      <w:r>
        <w:rPr>
          <w:rFonts w:ascii="Arial" w:cs="Arial" w:eastAsia="Arial" w:hAnsi="Arial"/>
          <w:sz w:val="18"/>
          <w:szCs w:val="18"/>
          <w:color w:val="auto"/>
        </w:rPr>
        <w:tab/>
        <w:t>Filed by the Registrant</w:t>
      </w:r>
      <w:r>
        <w:rPr>
          <w:sz w:val="20"/>
          <w:szCs w:val="20"/>
          <w:color w:val="auto"/>
        </w:rPr>
        <w:tab/>
      </w:r>
      <w:r>
        <w:rPr>
          <w:rFonts w:ascii="MS PGothic" w:cs="MS PGothic" w:eastAsia="MS PGothic" w:hAnsi="MS PGothic"/>
          <w:sz w:val="22"/>
          <w:szCs w:val="22"/>
          <w:color w:val="auto"/>
        </w:rPr>
        <w:t xml:space="preserve">☐ </w:t>
      </w:r>
      <w:r>
        <w:rPr>
          <w:rFonts w:ascii="Arial" w:cs="Arial" w:eastAsia="Arial" w:hAnsi="Arial"/>
          <w:sz w:val="17"/>
          <w:szCs w:val="17"/>
          <w:color w:val="auto"/>
        </w:rPr>
        <w:t>Filed by a party other than the Registrant</w:t>
      </w:r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BOX: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540" w:hanging="460"/>
        <w:spacing w:after="0"/>
        <w:tabs>
          <w:tab w:leader="none" w:pos="5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22"/>
          <w:szCs w:val="22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Preliminary Proxy Statement</w:t>
      </w:r>
    </w:p>
    <w:p>
      <w:pPr>
        <w:spacing w:after="0" w:line="49" w:lineRule="exact"/>
        <w:rPr>
          <w:rFonts w:ascii="MS PGothic" w:cs="MS PGothic" w:eastAsia="MS PGothic" w:hAnsi="MS PGothic"/>
          <w:sz w:val="22"/>
          <w:szCs w:val="22"/>
          <w:color w:val="auto"/>
        </w:rPr>
      </w:pPr>
    </w:p>
    <w:p>
      <w:pPr>
        <w:ind w:left="540" w:hanging="460"/>
        <w:spacing w:after="0" w:line="237" w:lineRule="auto"/>
        <w:tabs>
          <w:tab w:leader="none" w:pos="5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22"/>
          <w:szCs w:val="22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Confidential, for Use of the Commission Only (as permitted by Rule 14a-6(e)(2))</w:t>
      </w:r>
    </w:p>
    <w:p>
      <w:pPr>
        <w:spacing w:after="0" w:line="45" w:lineRule="exact"/>
        <w:rPr>
          <w:rFonts w:ascii="MS PGothic" w:cs="MS PGothic" w:eastAsia="MS PGothic" w:hAnsi="MS PGothic"/>
          <w:sz w:val="22"/>
          <w:szCs w:val="22"/>
          <w:color w:val="auto"/>
        </w:rPr>
      </w:pPr>
    </w:p>
    <w:p>
      <w:pPr>
        <w:ind w:left="540" w:hanging="460"/>
        <w:spacing w:after="0" w:line="237" w:lineRule="auto"/>
        <w:tabs>
          <w:tab w:leader="none" w:pos="5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22"/>
          <w:szCs w:val="22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Proxy Statement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-497840</wp:posOffset>
            </wp:positionV>
            <wp:extent cx="7132320" cy="8572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57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540" w:hanging="460"/>
        <w:spacing w:after="0"/>
        <w:tabs>
          <w:tab w:leader="none" w:pos="540" w:val="left"/>
        </w:tabs>
        <w:numPr>
          <w:ilvl w:val="0"/>
          <w:numId w:val="2"/>
        </w:numPr>
        <w:rPr>
          <w:rFonts w:ascii="MS PGothic" w:cs="MS PGothic" w:eastAsia="MS PGothic" w:hAnsi="MS PGothic"/>
          <w:sz w:val="22"/>
          <w:szCs w:val="22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Additional Materials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540" w:hanging="460"/>
        <w:spacing w:after="0"/>
        <w:tabs>
          <w:tab w:leader="none" w:pos="540" w:val="left"/>
        </w:tabs>
        <w:numPr>
          <w:ilvl w:val="0"/>
          <w:numId w:val="3"/>
        </w:numPr>
        <w:rPr>
          <w:rFonts w:ascii="MS PGothic" w:cs="MS PGothic" w:eastAsia="MS PGothic" w:hAnsi="MS PGothic"/>
          <w:sz w:val="22"/>
          <w:szCs w:val="22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under §240.14a-12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18415</wp:posOffset>
            </wp:positionV>
            <wp:extent cx="713232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2902585</wp:posOffset>
            </wp:positionH>
            <wp:positionV relativeFrom="paragraph">
              <wp:posOffset>163830</wp:posOffset>
            </wp:positionV>
            <wp:extent cx="1337310" cy="4800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310" cy="480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jc w:val="center"/>
        <w:ind w:right="-2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Comcast Corporation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jc w:val="center"/>
        <w:ind w:right="-2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(Name of Registrant as Specified In Its Charter)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2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(Name of Person(s) Filing Proxy Statement, if other than the Registrant)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PAYMENT OF FILING FEE (CHECK ALL BOXES THAT APPLY):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540" w:hanging="460"/>
        <w:spacing w:after="0"/>
        <w:tabs>
          <w:tab w:leader="none" w:pos="540" w:val="left"/>
        </w:tabs>
        <w:numPr>
          <w:ilvl w:val="0"/>
          <w:numId w:val="4"/>
        </w:numPr>
        <w:rPr>
          <w:rFonts w:ascii="MS PGothic" w:cs="MS PGothic" w:eastAsia="MS PGothic" w:hAnsi="MS PGothic"/>
          <w:sz w:val="22"/>
          <w:szCs w:val="22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No fee required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-152400</wp:posOffset>
            </wp:positionV>
            <wp:extent cx="7132320" cy="514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514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540" w:hanging="460"/>
        <w:spacing w:after="0"/>
        <w:tabs>
          <w:tab w:leader="none" w:pos="540" w:val="left"/>
        </w:tabs>
        <w:numPr>
          <w:ilvl w:val="0"/>
          <w:numId w:val="5"/>
        </w:numPr>
        <w:rPr>
          <w:rFonts w:ascii="MS PGothic" w:cs="MS PGothic" w:eastAsia="MS PGothic" w:hAnsi="MS PGothic"/>
          <w:sz w:val="22"/>
          <w:szCs w:val="22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paid previously with preliminary materials</w:t>
      </w:r>
    </w:p>
    <w:p>
      <w:pPr>
        <w:spacing w:after="0" w:line="49" w:lineRule="exact"/>
        <w:rPr>
          <w:rFonts w:ascii="MS PGothic" w:cs="MS PGothic" w:eastAsia="MS PGothic" w:hAnsi="MS PGothic"/>
          <w:sz w:val="22"/>
          <w:szCs w:val="22"/>
          <w:color w:val="auto"/>
        </w:rPr>
      </w:pPr>
    </w:p>
    <w:p>
      <w:pPr>
        <w:ind w:left="540" w:hanging="460"/>
        <w:spacing w:after="0" w:line="237" w:lineRule="auto"/>
        <w:tabs>
          <w:tab w:leader="none" w:pos="540" w:val="left"/>
        </w:tabs>
        <w:numPr>
          <w:ilvl w:val="0"/>
          <w:numId w:val="5"/>
        </w:numPr>
        <w:rPr>
          <w:rFonts w:ascii="MS PGothic" w:cs="MS PGothic" w:eastAsia="MS PGothic" w:hAnsi="MS PGothic"/>
          <w:sz w:val="22"/>
          <w:szCs w:val="22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15875</wp:posOffset>
            </wp:positionV>
            <wp:extent cx="71323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333375</wp:posOffset>
            </wp:positionV>
            <wp:extent cx="7132320" cy="342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60"/>
          </w:cols>
          <w:pgMar w:left="320" w:top="235" w:right="619" w:bottom="1440" w:gutter="0" w:footer="0" w:header="0"/>
        </w:sectPr>
      </w:pPr>
    </w:p>
    <w:bookmarkStart w:id="1" w:name="page2"/>
    <w:bookmarkEnd w:id="1"/>
    <w:p>
      <w:pPr>
        <w:jc w:val="center"/>
        <w:ind w:left="5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7"/>
          <w:szCs w:val="47"/>
          <w:color w:val="004877"/>
        </w:rPr>
        <w:drawing>
          <wp:anchor simplePos="0" relativeHeight="251657728" behindDoc="1" locked="0" layoutInCell="0" allowOverlap="1">
            <wp:simplePos x="0" y="0"/>
            <wp:positionH relativeFrom="page">
              <wp:posOffset>6037580</wp:posOffset>
            </wp:positionH>
            <wp:positionV relativeFrom="page">
              <wp:posOffset>423545</wp:posOffset>
            </wp:positionV>
            <wp:extent cx="1303020" cy="17659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020" cy="1765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 xml:space="preserve">Your </w:t>
      </w:r>
      <w:r>
        <w:rPr>
          <w:rFonts w:ascii="Arial" w:cs="Arial" w:eastAsia="Arial" w:hAnsi="Arial"/>
          <w:sz w:val="47"/>
          <w:szCs w:val="47"/>
          <w:b w:val="1"/>
          <w:bCs w:val="1"/>
          <w:color w:val="004877"/>
        </w:rPr>
        <w:t>Vote</w:t>
      </w:r>
      <w:r>
        <w:rPr>
          <w:rFonts w:ascii="Arial" w:cs="Arial" w:eastAsia="Arial" w:hAnsi="Arial"/>
          <w:sz w:val="47"/>
          <w:szCs w:val="47"/>
          <w:color w:val="004877"/>
        </w:rPr>
        <w:t xml:space="preserve"> Counts!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p>
      <w:pPr>
        <w:jc w:val="center"/>
        <w:ind w:left="5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004877"/>
        </w:rPr>
        <w:t>COMCAST CORPORATION</w:t>
      </w:r>
    </w:p>
    <w:p>
      <w:pPr>
        <w:spacing w:after="0" w:line="191" w:lineRule="exact"/>
        <w:rPr>
          <w:sz w:val="20"/>
          <w:szCs w:val="20"/>
          <w:color w:val="auto"/>
        </w:rPr>
      </w:pPr>
    </w:p>
    <w:p>
      <w:pPr>
        <w:jc w:val="center"/>
        <w:ind w:left="5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4877"/>
        </w:rPr>
        <w:t>2022 Annual Meeting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579120</wp:posOffset>
            </wp:positionH>
            <wp:positionV relativeFrom="paragraph">
              <wp:posOffset>-123190</wp:posOffset>
            </wp:positionV>
            <wp:extent cx="1337310" cy="48006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310" cy="480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left="5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4877"/>
        </w:rPr>
        <w:t>Vote by May 31, 2022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center"/>
        <w:ind w:left="5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4877"/>
        </w:rPr>
        <w:t>11:59 PM 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130810</wp:posOffset>
            </wp:positionV>
            <wp:extent cx="2700655" cy="2040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clrChange>
                        <a:clrFrom>
                          <a:srgbClr val="000000"/>
                        </a:clrFrom>
                        <a:clrTo>
                          <a:srgbClr val="000000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655" cy="204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130810</wp:posOffset>
            </wp:positionV>
            <wp:extent cx="2700655" cy="2040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655" cy="204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8" w:lineRule="exact"/>
        <w:rPr>
          <w:sz w:val="20"/>
          <w:szCs w:val="20"/>
          <w:color w:val="auto"/>
        </w:rPr>
      </w:pPr>
    </w:p>
    <w:p>
      <w:pPr>
        <w:ind w:left="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007BB6"/>
        </w:rPr>
        <w:t>ONE COMCAST CENTER</w:t>
      </w:r>
    </w:p>
    <w:p>
      <w:pPr>
        <w:ind w:left="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007BB6"/>
        </w:rPr>
        <w:t>PHILADELPHIA, PA 19103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5834380</wp:posOffset>
            </wp:positionH>
            <wp:positionV relativeFrom="paragraph">
              <wp:posOffset>302895</wp:posOffset>
            </wp:positionV>
            <wp:extent cx="1303020" cy="185166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020" cy="1851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9" w:lineRule="exact"/>
        <w:rPr>
          <w:sz w:val="20"/>
          <w:szCs w:val="20"/>
          <w:color w:val="auto"/>
        </w:rPr>
      </w:pPr>
    </w:p>
    <w:p>
      <w:pPr>
        <w:ind w:left="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D76293-P68184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45085</wp:posOffset>
            </wp:positionV>
            <wp:extent cx="951230" cy="6858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1230" cy="68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7"/>
          <w:szCs w:val="27"/>
          <w:color w:val="004877"/>
        </w:rPr>
        <w:t>You invested in COMCAST CORPORATION and it’s time to vote!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right="200"/>
        <w:spacing w:after="0" w:line="26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4877"/>
        </w:rPr>
        <w:t xml:space="preserve">You have the right to vote on proposals being presented at the Annual Meeting. </w:t>
      </w:r>
      <w:r>
        <w:rPr>
          <w:rFonts w:ascii="Arial" w:cs="Arial" w:eastAsia="Arial" w:hAnsi="Arial"/>
          <w:sz w:val="18"/>
          <w:szCs w:val="18"/>
          <w:b w:val="1"/>
          <w:bCs w:val="1"/>
          <w:color w:val="004877"/>
        </w:rPr>
        <w:t>This is an important notice regarding the availability of</w:t>
      </w:r>
      <w:r>
        <w:rPr>
          <w:rFonts w:ascii="Arial" w:cs="Arial" w:eastAsia="Arial" w:hAnsi="Arial"/>
          <w:sz w:val="18"/>
          <w:szCs w:val="18"/>
          <w:color w:val="004877"/>
        </w:rPr>
        <w:t xml:space="preserve"> </w:t>
      </w:r>
      <w:r>
        <w:rPr>
          <w:rFonts w:ascii="Arial" w:cs="Arial" w:eastAsia="Arial" w:hAnsi="Arial"/>
          <w:sz w:val="18"/>
          <w:szCs w:val="18"/>
          <w:b w:val="1"/>
          <w:bCs w:val="1"/>
          <w:color w:val="004877"/>
        </w:rPr>
        <w:t>proxy material for the shareholder meeting to be held on June 1, 2022.</w:t>
      </w:r>
    </w:p>
    <w:p>
      <w:pPr>
        <w:spacing w:after="0" w:line="1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7"/>
          <w:szCs w:val="27"/>
          <w:color w:val="004877"/>
        </w:rPr>
        <w:t>Get informed before you vote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right="2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4877"/>
        </w:rPr>
        <w:t>View the Notice of Internet Availability of Proxy Materials, the Proxy Statement and the Annual Report online OR you can receive a free paper or email copy of the material(s) by requesting prior to May 18, 2022. If you would like to request a copy of the material(s) for this and/or future shareholder meetings, you may (1) visit www.ProxyVote.com, (2) call 1-800-579-1639 or (3) send an email to sendmaterial@proxyvote.com. If sending an email, please include your control number (indicated below) in the subject line. Unless requested, you will not otherwise receive a paper or email copy.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117475</wp:posOffset>
            </wp:positionV>
            <wp:extent cx="7132320" cy="86550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65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jc w:val="center"/>
        <w:ind w:left="2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color w:val="FFFFFF"/>
        </w:rPr>
        <w:t>For complete information and to vote before the meeting, visit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jc w:val="center"/>
        <w:ind w:left="2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FFFFFF"/>
        </w:rPr>
        <w:t>www.ProxyVote.com</w:t>
      </w:r>
    </w:p>
    <w:p>
      <w:pPr>
        <w:spacing w:after="0" w:line="80" w:lineRule="exact"/>
        <w:rPr>
          <w:sz w:val="20"/>
          <w:szCs w:val="20"/>
          <w:color w:val="auto"/>
        </w:rPr>
      </w:pPr>
    </w:p>
    <w:p>
      <w:pPr>
        <w:ind w:left="4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color w:val="FFFFFF"/>
        </w:rPr>
        <w:t>Control #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ind w:left="7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004877"/>
        </w:rPr>
        <w:t>Vote Virtually at the Meeting*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1513840</wp:posOffset>
            </wp:positionH>
            <wp:positionV relativeFrom="paragraph">
              <wp:posOffset>-141605</wp:posOffset>
            </wp:positionV>
            <wp:extent cx="2802890" cy="96012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2890" cy="960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7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4877"/>
        </w:rPr>
        <w:t>June 1, 2022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7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4877"/>
        </w:rPr>
        <w:t>9:00 a.m. Eastern Time</w:t>
      </w: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ind w:left="6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4877"/>
        </w:rPr>
        <w:t>Virtually at: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6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4877"/>
        </w:rPr>
        <w:t>comcast.onlineshareholdermeeting.com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224790</wp:posOffset>
            </wp:positionV>
            <wp:extent cx="7132320" cy="2603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26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4877"/>
        </w:rPr>
        <w:t>* In lieu of voting before, you may vote at the meeting. Please check the meeting materials for any special requirements for meeting attendance.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V1.1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191770</wp:posOffset>
            </wp:positionV>
            <wp:extent cx="7132320" cy="3429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240"/>
          </w:cols>
          <w:pgMar w:left="320" w:top="1032" w:right="339" w:bottom="1440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7"/>
          <w:szCs w:val="27"/>
          <w:b w:val="1"/>
          <w:bCs w:val="1"/>
          <w:color w:val="007BB6"/>
        </w:rPr>
        <w:t>Vote at www.ProxyVote.com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147320</wp:posOffset>
            </wp:positionV>
            <wp:extent cx="7132320" cy="2603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26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004877"/>
        </w:rPr>
        <w:t>THIS IS NOT A VOTABLE BALLOT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jc w:val="both"/>
        <w:ind w:right="4700"/>
        <w:spacing w:after="0" w:line="25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4877"/>
        </w:rPr>
        <w:t>This is an overview of the proposals being presented at the upcoming shareholder meeting. Please follow the instructions on the reverse side to vote these important matters.</w:t>
      </w:r>
    </w:p>
    <w:p>
      <w:pPr>
        <w:spacing w:after="0" w:line="16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9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004877"/>
              </w:rPr>
              <w:t>Board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004877"/>
              </w:rPr>
              <w:t>Voting Items</w:t>
            </w: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004877"/>
                <w:w w:val="99"/>
              </w:rPr>
              <w:t>Recommends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420" w:type="dxa"/>
            <w:vAlign w:val="bottom"/>
            <w:shd w:val="clear" w:color="auto" w:fill="F0EFF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</w:rPr>
              <w:t>1.</w:t>
            </w:r>
          </w:p>
        </w:tc>
        <w:tc>
          <w:tcPr>
            <w:tcW w:w="3100" w:type="dxa"/>
            <w:vAlign w:val="bottom"/>
            <w:shd w:val="clear" w:color="auto" w:fill="F0EFF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</w:rPr>
              <w:t>Election of Directors</w:t>
            </w:r>
          </w:p>
        </w:tc>
        <w:tc>
          <w:tcPr>
            <w:tcW w:w="2940" w:type="dxa"/>
            <w:vAlign w:val="bottom"/>
            <w:shd w:val="clear" w:color="auto" w:fill="F0EFF7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right w:val="single" w:sz="8" w:color="004777"/>
            </w:tcBorders>
            <w:shd w:val="clear" w:color="auto" w:fill="F0EFF7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F0EFF7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420" w:type="dxa"/>
            <w:vAlign w:val="bottom"/>
            <w:shd w:val="clear" w:color="auto" w:fill="F0EFF7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00" w:type="dxa"/>
            <w:vAlign w:val="bottom"/>
            <w:shd w:val="clear" w:color="auto" w:fill="F0EFF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004877"/>
              </w:rPr>
              <w:t>Nominees:</w:t>
            </w:r>
          </w:p>
        </w:tc>
        <w:tc>
          <w:tcPr>
            <w:tcW w:w="2940" w:type="dxa"/>
            <w:vAlign w:val="bottom"/>
            <w:shd w:val="clear" w:color="auto" w:fill="F0EFF7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right w:val="single" w:sz="8" w:color="004777"/>
            </w:tcBorders>
            <w:shd w:val="clear" w:color="auto" w:fill="F0EFF7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F0EFF7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420" w:type="dxa"/>
            <w:vAlign w:val="bottom"/>
            <w:shd w:val="clear" w:color="auto" w:fill="F0EFF7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00" w:type="dxa"/>
            <w:vAlign w:val="bottom"/>
            <w:shd w:val="clear" w:color="auto" w:fill="F0EFF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</w:rPr>
              <w:t>01 - Kenneth J. Bacon</w:t>
            </w:r>
          </w:p>
        </w:tc>
        <w:tc>
          <w:tcPr>
            <w:tcW w:w="2940" w:type="dxa"/>
            <w:vAlign w:val="bottom"/>
            <w:shd w:val="clear" w:color="auto" w:fill="F0EFF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777"/>
              </w:rPr>
              <w:t>04 - Gerald L. Hassell</w:t>
            </w:r>
          </w:p>
        </w:tc>
        <w:tc>
          <w:tcPr>
            <w:tcW w:w="3700" w:type="dxa"/>
            <w:vAlign w:val="bottom"/>
            <w:tcBorders>
              <w:right w:val="single" w:sz="8" w:color="004777"/>
            </w:tcBorders>
            <w:shd w:val="clear" w:color="auto" w:fill="F0EFF7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777"/>
              </w:rPr>
              <w:t>07 - Asuka Nakahara</w:t>
            </w:r>
          </w:p>
        </w:tc>
        <w:tc>
          <w:tcPr>
            <w:tcW w:w="1080" w:type="dxa"/>
            <w:vAlign w:val="bottom"/>
            <w:shd w:val="clear" w:color="auto" w:fill="F0EFF7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004877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420" w:type="dxa"/>
            <w:vAlign w:val="bottom"/>
            <w:shd w:val="clear" w:color="auto" w:fill="F0EFF7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shd w:val="clear" w:color="auto" w:fill="F0EFF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777"/>
              </w:rPr>
              <w:t>02 - Madeline S. Bell</w:t>
            </w:r>
          </w:p>
        </w:tc>
        <w:tc>
          <w:tcPr>
            <w:tcW w:w="2940" w:type="dxa"/>
            <w:vAlign w:val="bottom"/>
            <w:shd w:val="clear" w:color="auto" w:fill="F0EFF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777"/>
              </w:rPr>
              <w:t>05 - Jeffrey A. Honickman</w:t>
            </w:r>
          </w:p>
        </w:tc>
        <w:tc>
          <w:tcPr>
            <w:tcW w:w="3700" w:type="dxa"/>
            <w:vAlign w:val="bottom"/>
            <w:tcBorders>
              <w:right w:val="single" w:sz="8" w:color="004777"/>
            </w:tcBorders>
            <w:shd w:val="clear" w:color="auto" w:fill="F0EFF7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777"/>
              </w:rPr>
              <w:t>08 - David C. Novak</w:t>
            </w:r>
          </w:p>
        </w:tc>
        <w:tc>
          <w:tcPr>
            <w:tcW w:w="1080" w:type="dxa"/>
            <w:vAlign w:val="bottom"/>
            <w:shd w:val="clear" w:color="auto" w:fill="F0EFF7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420" w:type="dxa"/>
            <w:vAlign w:val="bottom"/>
            <w:tcBorders>
              <w:bottom w:val="single" w:sz="8" w:color="004777"/>
            </w:tcBorders>
            <w:shd w:val="clear" w:color="auto" w:fill="F0EFF7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004777"/>
            </w:tcBorders>
            <w:shd w:val="clear" w:color="auto" w:fill="F0EFF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777"/>
              </w:rPr>
              <w:t>03 - Edward D. Breen</w:t>
            </w:r>
          </w:p>
        </w:tc>
        <w:tc>
          <w:tcPr>
            <w:tcW w:w="2940" w:type="dxa"/>
            <w:vAlign w:val="bottom"/>
            <w:tcBorders>
              <w:bottom w:val="single" w:sz="8" w:color="004777"/>
            </w:tcBorders>
            <w:shd w:val="clear" w:color="auto" w:fill="F0EFF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777"/>
              </w:rPr>
              <w:t>06 - Maritza G. Montiel</w:t>
            </w:r>
          </w:p>
        </w:tc>
        <w:tc>
          <w:tcPr>
            <w:tcW w:w="3700" w:type="dxa"/>
            <w:vAlign w:val="bottom"/>
            <w:tcBorders>
              <w:bottom w:val="single" w:sz="8" w:color="004777"/>
              <w:right w:val="single" w:sz="8" w:color="004777"/>
            </w:tcBorders>
            <w:shd w:val="clear" w:color="auto" w:fill="F0EFF7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777"/>
              </w:rPr>
              <w:t>09 - Brian L. Roberts</w:t>
            </w:r>
          </w:p>
        </w:tc>
        <w:tc>
          <w:tcPr>
            <w:tcW w:w="1080" w:type="dxa"/>
            <w:vAlign w:val="bottom"/>
            <w:tcBorders>
              <w:bottom w:val="single" w:sz="8" w:color="004777"/>
            </w:tcBorders>
            <w:shd w:val="clear" w:color="auto" w:fill="F0EFF7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420" w:type="dxa"/>
            <w:vAlign w:val="bottom"/>
            <w:tcBorders>
              <w:bottom w:val="single" w:sz="8" w:color="004777"/>
            </w:tcBorders>
            <w:shd w:val="clear" w:color="auto" w:fill="F0EFF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</w:rPr>
              <w:t>2.</w:t>
            </w:r>
          </w:p>
        </w:tc>
        <w:tc>
          <w:tcPr>
            <w:tcW w:w="6040" w:type="dxa"/>
            <w:vAlign w:val="bottom"/>
            <w:tcBorders>
              <w:bottom w:val="single" w:sz="8" w:color="004777"/>
            </w:tcBorders>
            <w:gridSpan w:val="2"/>
            <w:shd w:val="clear" w:color="auto" w:fill="F0EFF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</w:rPr>
              <w:t>Advisory vote on executive compensation</w:t>
            </w:r>
          </w:p>
        </w:tc>
        <w:tc>
          <w:tcPr>
            <w:tcW w:w="3700" w:type="dxa"/>
            <w:vAlign w:val="bottom"/>
            <w:tcBorders>
              <w:bottom w:val="single" w:sz="8" w:color="004777"/>
              <w:right w:val="single" w:sz="8" w:color="004777"/>
            </w:tcBorders>
            <w:shd w:val="clear" w:color="auto" w:fill="F0EFF7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004777"/>
            </w:tcBorders>
            <w:shd w:val="clear" w:color="auto" w:fill="F0EFF7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004877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420" w:type="dxa"/>
            <w:vAlign w:val="bottom"/>
            <w:tcBorders>
              <w:bottom w:val="single" w:sz="8" w:color="004777"/>
            </w:tcBorders>
            <w:shd w:val="clear" w:color="auto" w:fill="F0EFF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</w:rPr>
              <w:t>3.</w:t>
            </w:r>
          </w:p>
        </w:tc>
        <w:tc>
          <w:tcPr>
            <w:tcW w:w="6040" w:type="dxa"/>
            <w:vAlign w:val="bottom"/>
            <w:tcBorders>
              <w:bottom w:val="single" w:sz="8" w:color="004777"/>
            </w:tcBorders>
            <w:gridSpan w:val="2"/>
            <w:shd w:val="clear" w:color="auto" w:fill="F0EFF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</w:rPr>
              <w:t>Ratification of the appointment of our independent auditors</w:t>
            </w:r>
          </w:p>
        </w:tc>
        <w:tc>
          <w:tcPr>
            <w:tcW w:w="3700" w:type="dxa"/>
            <w:vAlign w:val="bottom"/>
            <w:tcBorders>
              <w:bottom w:val="single" w:sz="8" w:color="004777"/>
              <w:right w:val="single" w:sz="8" w:color="004777"/>
            </w:tcBorders>
            <w:shd w:val="clear" w:color="auto" w:fill="F0EFF7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004777"/>
            </w:tcBorders>
            <w:shd w:val="clear" w:color="auto" w:fill="F0EFF7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004777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20" w:type="dxa"/>
            <w:vAlign w:val="bottom"/>
            <w:tcBorders>
              <w:bottom w:val="single" w:sz="8" w:color="004777"/>
            </w:tcBorders>
            <w:shd w:val="clear" w:color="auto" w:fill="F0EFF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</w:rPr>
              <w:t>4.</w:t>
            </w:r>
          </w:p>
        </w:tc>
        <w:tc>
          <w:tcPr>
            <w:tcW w:w="6040" w:type="dxa"/>
            <w:vAlign w:val="bottom"/>
            <w:tcBorders>
              <w:bottom w:val="single" w:sz="8" w:color="004777"/>
            </w:tcBorders>
            <w:gridSpan w:val="2"/>
            <w:shd w:val="clear" w:color="auto" w:fill="F0EFF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</w:rPr>
              <w:t>Shareholder proposal to report on charitable donations</w:t>
            </w:r>
          </w:p>
        </w:tc>
        <w:tc>
          <w:tcPr>
            <w:tcW w:w="3700" w:type="dxa"/>
            <w:vAlign w:val="bottom"/>
            <w:tcBorders>
              <w:bottom w:val="single" w:sz="8" w:color="004777"/>
              <w:right w:val="single" w:sz="8" w:color="004777"/>
            </w:tcBorders>
            <w:shd w:val="clear" w:color="auto" w:fill="F0EFF7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004777"/>
            </w:tcBorders>
            <w:shd w:val="clear" w:color="auto" w:fill="F0EFF7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004877"/>
              </w:rPr>
              <w:t>Against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20" w:type="dxa"/>
            <w:vAlign w:val="bottom"/>
            <w:tcBorders>
              <w:bottom w:val="single" w:sz="8" w:color="004777"/>
            </w:tcBorders>
            <w:shd w:val="clear" w:color="auto" w:fill="F0EFF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</w:rPr>
              <w:t>5.</w:t>
            </w:r>
          </w:p>
        </w:tc>
        <w:tc>
          <w:tcPr>
            <w:tcW w:w="6040" w:type="dxa"/>
            <w:vAlign w:val="bottom"/>
            <w:tcBorders>
              <w:bottom w:val="single" w:sz="8" w:color="004777"/>
            </w:tcBorders>
            <w:gridSpan w:val="2"/>
            <w:shd w:val="clear" w:color="auto" w:fill="F0EFF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</w:rPr>
              <w:t>Shareholder proposal to perform independent racial equity audit</w:t>
            </w:r>
          </w:p>
        </w:tc>
        <w:tc>
          <w:tcPr>
            <w:tcW w:w="3700" w:type="dxa"/>
            <w:vAlign w:val="bottom"/>
            <w:tcBorders>
              <w:bottom w:val="single" w:sz="8" w:color="004777"/>
              <w:right w:val="single" w:sz="8" w:color="004777"/>
            </w:tcBorders>
            <w:shd w:val="clear" w:color="auto" w:fill="F0EFF7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004777"/>
            </w:tcBorders>
            <w:shd w:val="clear" w:color="auto" w:fill="F0EFF7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004877"/>
              </w:rPr>
              <w:t>Against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20" w:type="dxa"/>
            <w:vAlign w:val="bottom"/>
            <w:tcBorders>
              <w:bottom w:val="single" w:sz="8" w:color="004777"/>
            </w:tcBorders>
            <w:shd w:val="clear" w:color="auto" w:fill="F0EFF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777"/>
              </w:rPr>
              <w:t>6.</w:t>
            </w:r>
          </w:p>
        </w:tc>
        <w:tc>
          <w:tcPr>
            <w:tcW w:w="9740" w:type="dxa"/>
            <w:vAlign w:val="bottom"/>
            <w:tcBorders>
              <w:bottom w:val="single" w:sz="8" w:color="004777"/>
              <w:right w:val="single" w:sz="8" w:color="004777"/>
            </w:tcBorders>
            <w:gridSpan w:val="3"/>
            <w:shd w:val="clear" w:color="auto" w:fill="F0EFF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777"/>
              </w:rPr>
              <w:t>Shareholder proposal to report on risks of omitting “viewpoint” and “ideology” from EEO policy</w:t>
            </w:r>
          </w:p>
        </w:tc>
        <w:tc>
          <w:tcPr>
            <w:tcW w:w="1080" w:type="dxa"/>
            <w:vAlign w:val="bottom"/>
            <w:tcBorders>
              <w:bottom w:val="single" w:sz="8" w:color="004777"/>
            </w:tcBorders>
            <w:shd w:val="clear" w:color="auto" w:fill="F0EFF7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004877"/>
              </w:rPr>
              <w:t>Against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420" w:type="dxa"/>
            <w:vAlign w:val="bottom"/>
            <w:shd w:val="clear" w:color="auto" w:fill="F0EFF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777"/>
              </w:rPr>
              <w:t>7.</w:t>
            </w:r>
          </w:p>
        </w:tc>
        <w:tc>
          <w:tcPr>
            <w:tcW w:w="9740" w:type="dxa"/>
            <w:vAlign w:val="bottom"/>
            <w:tcBorders>
              <w:right w:val="single" w:sz="8" w:color="004777"/>
            </w:tcBorders>
            <w:gridSpan w:val="3"/>
            <w:shd w:val="clear" w:color="auto" w:fill="F0EFF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777"/>
              </w:rPr>
              <w:t>Shareholder proposal to conduct and publicly release the results of an independent investigation into the effectiveness of</w:t>
            </w:r>
          </w:p>
        </w:tc>
        <w:tc>
          <w:tcPr>
            <w:tcW w:w="1080" w:type="dxa"/>
            <w:vAlign w:val="bottom"/>
            <w:vMerge w:val="restart"/>
            <w:shd w:val="clear" w:color="auto" w:fill="F0EFF7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004877"/>
              </w:rPr>
              <w:t>Against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420" w:type="dxa"/>
            <w:vAlign w:val="bottom"/>
            <w:shd w:val="clear" w:color="auto" w:fill="F0EFF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00" w:type="dxa"/>
            <w:vAlign w:val="bottom"/>
            <w:vMerge w:val="restart"/>
            <w:shd w:val="clear" w:color="auto" w:fill="F0EFF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777"/>
              </w:rPr>
              <w:t>sexual harassment policies</w:t>
            </w:r>
          </w:p>
        </w:tc>
        <w:tc>
          <w:tcPr>
            <w:tcW w:w="2940" w:type="dxa"/>
            <w:vAlign w:val="bottom"/>
            <w:shd w:val="clear" w:color="auto" w:fill="F0EFF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right w:val="single" w:sz="8" w:color="004777"/>
            </w:tcBorders>
            <w:shd w:val="clear" w:color="auto" w:fill="F0EFF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  <w:shd w:val="clear" w:color="auto" w:fill="F0EFF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420" w:type="dxa"/>
            <w:vAlign w:val="bottom"/>
            <w:tcBorders>
              <w:bottom w:val="single" w:sz="8" w:color="004777"/>
            </w:tcBorders>
            <w:shd w:val="clear" w:color="auto" w:fill="F0EFF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004777"/>
            </w:tcBorders>
            <w:vMerge w:val="continue"/>
            <w:shd w:val="clear" w:color="auto" w:fill="F0EFF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004777"/>
            </w:tcBorders>
            <w:shd w:val="clear" w:color="auto" w:fill="F0EFF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004777"/>
              <w:right w:val="single" w:sz="8" w:color="004777"/>
            </w:tcBorders>
            <w:shd w:val="clear" w:color="auto" w:fill="F0EFF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004777"/>
            </w:tcBorders>
            <w:shd w:val="clear" w:color="auto" w:fill="F0EFF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20" w:type="dxa"/>
            <w:vAlign w:val="bottom"/>
            <w:tcBorders>
              <w:bottom w:val="single" w:sz="8" w:color="004777"/>
            </w:tcBorders>
            <w:shd w:val="clear" w:color="auto" w:fill="F0EFF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777"/>
              </w:rPr>
              <w:t>8.</w:t>
            </w:r>
          </w:p>
        </w:tc>
        <w:tc>
          <w:tcPr>
            <w:tcW w:w="9740" w:type="dxa"/>
            <w:vAlign w:val="bottom"/>
            <w:tcBorders>
              <w:bottom w:val="single" w:sz="8" w:color="004777"/>
              <w:right w:val="single" w:sz="8" w:color="004777"/>
            </w:tcBorders>
            <w:gridSpan w:val="3"/>
            <w:shd w:val="clear" w:color="auto" w:fill="F0EFF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777"/>
              </w:rPr>
              <w:t>Shareholder proposal to report on how retirement plan options align with company climate goals</w:t>
            </w:r>
          </w:p>
        </w:tc>
        <w:tc>
          <w:tcPr>
            <w:tcW w:w="1080" w:type="dxa"/>
            <w:vAlign w:val="bottom"/>
            <w:tcBorders>
              <w:bottom w:val="single" w:sz="8" w:color="004777"/>
            </w:tcBorders>
            <w:shd w:val="clear" w:color="auto" w:fill="F0EFF7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004877"/>
              </w:rPr>
              <w:t>Against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6460" w:type="dxa"/>
            <w:vAlign w:val="bottom"/>
            <w:tcBorders>
              <w:bottom w:val="single" w:sz="8" w:color="004777"/>
            </w:tcBorders>
            <w:gridSpan w:val="3"/>
            <w:shd w:val="clear" w:color="auto" w:fill="F0EFF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004777"/>
              </w:rPr>
              <w:t>Please refer to page 1 of this notice to view the voting instructions.</w:t>
            </w:r>
          </w:p>
        </w:tc>
        <w:tc>
          <w:tcPr>
            <w:tcW w:w="3700" w:type="dxa"/>
            <w:vAlign w:val="bottom"/>
            <w:tcBorders>
              <w:bottom w:val="single" w:sz="8" w:color="004777"/>
              <w:right w:val="single" w:sz="8" w:color="F0EFF7"/>
            </w:tcBorders>
            <w:shd w:val="clear" w:color="auto" w:fill="F0EFF7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004777"/>
            </w:tcBorders>
            <w:shd w:val="clear" w:color="auto" w:fill="F0EFF7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4"/>
        </w:trPr>
        <w:tc>
          <w:tcPr>
            <w:tcW w:w="420" w:type="dxa"/>
            <w:vAlign w:val="bottom"/>
            <w:shd w:val="clear" w:color="auto" w:fill="F0EFF7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shd w:val="clear" w:color="auto" w:fill="F0EFF7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shd w:val="clear" w:color="auto" w:fill="F0EFF7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right w:val="single" w:sz="8" w:color="F0EFF7"/>
            </w:tcBorders>
            <w:shd w:val="clear" w:color="auto" w:fill="F0EFF7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F0EFF7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0</wp:posOffset>
            </wp:positionV>
            <wp:extent cx="7132320" cy="19685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9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6468745</wp:posOffset>
            </wp:positionH>
            <wp:positionV relativeFrom="paragraph">
              <wp:posOffset>-3634105</wp:posOffset>
            </wp:positionV>
            <wp:extent cx="154305" cy="15430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154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6468745</wp:posOffset>
            </wp:positionH>
            <wp:positionV relativeFrom="paragraph">
              <wp:posOffset>-3145155</wp:posOffset>
            </wp:positionV>
            <wp:extent cx="154305" cy="15430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154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6468745</wp:posOffset>
            </wp:positionH>
            <wp:positionV relativeFrom="paragraph">
              <wp:posOffset>-2948305</wp:posOffset>
            </wp:positionV>
            <wp:extent cx="154305" cy="15430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154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6468745</wp:posOffset>
            </wp:positionH>
            <wp:positionV relativeFrom="paragraph">
              <wp:posOffset>-2750820</wp:posOffset>
            </wp:positionV>
            <wp:extent cx="145415" cy="14541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15" cy="145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6468745</wp:posOffset>
            </wp:positionH>
            <wp:positionV relativeFrom="paragraph">
              <wp:posOffset>-2562225</wp:posOffset>
            </wp:positionV>
            <wp:extent cx="145415" cy="14605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15" cy="146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6468745</wp:posOffset>
            </wp:positionH>
            <wp:positionV relativeFrom="paragraph">
              <wp:posOffset>-2373630</wp:posOffset>
            </wp:positionV>
            <wp:extent cx="145415" cy="145415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15" cy="145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6468745</wp:posOffset>
            </wp:positionH>
            <wp:positionV relativeFrom="paragraph">
              <wp:posOffset>-2133600</wp:posOffset>
            </wp:positionV>
            <wp:extent cx="145415" cy="14605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15" cy="146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6468745</wp:posOffset>
            </wp:positionH>
            <wp:positionV relativeFrom="paragraph">
              <wp:posOffset>-1885315</wp:posOffset>
            </wp:positionV>
            <wp:extent cx="145415" cy="145415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15" cy="145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FFFFFF"/>
        </w:rPr>
        <w:t>Prefer to receive an email instead? While voting on www.ProxyVote.com, be sure to click “Sign up for E-delivery”.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9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D76294-P68184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130810</wp:posOffset>
            </wp:positionV>
            <wp:extent cx="7132320" cy="3429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240"/>
      </w:cols>
      <w:pgMar w:left="320" w:top="394" w:right="3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☑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☑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jpe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jpeg"/><Relationship Id="rId16" Type="http://schemas.openxmlformats.org/officeDocument/2006/relationships/image" Target="media/image9.jpeg"/><Relationship Id="rId17" Type="http://schemas.openxmlformats.org/officeDocument/2006/relationships/image" Target="media/image10.jpe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jpeg"/><Relationship Id="rId27" Type="http://schemas.openxmlformats.org/officeDocument/2006/relationships/image" Target="media/image20.jpeg"/><Relationship Id="rId28" Type="http://schemas.openxmlformats.org/officeDocument/2006/relationships/image" Target="media/image21.jpeg"/><Relationship Id="rId29" Type="http://schemas.openxmlformats.org/officeDocument/2006/relationships/image" Target="media/image22.jpeg"/><Relationship Id="rId30" Type="http://schemas.openxmlformats.org/officeDocument/2006/relationships/image" Target="media/image23.jpeg"/><Relationship Id="rId31" Type="http://schemas.openxmlformats.org/officeDocument/2006/relationships/image" Target="media/image24.jpeg"/><Relationship Id="rId32" Type="http://schemas.openxmlformats.org/officeDocument/2006/relationships/image" Target="media/image25.jpeg"/><Relationship Id="rId33" Type="http://schemas.openxmlformats.org/officeDocument/2006/relationships/image" Target="media/image26.jpeg"/><Relationship Id="rId34" Type="http://schemas.openxmlformats.org/officeDocument/2006/relationships/image" Target="media/image27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2022-04-22T10:26:58Z</dcterms:created>
  <dcterms:modified xsi:type="dcterms:W3CDTF">2022-04-22T10:26:58Z</dcterms:modified>
</cp:coreProperties>
</file>