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Class A-Spl</w:t>
      </w:r>
    </w:p>
    <w:p>
      <w:pPr>
        <w:jc w:val="center"/>
        <w:ind w:right="23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200300200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Check the</w:t>
            </w:r>
          </w:p>
        </w:tc>
        <w:tc>
          <w:tcPr>
            <w:tcW w:w="1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following box if</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5"/>
              </w:rPr>
              <w:t>a fee is being</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paid with</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this statement</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 fee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required only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if the filing</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person: (1) has a previous</w:t>
            </w:r>
          </w:p>
        </w:tc>
        <w:tc>
          <w:tcPr>
            <w:tcW w:w="100" w:type="dxa"/>
            <w:vAlign w:val="bottom"/>
          </w:tcPr>
          <w:p>
            <w:pPr>
              <w:spacing w:after="0"/>
              <w:rPr>
                <w:sz w:val="17"/>
                <w:szCs w:val="17"/>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statement on file reporting</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 ownership of</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 percent</w:t>
            </w:r>
          </w:p>
        </w:tc>
        <w:tc>
          <w:tcPr>
            <w:tcW w:w="10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class of securities</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described in Item l; and</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 has filed no</w:t>
            </w:r>
          </w:p>
        </w:tc>
        <w:tc>
          <w:tcPr>
            <w:tcW w:w="100" w:type="dxa"/>
            <w:vAlign w:val="bottom"/>
          </w:tcPr>
          <w:p>
            <w:pPr>
              <w:spacing w:after="0"/>
              <w:rPr>
                <w:sz w:val="17"/>
                <w:szCs w:val="17"/>
                <w:color w:val="auto"/>
              </w:rPr>
            </w:pPr>
          </w:p>
        </w:tc>
      </w:tr>
    </w:tbl>
    <w:p>
      <w:pPr>
        <w:spacing w:after="0" w:line="4" w:lineRule="exact"/>
        <w:rPr>
          <w:sz w:val="24"/>
          <w:szCs w:val="24"/>
          <w:color w:val="auto"/>
        </w:rPr>
      </w:pPr>
    </w:p>
    <w:p>
      <w:pPr>
        <w:jc w:val="both"/>
        <w:ind w:right="2319"/>
        <w:spacing w:after="0" w:line="235" w:lineRule="auto"/>
        <w:rPr>
          <w:sz w:val="20"/>
          <w:szCs w:val="20"/>
          <w:color w:val="auto"/>
        </w:rPr>
      </w:pPr>
      <w:r>
        <w:rPr>
          <w:rFonts w:ascii="Courier New" w:cs="Courier New" w:eastAsia="Courier New" w:hAnsi="Courier New"/>
          <w:sz w:val="18"/>
          <w:szCs w:val="18"/>
          <w:color w:val="auto"/>
        </w:rPr>
        <w:t>amendment subsequent thereto reporting beneficial ownership of five percent or less of such class.)(See Rule 13d-7).</w:t>
      </w:r>
    </w:p>
    <w:p>
      <w:pPr>
        <w:spacing w:after="0" w:line="208"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3560" w:val="left"/>
          <w:tab w:leader="none" w:pos="5360" w:val="left"/>
        </w:tabs>
        <w:rPr>
          <w:sz w:val="20"/>
          <w:szCs w:val="20"/>
          <w:color w:val="auto"/>
        </w:rPr>
      </w:pPr>
      <w:r>
        <w:rPr>
          <w:rFonts w:ascii="Courier New" w:cs="Courier New" w:eastAsia="Courier New" w:hAnsi="Courier New"/>
          <w:sz w:val="18"/>
          <w:szCs w:val="18"/>
          <w:color w:val="auto"/>
        </w:rPr>
        <w:t>CUSIP No. 200300200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640"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Neuberger &amp; Berman, LLC</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13-5521910</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8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/__/</w:t>
            </w:r>
          </w:p>
        </w:tc>
      </w:tr>
      <w:tr>
        <w:trPr>
          <w:trHeight w:val="203"/>
        </w:trPr>
        <w:tc>
          <w:tcPr>
            <w:tcW w:w="3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SEC USE ONLY</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4)</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CITIZENSHIP OR PLACE OF ORGANIZATION</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5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640" w:right="7899" w:hanging="632"/>
        <w:spacing w:after="0" w:line="235"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7,266,748</w:t>
      </w:r>
    </w:p>
    <w:p>
      <w:pPr>
        <w:spacing w:after="0" w:line="208" w:lineRule="exact"/>
        <w:rPr>
          <w:rFonts w:ascii="Courier New" w:cs="Courier New" w:eastAsia="Courier New" w:hAnsi="Courier New"/>
          <w:sz w:val="18"/>
          <w:szCs w:val="18"/>
          <w:color w:val="auto"/>
        </w:rPr>
      </w:pPr>
    </w:p>
    <w:p>
      <w:pPr>
        <w:ind w:left="640" w:right="7679" w:hanging="632"/>
        <w:spacing w:after="0" w:line="235"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3,603,633</w:t>
      </w:r>
    </w:p>
    <w:p>
      <w:pPr>
        <w:spacing w:after="0" w:line="208" w:lineRule="exact"/>
        <w:rPr>
          <w:rFonts w:ascii="Courier New" w:cs="Courier New" w:eastAsia="Courier New" w:hAnsi="Courier New"/>
          <w:sz w:val="18"/>
          <w:szCs w:val="18"/>
          <w:color w:val="auto"/>
        </w:rPr>
      </w:pPr>
    </w:p>
    <w:p>
      <w:pPr>
        <w:ind w:left="640" w:right="7359" w:hanging="632"/>
        <w:spacing w:after="0" w:line="235"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640" w:right="7159" w:hanging="632"/>
        <w:spacing w:after="0" w:line="235"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12,514,572</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3359" w:hanging="632"/>
        <w:spacing w:after="0" w:line="235"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12,514,572</w:t>
      </w:r>
    </w:p>
    <w:p>
      <w:pPr>
        <w:spacing w:after="0" w:line="20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ectPr>
          <w:pgSz w:w="11900" w:h="16838"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141,988</w:t>
      </w:r>
    </w:p>
    <w:p>
      <w:pPr>
        <w:spacing w:after="0" w:line="207" w:lineRule="exact"/>
        <w:rPr>
          <w:sz w:val="20"/>
          <w:szCs w:val="20"/>
          <w:color w:val="auto"/>
        </w:rPr>
      </w:pPr>
    </w:p>
    <w:p>
      <w:pPr>
        <w:ind w:left="640" w:right="461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4.41</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BD/IA</w:t>
            </w:r>
          </w:p>
        </w:tc>
        <w:tc>
          <w:tcPr>
            <w:tcW w:w="6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608"/>
        </w:trPr>
        <w:tc>
          <w:tcPr>
            <w:tcW w:w="2060" w:type="dxa"/>
            <w:vAlign w:val="bottom"/>
            <w:gridSpan w:val="3"/>
          </w:tcPr>
          <w:p>
            <w:pPr>
              <w:spacing w:after="0"/>
              <w:rPr>
                <w:sz w:val="20"/>
                <w:szCs w:val="20"/>
                <w:color w:val="auto"/>
              </w:rPr>
            </w:pPr>
            <w:r>
              <w:rPr>
                <w:rFonts w:ascii="Courier New" w:cs="Courier New" w:eastAsia="Courier New" w:hAnsi="Courier New"/>
                <w:sz w:val="18"/>
                <w:szCs w:val="18"/>
                <w:color w:val="auto"/>
                <w:w w:val="99"/>
              </w:rPr>
              <w:t>CUSIP No. 200300200</w:t>
            </w:r>
          </w:p>
        </w:tc>
        <w:tc>
          <w:tcPr>
            <w:tcW w:w="3320" w:type="dxa"/>
            <w:vAlign w:val="bottom"/>
          </w:tcPr>
          <w:p>
            <w:pPr>
              <w:ind w:left="1520"/>
              <w:spacing w:after="0"/>
              <w:rPr>
                <w:sz w:val="20"/>
                <w:szCs w:val="20"/>
                <w:color w:val="auto"/>
              </w:rPr>
            </w:pPr>
            <w:r>
              <w:rPr>
                <w:rFonts w:ascii="Courier New" w:cs="Courier New" w:eastAsia="Courier New" w:hAnsi="Courier New"/>
                <w:sz w:val="18"/>
                <w:szCs w:val="18"/>
                <w:color w:val="auto"/>
              </w:rPr>
              <w:t>13G</w:t>
            </w:r>
          </w:p>
        </w:tc>
        <w:tc>
          <w:tcPr>
            <w:tcW w:w="252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6"/>
              </w:rPr>
              <w:t>Page 3 of 5 Pages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Name of Issuer:</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Comcast Corporation</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646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1500 Market Street, Philadelphia, PA</w:t>
            </w:r>
          </w:p>
        </w:tc>
        <w:tc>
          <w:tcPr>
            <w:tcW w:w="252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19102</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Name of Person Filing:</w:t>
            </w:r>
          </w:p>
        </w:tc>
        <w:tc>
          <w:tcPr>
            <w:tcW w:w="25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Neuberger &amp; Berman, LLC</w:t>
            </w:r>
          </w:p>
        </w:tc>
        <w:tc>
          <w:tcPr>
            <w:tcW w:w="25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Neuberger &amp; Berman Management Incorporated</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646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6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605 Third Ave., New York, NY, 10158-3698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(c)</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Citizenship:</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USA</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(d)</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Title of Class of Securities:</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Class A-Spl</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(e)</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CUSIP Number:</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200300200</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(a)</w:t>
            </w: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8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Broker or Dealer registered under Section 15 of the Act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8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Investment Adviser registered under Section 203 of the</w:t>
            </w: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Investment Advisers Act of 1940</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w:t>
            </w: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Company Act.</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Ownership:</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Amount Beneficially Owned:</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12,514,572</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Percent of Class:</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4.41</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01" w:lineRule="exact"/>
        <w:rPr>
          <w:sz w:val="20"/>
          <w:szCs w:val="20"/>
          <w:color w:val="auto"/>
        </w:rPr>
      </w:pPr>
    </w:p>
    <w:p>
      <w:pPr>
        <w:spacing w:after="0"/>
        <w:tabs>
          <w:tab w:leader="none" w:pos="3560" w:val="left"/>
          <w:tab w:leader="none" w:pos="5360" w:val="left"/>
        </w:tabs>
        <w:rPr>
          <w:sz w:val="20"/>
          <w:szCs w:val="20"/>
          <w:color w:val="auto"/>
        </w:rPr>
      </w:pPr>
      <w:r>
        <w:rPr>
          <w:rFonts w:ascii="Courier New" w:cs="Courier New" w:eastAsia="Courier New" w:hAnsi="Courier New"/>
          <w:sz w:val="18"/>
          <w:szCs w:val="18"/>
          <w:color w:val="auto"/>
        </w:rPr>
        <w:t>CUSIP No. 200300200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800" w:right="4739" w:hanging="739"/>
        <w:spacing w:after="0" w:line="235" w:lineRule="auto"/>
        <w:tabs>
          <w:tab w:leader="none" w:pos="18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7,266,748</w:t>
      </w:r>
    </w:p>
    <w:p>
      <w:pPr>
        <w:spacing w:after="0" w:line="208" w:lineRule="exact"/>
        <w:rPr>
          <w:sz w:val="20"/>
          <w:szCs w:val="20"/>
          <w:color w:val="auto"/>
        </w:rPr>
      </w:pPr>
    </w:p>
    <w:p>
      <w:pPr>
        <w:ind w:left="1800" w:right="4519" w:hanging="739"/>
        <w:spacing w:after="0" w:line="235"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3,603,633</w:t>
      </w:r>
    </w:p>
    <w:p>
      <w:pPr>
        <w:spacing w:after="0" w:line="208" w:lineRule="exact"/>
        <w:rPr>
          <w:rFonts w:ascii="Courier New" w:cs="Courier New" w:eastAsia="Courier New" w:hAnsi="Courier New"/>
          <w:sz w:val="18"/>
          <w:szCs w:val="18"/>
          <w:color w:val="auto"/>
        </w:rPr>
      </w:pPr>
    </w:p>
    <w:p>
      <w:pPr>
        <w:ind w:left="1800" w:right="3159" w:hanging="739"/>
        <w:spacing w:after="0" w:line="235"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8" w:lineRule="exact"/>
        <w:rPr>
          <w:rFonts w:ascii="Courier New" w:cs="Courier New" w:eastAsia="Courier New" w:hAnsi="Courier New"/>
          <w:sz w:val="18"/>
          <w:szCs w:val="18"/>
          <w:color w:val="auto"/>
        </w:rPr>
      </w:pPr>
    </w:p>
    <w:p>
      <w:pPr>
        <w:ind w:left="1800" w:right="2939" w:hanging="739"/>
        <w:spacing w:after="0" w:line="235"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12,514,572</w:t>
      </w:r>
    </w:p>
    <w:p>
      <w:pPr>
        <w:spacing w:after="0" w:line="200" w:lineRule="exact"/>
        <w:rPr>
          <w:sz w:val="20"/>
          <w:szCs w:val="20"/>
          <w:color w:val="auto"/>
        </w:rPr>
      </w:pP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580" w:right="2319"/>
        <w:spacing w:after="0" w:line="268" w:lineRule="auto"/>
        <w:rPr>
          <w:sz w:val="20"/>
          <w:szCs w:val="20"/>
          <w:color w:val="auto"/>
        </w:rPr>
      </w:pPr>
      <w:r>
        <w:rPr>
          <w:rFonts w:ascii="Courier New" w:cs="Courier New" w:eastAsia="Courier New" w:hAnsi="Courier New"/>
          <w:sz w:val="16"/>
          <w:szCs w:val="16"/>
          <w:color w:val="auto"/>
        </w:rPr>
        <w:t>This statement is being filed to report the fact, that as of the date hereof, Neuberger &amp; Berman, LLC has ceased to be</w:t>
      </w:r>
    </w:p>
    <w:p>
      <w:pPr>
        <w:spacing w:after="0" w:line="233"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ind w:left="1580" w:right="251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w:t>
      </w: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ectPr>
          <w:pgSz w:w="11900" w:h="16838" w:orient="portrait"/>
          <w:cols w:equalWidth="0" w:num="1">
            <w:col w:w="10219"/>
          </w:cols>
          <w:pgMar w:left="240" w:top="136" w:right="1440" w:bottom="0" w:gutter="0" w:footer="0" w:header="0"/>
        </w:sectPr>
      </w:pPr>
    </w:p>
    <w:bookmarkStart w:id="2" w:name="page3"/>
    <w:bookmarkEnd w:id="2"/>
    <w:p>
      <w:pPr>
        <w:ind w:right="2319"/>
        <w:spacing w:after="0" w:line="237" w:lineRule="auto"/>
        <w:rPr>
          <w:sz w:val="20"/>
          <w:szCs w:val="20"/>
          <w:color w:val="auto"/>
        </w:rPr>
      </w:pPr>
      <w:r>
        <w:rPr>
          <w:rFonts w:ascii="Courier New" w:cs="Courier New" w:eastAsia="Courier New" w:hAnsi="Courier New"/>
          <w:sz w:val="18"/>
          <w:szCs w:val="18"/>
          <w:color w:val="auto"/>
        </w:rPr>
        <w:t>Neuberger &amp; Berman, LLC is deemed to be a beneficial owner for purpose of Rule 13(d) since it has shared power to make decisions whether to retain or dispose of, and in some cases the sole power to vote, the securities of many unrelated clients. Neuberger &amp;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21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Principal(s) of Neuberger &amp; Berman, LLC own 141,988 shares. Principal(s) own these shares in their own personal securities accounts. Neuberger &amp; Berman LLC disclaims beneficial ownership of these shares since; these shares were purchased with each principal(s)' personal funds and each principal has exclusive dispositive and voting power over the shares held in their respective accounts.</w:t>
      </w:r>
    </w:p>
    <w:p>
      <w:pPr>
        <w:spacing w:after="0" w:line="200" w:lineRule="exact"/>
        <w:rPr>
          <w:sz w:val="20"/>
          <w:szCs w:val="20"/>
          <w:color w:val="auto"/>
        </w:rPr>
      </w:pP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With regard to the shares set forth under Item 4.(c)(II), Neuberger &amp; Berman, LLC and Neuberger &amp; Berman Management Inc. are deemed to be beneficial owners for purposes of Rule 13(d) since they both have shared power to make decisions whether to retain or dispose and vote the securities. Neuberger &amp; Berman, LLC and Neuberger &amp; Berman Management Inc. serve as sub-adviser and investment manager, respectively, of Neuberger &amp; Berman's various Mutual Funds which hold such shares in the ordinary course of their business and not with the purpose nor with the effect of changing or influencing the control of the issuer.</w:t>
      </w:r>
    </w:p>
    <w:p>
      <w:pPr>
        <w:spacing w:after="0" w:line="21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 other Neuberger &amp; Berman, LLC advisory client has an interest of more than 5% of the issuer.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It should be further</w:t>
            </w:r>
          </w:p>
        </w:tc>
        <w:tc>
          <w:tcPr>
            <w:tcW w:w="564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noted that the share calculation under item 4.(c)(IV)</w:t>
            </w:r>
          </w:p>
        </w:tc>
      </w:tr>
      <w:tr>
        <w:trPr>
          <w:trHeight w:val="203"/>
        </w:trPr>
        <w:tc>
          <w:tcPr>
            <w:tcW w:w="6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is derived from a total combination of the shares set forth under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4.(c)(I and II). The</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remaining balance of shares, if any,</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 for</w:t>
            </w:r>
          </w:p>
        </w:tc>
        <w:tc>
          <w:tcPr>
            <w:tcW w:w="900" w:type="dxa"/>
            <w:vAlign w:val="bottom"/>
          </w:tcPr>
          <w:p>
            <w:pPr>
              <w:spacing w:after="0"/>
              <w:rPr>
                <w:sz w:val="17"/>
                <w:szCs w:val="17"/>
                <w:color w:val="auto"/>
              </w:rPr>
            </w:pPr>
          </w:p>
        </w:tc>
      </w:tr>
      <w:tr>
        <w:trPr>
          <w:trHeight w:val="203"/>
        </w:trPr>
        <w:tc>
          <w:tcPr>
            <w:tcW w:w="6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individual client accounts over which Neuberger &amp; Berman,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LLC has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power to dispose but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vote shares.</w:t>
            </w: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200300200</w:t>
            </w:r>
          </w:p>
        </w:tc>
        <w:tc>
          <w:tcPr>
            <w:tcW w:w="24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13G</w:t>
            </w: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Page 5</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5 Pages</w:t>
            </w:r>
          </w:p>
        </w:tc>
      </w:tr>
    </w:tbl>
    <w:p>
      <w:pPr>
        <w:spacing w:after="0" w:line="207" w:lineRule="exact"/>
        <w:rPr>
          <w:sz w:val="20"/>
          <w:szCs w:val="20"/>
          <w:color w:val="auto"/>
        </w:rPr>
      </w:pPr>
    </w:p>
    <w:p>
      <w:pPr>
        <w:ind w:left="1800" w:right="2419" w:hanging="1790"/>
        <w:spacing w:after="0" w:line="236" w:lineRule="auto"/>
        <w:tabs>
          <w:tab w:leader="none" w:pos="17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10,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C. Carl Randolph</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Principal/General Counsel</w:t>
      </w:r>
    </w:p>
    <w:p>
      <w:pPr>
        <w:ind w:left="540"/>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750"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1"/>
    </w:lvl>
  </w:abstractNum>
  <w:abstractNum w:abstractNumId="3">
    <w:nsid w:val="238E1F29"/>
    <w:multiLevelType w:val="hybridMultilevel"/>
    <w:lvl w:ilvl="0">
      <w:lvlJc w:val="left"/>
      <w:lvlText w:val="(%1)"/>
      <w:numFmt w:val="lowerLetter"/>
      <w:start w:val="3"/>
    </w:lvl>
    <w:lvl w:ilvl="1">
      <w:lvlJc w:val="left"/>
      <w:lvlText w:val="(%2)"/>
      <w:numFmt w:val="upperLetter"/>
      <w:start w:val="9"/>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2019-12-12T23:11:02Z</dcterms:created>
  <dcterms:modified xsi:type="dcterms:W3CDTF">2019-12-12T23:11:02Z</dcterms:modified>
</cp:coreProperties>
</file>