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280" w:type="dxa"/>
            <w:vAlign w:val="bottom"/>
            <w:gridSpan w:val="2"/>
          </w:tcPr>
          <w:p>
            <w:pPr>
              <w:ind w:left="80"/>
              <w:spacing w:after="0"/>
              <w:rPr>
                <w:sz w:val="20"/>
                <w:szCs w:val="20"/>
                <w:color w:val="auto"/>
              </w:rPr>
            </w:pPr>
            <w:r>
              <w:rPr>
                <w:rFonts w:ascii="Arial" w:cs="Arial" w:eastAsia="Arial" w:hAnsi="Arial"/>
                <w:sz w:val="18"/>
                <w:szCs w:val="18"/>
                <w:b w:val="1"/>
                <w:bCs w:val="1"/>
                <w:color w:val="auto"/>
              </w:rPr>
              <w:t>Filed Pursuant to Rule 424(b)(2)</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p>
        </w:tc>
        <w:tc>
          <w:tcPr>
            <w:tcW w:w="3280" w:type="dxa"/>
            <w:vAlign w:val="bottom"/>
            <w:gridSpan w:val="2"/>
          </w:tcPr>
          <w:p>
            <w:pPr>
              <w:ind w:left="80"/>
              <w:spacing w:after="0"/>
              <w:rPr>
                <w:sz w:val="20"/>
                <w:szCs w:val="20"/>
                <w:color w:val="auto"/>
              </w:rPr>
            </w:pPr>
            <w:r>
              <w:rPr>
                <w:rFonts w:ascii="Arial" w:cs="Arial" w:eastAsia="Arial" w:hAnsi="Arial"/>
                <w:sz w:val="18"/>
                <w:szCs w:val="18"/>
                <w:b w:val="1"/>
                <w:bCs w:val="1"/>
                <w:color w:val="auto"/>
              </w:rPr>
              <w:t>Registration No. 333-232941</w:t>
            </w:r>
          </w:p>
        </w:tc>
        <w:tc>
          <w:tcPr>
            <w:tcW w:w="0" w:type="dxa"/>
            <w:vAlign w:val="bottom"/>
          </w:tcPr>
          <w:p>
            <w:pPr>
              <w:spacing w:after="0"/>
              <w:rPr>
                <w:sz w:val="1"/>
                <w:szCs w:val="1"/>
                <w:color w:val="auto"/>
              </w:rPr>
            </w:pPr>
          </w:p>
        </w:tc>
      </w:tr>
      <w:tr>
        <w:trPr>
          <w:trHeight w:val="432"/>
        </w:trPr>
        <w:tc>
          <w:tcPr>
            <w:tcW w:w="7740" w:type="dxa"/>
            <w:vAlign w:val="bottom"/>
          </w:tcPr>
          <w:p>
            <w:pPr>
              <w:ind w:left="3780"/>
              <w:spacing w:after="0"/>
              <w:rPr>
                <w:sz w:val="20"/>
                <w:szCs w:val="20"/>
                <w:color w:val="auto"/>
              </w:rPr>
            </w:pPr>
            <w:r>
              <w:rPr>
                <w:rFonts w:ascii="Arial" w:cs="Arial" w:eastAsia="Arial" w:hAnsi="Arial"/>
                <w:sz w:val="18"/>
                <w:szCs w:val="18"/>
                <w:b w:val="1"/>
                <w:bCs w:val="1"/>
                <w:color w:val="auto"/>
              </w:rPr>
              <w:t>CALCULATION OF REGISTRATION FEE</w:t>
            </w: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7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74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74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740" w:type="dxa"/>
            <w:vAlign w:val="bottom"/>
            <w:tcBorders>
              <w:right w:val="single" w:sz="8" w:color="auto"/>
            </w:tcBorders>
            <w:vMerge w:val="restart"/>
          </w:tcPr>
          <w:p>
            <w:pPr>
              <w:ind w:left="23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auto"/>
              <w:right w:val="single" w:sz="8" w:color="auto"/>
            </w:tcBorders>
            <w:vMerge w:val="continue"/>
          </w:tcPr>
          <w:p>
            <w:pPr>
              <w:spacing w:after="0"/>
              <w:rPr>
                <w:sz w:val="15"/>
                <w:szCs w:val="15"/>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1.950% Notes due 2031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$1,495,290,000.00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$194,088.64</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3.750% Notes due 2040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$926,131,333.33</w:t>
            </w:r>
            <w:r>
              <w:rPr>
                <w:rFonts w:ascii="Arial" w:cs="Arial" w:eastAsia="Arial" w:hAnsi="Arial"/>
                <w:sz w:val="15"/>
                <w:szCs w:val="15"/>
                <w:color w:val="auto"/>
                <w:w w:val="89"/>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$120,211.85</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2.800% Notes due 2051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$1,687,216,000.00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$219,000.64</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$4,108,637,333.33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$533,301.13</w:t>
            </w: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accrued interest from and including March 27, 2020, to, but excluding, the settlement date, totaling approximately $5,083,333.33.</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auto"/>
        </w:rPr>
        <w:t>PROSPECTUS SUPPLEMENT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(To prospectus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84455</wp:posOffset>
            </wp:positionV>
            <wp:extent cx="139700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$1,500,000,000 1.950% Notes due 2031</w:t>
      </w:r>
    </w:p>
    <w:p>
      <w:pPr>
        <w:spacing w:after="0" w:line="2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$800,000,000 3.750% Notes due 2040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$1,700,000,000 2.800%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9"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The Notes due 2031 (the “Notes due 2031”) will bear interest at a rate of 1.950% per year and will mature on January 15, 2031, the Notes due 2040 (the “Notes due 2040”) will bear interest at a rate of 3.750% per year and will mature on April 1, 2040 and the Notes due 2051 (the “Notes due 2051”) will bear interest at a rate of 2.800% per year and will mature on January 15, 2051. We refer to the Notes due 2031, the Notes due 2040 and the Notes due 2051 collectively as the “notes.” We will pay interest on the Notes due 2031 and the Notes due 2051 on January 15 and July 15 of each year, beginning on July 15, 2020 and on the Notes due 2040 on April 1 and October 1 of each year, beginning on October 1, 2020. We may redeem any of the notes at any time by paying the applicable Redemption Price described under the heading “Description of the Notes-Optional Redemption.”</w:t>
      </w:r>
    </w:p>
    <w:p>
      <w:pPr>
        <w:spacing w:after="0" w:line="72"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auto"/>
        </w:rPr>
        <w:t>The Notes due 2040 offered hereby constitute a further issuance of the 3.750% Notes due 2040, of which $800,000,000 aggregate principal amount was issued on March 27, 2020 (the “existing Notes due 2040”). The Notes due 2040 offered hereby will form a part of the series of the existing Notes due 2040, and will have the same terms as the existing Notes due 2040 (other than the initial offering price and the issue date). Upon settlement, the Notes due 2040 offered hereby will have the same CUSIP number and ISIN as the existing Notes due 2040 and will trade interchangeably with the existing Notes due 2040. The Notes due 2040 and the existing Notes due 2040 will constitute a single series under the indenture for all purposes and will be fungible for U.S. federal income tax purposes. Immediately after giving effect to the issuance of the Notes due 2040 offered hereby, we will have $1,600,000,000 aggregate principal amount of 3.750% Notes due 2040 outstanding.</w:t>
      </w:r>
    </w:p>
    <w:p>
      <w:pPr>
        <w:spacing w:after="0" w:line="89" w:lineRule="exact"/>
        <w:rPr>
          <w:sz w:val="20"/>
          <w:szCs w:val="20"/>
          <w:color w:val="auto"/>
        </w:rPr>
      </w:pPr>
    </w:p>
    <w:p>
      <w:pPr>
        <w:ind w:left="120" w:right="260"/>
        <w:spacing w:after="0" w:line="306"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5" w:lineRule="exact"/>
        <w:rPr>
          <w:sz w:val="20"/>
          <w:szCs w:val="20"/>
          <w:color w:val="auto"/>
        </w:rPr>
      </w:pPr>
    </w:p>
    <w:p>
      <w:pPr>
        <w:ind w:left="120" w:right="260"/>
        <w:spacing w:after="0" w:line="263" w:lineRule="auto"/>
        <w:rPr>
          <w:sz w:val="20"/>
          <w:szCs w:val="20"/>
          <w:color w:val="auto"/>
        </w:rPr>
      </w:pPr>
      <w:r>
        <w:rPr>
          <w:rFonts w:ascii="Arial" w:cs="Arial" w:eastAsia="Arial" w:hAnsi="Arial"/>
          <w:sz w:val="17"/>
          <w:szCs w:val="17"/>
          <w:b w:val="1"/>
          <w:bCs w:val="1"/>
          <w:color w:val="auto"/>
        </w:rPr>
        <w:t>Investing in these securities involves certain risks. See “Item 1A-Risk Factors” beginning on page 20 of Comcast Corporation’s (“Comcast”) Annual Report on Form 10-K for the year ended December 31, 2019 and “Item 1A-Risk Factors” beginning on page 35 of Comcast’s Quarterly Report on Form 10-Q for the quarter ended March 31, 2020, each of which is incorporated by reference herein.</w:t>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rPr>
              <w:t>Price to</w:t>
            </w: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Underwriters’</w:t>
            </w:r>
          </w:p>
        </w:tc>
        <w:tc>
          <w:tcPr>
            <w:tcW w:w="32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6"/>
              </w:rPr>
              <w:t>Investors</w:t>
            </w:r>
          </w:p>
        </w:tc>
        <w:tc>
          <w:tcPr>
            <w:tcW w:w="14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Discount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196"/>
        </w:trPr>
        <w:tc>
          <w:tcPr>
            <w:tcW w:w="5360" w:type="dxa"/>
            <w:vAlign w:val="bottom"/>
            <w:tcBorders>
              <w:top w:val="single" w:sz="8" w:color="D1FCFC"/>
            </w:tcBorders>
            <w:shd w:val="clear" w:color="auto" w:fill="D1FCFC"/>
          </w:tcPr>
          <w:p>
            <w:pPr>
              <w:spacing w:after="0"/>
              <w:rPr>
                <w:sz w:val="20"/>
                <w:szCs w:val="20"/>
                <w:color w:val="auto"/>
              </w:rPr>
            </w:pPr>
            <w:r>
              <w:rPr>
                <w:rFonts w:ascii="Arial" w:cs="Arial" w:eastAsia="Arial" w:hAnsi="Arial"/>
                <w:sz w:val="17"/>
                <w:szCs w:val="17"/>
                <w:color w:val="auto"/>
              </w:rPr>
              <w:t>Per note due 2031</w:t>
            </w:r>
            <w:r>
              <w:rPr>
                <w:rFonts w:ascii="Arial" w:cs="Arial" w:eastAsia="Arial" w:hAnsi="Arial"/>
                <w:sz w:val="14"/>
                <w:szCs w:val="14"/>
                <w:color w:val="auto"/>
              </w:rPr>
              <w:t>(1)</w:t>
            </w:r>
          </w:p>
        </w:tc>
        <w:tc>
          <w:tcPr>
            <w:tcW w:w="120" w:type="dxa"/>
            <w:vAlign w:val="bottom"/>
            <w:tcBorders>
              <w:top w:val="single" w:sz="8" w:color="auto"/>
            </w:tcBorders>
            <w:shd w:val="clear" w:color="auto" w:fill="D1FCFC"/>
          </w:tcPr>
          <w:p>
            <w:pPr>
              <w:spacing w:after="0"/>
              <w:rPr>
                <w:sz w:val="17"/>
                <w:szCs w:val="17"/>
                <w:color w:val="auto"/>
              </w:rPr>
            </w:pPr>
          </w:p>
        </w:tc>
        <w:tc>
          <w:tcPr>
            <w:tcW w:w="100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7"/>
                <w:szCs w:val="17"/>
                <w:color w:val="auto"/>
              </w:rPr>
              <w:t>99.686%</w:t>
            </w:r>
          </w:p>
        </w:tc>
        <w:tc>
          <w:tcPr>
            <w:tcW w:w="640" w:type="dxa"/>
            <w:vAlign w:val="bottom"/>
            <w:tcBorders>
              <w:top w:val="single" w:sz="8" w:color="D1FCFC"/>
            </w:tcBorders>
            <w:shd w:val="clear" w:color="auto" w:fill="D1FCFC"/>
          </w:tcPr>
          <w:p>
            <w:pPr>
              <w:spacing w:after="0"/>
              <w:rPr>
                <w:sz w:val="17"/>
                <w:szCs w:val="17"/>
                <w:color w:val="auto"/>
              </w:rPr>
            </w:pPr>
          </w:p>
        </w:tc>
        <w:tc>
          <w:tcPr>
            <w:tcW w:w="140" w:type="dxa"/>
            <w:vAlign w:val="bottom"/>
            <w:tcBorders>
              <w:top w:val="single" w:sz="8" w:color="auto"/>
            </w:tcBorders>
            <w:shd w:val="clear" w:color="auto" w:fill="D1FCFC"/>
          </w:tcPr>
          <w:p>
            <w:pPr>
              <w:spacing w:after="0"/>
              <w:rPr>
                <w:sz w:val="17"/>
                <w:szCs w:val="17"/>
                <w:color w:val="auto"/>
              </w:rPr>
            </w:pPr>
          </w:p>
        </w:tc>
        <w:tc>
          <w:tcPr>
            <w:tcW w:w="98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7"/>
                <w:szCs w:val="17"/>
                <w:color w:val="auto"/>
              </w:rPr>
              <w:t>0.400%</w:t>
            </w:r>
          </w:p>
        </w:tc>
        <w:tc>
          <w:tcPr>
            <w:tcW w:w="320" w:type="dxa"/>
            <w:vAlign w:val="bottom"/>
            <w:tcBorders>
              <w:top w:val="single" w:sz="8" w:color="D1FCFC"/>
            </w:tcBorders>
            <w:shd w:val="clear" w:color="auto" w:fill="D1FCFC"/>
          </w:tcPr>
          <w:p>
            <w:pPr>
              <w:spacing w:after="0"/>
              <w:rPr>
                <w:sz w:val="17"/>
                <w:szCs w:val="17"/>
                <w:color w:val="auto"/>
              </w:rPr>
            </w:pPr>
          </w:p>
        </w:tc>
        <w:tc>
          <w:tcPr>
            <w:tcW w:w="320" w:type="dxa"/>
            <w:vAlign w:val="bottom"/>
            <w:tcBorders>
              <w:top w:val="single" w:sz="8" w:color="D1FCFC"/>
            </w:tcBorders>
            <w:shd w:val="clear" w:color="auto" w:fill="D1FCFC"/>
          </w:tcPr>
          <w:p>
            <w:pPr>
              <w:spacing w:after="0"/>
              <w:rPr>
                <w:sz w:val="17"/>
                <w:szCs w:val="17"/>
                <w:color w:val="auto"/>
              </w:rPr>
            </w:pPr>
          </w:p>
        </w:tc>
        <w:tc>
          <w:tcPr>
            <w:tcW w:w="120" w:type="dxa"/>
            <w:vAlign w:val="bottom"/>
            <w:tcBorders>
              <w:top w:val="single" w:sz="8" w:color="auto"/>
            </w:tcBorders>
            <w:shd w:val="clear" w:color="auto" w:fill="D1FCFC"/>
          </w:tcPr>
          <w:p>
            <w:pPr>
              <w:spacing w:after="0"/>
              <w:rPr>
                <w:sz w:val="17"/>
                <w:szCs w:val="17"/>
                <w:color w:val="auto"/>
              </w:rPr>
            </w:pPr>
          </w:p>
        </w:tc>
        <w:tc>
          <w:tcPr>
            <w:tcW w:w="106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7"/>
                <w:szCs w:val="17"/>
                <w:color w:val="auto"/>
              </w:rPr>
              <w:t>99.286%</w:t>
            </w:r>
          </w:p>
        </w:tc>
        <w:tc>
          <w:tcPr>
            <w:tcW w:w="6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40"/>
              <w:spacing w:after="0"/>
              <w:rPr>
                <w:sz w:val="20"/>
                <w:szCs w:val="20"/>
                <w:color w:val="auto"/>
              </w:rPr>
            </w:pPr>
            <w:r>
              <w:rPr>
                <w:rFonts w:ascii="Arial" w:cs="Arial" w:eastAsia="Arial" w:hAnsi="Arial"/>
                <w:sz w:val="17"/>
                <w:szCs w:val="17"/>
                <w:color w:val="auto"/>
                <w:w w:val="90"/>
              </w:rPr>
              <w:t>1,495,290,000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6,000,000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w w:val="91"/>
              </w:rPr>
              <w:t>1,489,290,000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D1FCFC"/>
          </w:tcPr>
          <w:p>
            <w:pPr>
              <w:spacing w:after="0"/>
              <w:rPr>
                <w:sz w:val="20"/>
                <w:szCs w:val="20"/>
                <w:color w:val="auto"/>
              </w:rPr>
            </w:pPr>
            <w:r>
              <w:rPr>
                <w:rFonts w:ascii="Arial" w:cs="Arial" w:eastAsia="Arial" w:hAnsi="Arial"/>
                <w:sz w:val="17"/>
                <w:szCs w:val="17"/>
                <w:color w:val="auto"/>
              </w:rPr>
              <w:t>Per note due 2040</w:t>
            </w:r>
            <w:r>
              <w:rPr>
                <w:rFonts w:ascii="Arial" w:cs="Arial" w:eastAsia="Arial" w:hAnsi="Arial"/>
                <w:sz w:val="14"/>
                <w:szCs w:val="14"/>
                <w:color w:val="auto"/>
              </w:rPr>
              <w:t>(2)</w:t>
            </w:r>
          </w:p>
        </w:tc>
        <w:tc>
          <w:tcPr>
            <w:tcW w:w="120" w:type="dxa"/>
            <w:vAlign w:val="bottom"/>
            <w:shd w:val="clear" w:color="auto" w:fill="D1FCFC"/>
          </w:tcPr>
          <w:p>
            <w:pPr>
              <w:spacing w:after="0"/>
              <w:rPr>
                <w:sz w:val="17"/>
                <w:szCs w:val="17"/>
                <w:color w:val="auto"/>
              </w:rPr>
            </w:pPr>
          </w:p>
        </w:tc>
        <w:tc>
          <w:tcPr>
            <w:tcW w:w="1640" w:type="dxa"/>
            <w:vAlign w:val="bottom"/>
            <w:gridSpan w:val="2"/>
            <w:shd w:val="clear" w:color="auto" w:fill="D1FCFC"/>
          </w:tcPr>
          <w:p>
            <w:pPr>
              <w:jc w:val="right"/>
              <w:ind w:right="640"/>
              <w:spacing w:after="0"/>
              <w:rPr>
                <w:sz w:val="20"/>
                <w:szCs w:val="20"/>
                <w:color w:val="auto"/>
              </w:rPr>
            </w:pPr>
            <w:r>
              <w:rPr>
                <w:rFonts w:ascii="Arial" w:cs="Arial" w:eastAsia="Arial" w:hAnsi="Arial"/>
                <w:sz w:val="17"/>
                <w:szCs w:val="17"/>
                <w:color w:val="auto"/>
              </w:rPr>
              <w:t>115.131%</w:t>
            </w:r>
          </w:p>
        </w:tc>
        <w:tc>
          <w:tcPr>
            <w:tcW w:w="140" w:type="dxa"/>
            <w:vAlign w:val="bottom"/>
            <w:shd w:val="clear" w:color="auto" w:fill="D1FCFC"/>
          </w:tcPr>
          <w:p>
            <w:pPr>
              <w:spacing w:after="0"/>
              <w:rPr>
                <w:sz w:val="17"/>
                <w:szCs w:val="17"/>
                <w:color w:val="auto"/>
              </w:rPr>
            </w:pPr>
          </w:p>
        </w:tc>
        <w:tc>
          <w:tcPr>
            <w:tcW w:w="1300" w:type="dxa"/>
            <w:vAlign w:val="bottom"/>
            <w:gridSpan w:val="2"/>
            <w:shd w:val="clear" w:color="auto" w:fill="D1FCFC"/>
          </w:tcPr>
          <w:p>
            <w:pPr>
              <w:jc w:val="right"/>
              <w:ind w:right="300"/>
              <w:spacing w:after="0"/>
              <w:rPr>
                <w:sz w:val="20"/>
                <w:szCs w:val="20"/>
                <w:color w:val="auto"/>
              </w:rPr>
            </w:pPr>
            <w:r>
              <w:rPr>
                <w:rFonts w:ascii="Arial" w:cs="Arial" w:eastAsia="Arial" w:hAnsi="Arial"/>
                <w:sz w:val="17"/>
                <w:szCs w:val="17"/>
                <w:color w:val="auto"/>
              </w:rPr>
              <w:t>0.600%</w:t>
            </w:r>
          </w:p>
        </w:tc>
        <w:tc>
          <w:tcPr>
            <w:tcW w:w="320" w:type="dxa"/>
            <w:vAlign w:val="bottom"/>
            <w:shd w:val="clear" w:color="auto" w:fill="D1FCFC"/>
          </w:tcPr>
          <w:p>
            <w:pPr>
              <w:spacing w:after="0"/>
              <w:rPr>
                <w:sz w:val="17"/>
                <w:szCs w:val="17"/>
                <w:color w:val="auto"/>
              </w:rPr>
            </w:pPr>
          </w:p>
        </w:tc>
        <w:tc>
          <w:tcPr>
            <w:tcW w:w="120" w:type="dxa"/>
            <w:vAlign w:val="bottom"/>
            <w:shd w:val="clear" w:color="auto" w:fill="D1FCFC"/>
          </w:tcPr>
          <w:p>
            <w:pPr>
              <w:spacing w:after="0"/>
              <w:rPr>
                <w:sz w:val="17"/>
                <w:szCs w:val="17"/>
                <w:color w:val="auto"/>
              </w:rPr>
            </w:pPr>
          </w:p>
        </w:tc>
        <w:tc>
          <w:tcPr>
            <w:tcW w:w="1060" w:type="dxa"/>
            <w:vAlign w:val="bottom"/>
            <w:shd w:val="clear" w:color="auto" w:fill="D1FCFC"/>
          </w:tcPr>
          <w:p>
            <w:pPr>
              <w:jc w:val="right"/>
              <w:spacing w:after="0"/>
              <w:rPr>
                <w:sz w:val="20"/>
                <w:szCs w:val="20"/>
                <w:color w:val="auto"/>
              </w:rPr>
            </w:pPr>
            <w:r>
              <w:rPr>
                <w:rFonts w:ascii="Arial" w:cs="Arial" w:eastAsia="Arial" w:hAnsi="Arial"/>
                <w:sz w:val="17"/>
                <w:szCs w:val="17"/>
                <w:color w:val="auto"/>
              </w:rPr>
              <w:t>114.531%</w:t>
            </w:r>
          </w:p>
        </w:tc>
        <w:tc>
          <w:tcPr>
            <w:tcW w:w="6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40"/>
              <w:spacing w:after="0"/>
              <w:rPr>
                <w:sz w:val="20"/>
                <w:szCs w:val="20"/>
                <w:color w:val="auto"/>
              </w:rPr>
            </w:pPr>
            <w:r>
              <w:rPr>
                <w:rFonts w:ascii="Arial" w:cs="Arial" w:eastAsia="Arial" w:hAnsi="Arial"/>
                <w:sz w:val="17"/>
                <w:szCs w:val="17"/>
                <w:color w:val="auto"/>
              </w:rPr>
              <w:t>921,048,000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4,800,000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916,248,000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D1FCFC"/>
          </w:tcPr>
          <w:p>
            <w:pPr>
              <w:spacing w:after="0"/>
              <w:rPr>
                <w:sz w:val="20"/>
                <w:szCs w:val="20"/>
                <w:color w:val="auto"/>
              </w:rPr>
            </w:pPr>
            <w:r>
              <w:rPr>
                <w:rFonts w:ascii="Arial" w:cs="Arial" w:eastAsia="Arial" w:hAnsi="Arial"/>
                <w:sz w:val="17"/>
                <w:szCs w:val="17"/>
                <w:color w:val="auto"/>
              </w:rPr>
              <w:t>Per note due 2051</w:t>
            </w:r>
            <w:r>
              <w:rPr>
                <w:rFonts w:ascii="Arial" w:cs="Arial" w:eastAsia="Arial" w:hAnsi="Arial"/>
                <w:sz w:val="14"/>
                <w:szCs w:val="14"/>
                <w:color w:val="auto"/>
              </w:rPr>
              <w:t>(1)</w:t>
            </w:r>
          </w:p>
        </w:tc>
        <w:tc>
          <w:tcPr>
            <w:tcW w:w="120" w:type="dxa"/>
            <w:vAlign w:val="bottom"/>
            <w:shd w:val="clear" w:color="auto" w:fill="D1FCFC"/>
          </w:tcPr>
          <w:p>
            <w:pPr>
              <w:spacing w:after="0"/>
              <w:rPr>
                <w:sz w:val="17"/>
                <w:szCs w:val="17"/>
                <w:color w:val="auto"/>
              </w:rPr>
            </w:pPr>
          </w:p>
        </w:tc>
        <w:tc>
          <w:tcPr>
            <w:tcW w:w="1640" w:type="dxa"/>
            <w:vAlign w:val="bottom"/>
            <w:gridSpan w:val="2"/>
            <w:shd w:val="clear" w:color="auto" w:fill="D1FCFC"/>
          </w:tcPr>
          <w:p>
            <w:pPr>
              <w:jc w:val="right"/>
              <w:ind w:right="640"/>
              <w:spacing w:after="0"/>
              <w:rPr>
                <w:sz w:val="20"/>
                <w:szCs w:val="20"/>
                <w:color w:val="auto"/>
              </w:rPr>
            </w:pPr>
            <w:r>
              <w:rPr>
                <w:rFonts w:ascii="Arial" w:cs="Arial" w:eastAsia="Arial" w:hAnsi="Arial"/>
                <w:sz w:val="17"/>
                <w:szCs w:val="17"/>
                <w:color w:val="auto"/>
              </w:rPr>
              <w:t>99.248%</w:t>
            </w:r>
          </w:p>
        </w:tc>
        <w:tc>
          <w:tcPr>
            <w:tcW w:w="140" w:type="dxa"/>
            <w:vAlign w:val="bottom"/>
            <w:shd w:val="clear" w:color="auto" w:fill="D1FCFC"/>
          </w:tcPr>
          <w:p>
            <w:pPr>
              <w:spacing w:after="0"/>
              <w:rPr>
                <w:sz w:val="17"/>
                <w:szCs w:val="17"/>
                <w:color w:val="auto"/>
              </w:rPr>
            </w:pPr>
          </w:p>
        </w:tc>
        <w:tc>
          <w:tcPr>
            <w:tcW w:w="1300" w:type="dxa"/>
            <w:vAlign w:val="bottom"/>
            <w:gridSpan w:val="2"/>
            <w:shd w:val="clear" w:color="auto" w:fill="D1FCFC"/>
          </w:tcPr>
          <w:p>
            <w:pPr>
              <w:jc w:val="right"/>
              <w:ind w:right="300"/>
              <w:spacing w:after="0"/>
              <w:rPr>
                <w:sz w:val="20"/>
                <w:szCs w:val="20"/>
                <w:color w:val="auto"/>
              </w:rPr>
            </w:pPr>
            <w:r>
              <w:rPr>
                <w:rFonts w:ascii="Arial" w:cs="Arial" w:eastAsia="Arial" w:hAnsi="Arial"/>
                <w:sz w:val="17"/>
                <w:szCs w:val="17"/>
                <w:color w:val="auto"/>
              </w:rPr>
              <w:t>0.750%</w:t>
            </w:r>
          </w:p>
        </w:tc>
        <w:tc>
          <w:tcPr>
            <w:tcW w:w="320" w:type="dxa"/>
            <w:vAlign w:val="bottom"/>
            <w:shd w:val="clear" w:color="auto" w:fill="D1FCFC"/>
          </w:tcPr>
          <w:p>
            <w:pPr>
              <w:spacing w:after="0"/>
              <w:rPr>
                <w:sz w:val="17"/>
                <w:szCs w:val="17"/>
                <w:color w:val="auto"/>
              </w:rPr>
            </w:pPr>
          </w:p>
        </w:tc>
        <w:tc>
          <w:tcPr>
            <w:tcW w:w="120" w:type="dxa"/>
            <w:vAlign w:val="bottom"/>
            <w:shd w:val="clear" w:color="auto" w:fill="D1FCFC"/>
          </w:tcPr>
          <w:p>
            <w:pPr>
              <w:spacing w:after="0"/>
              <w:rPr>
                <w:sz w:val="17"/>
                <w:szCs w:val="17"/>
                <w:color w:val="auto"/>
              </w:rPr>
            </w:pPr>
          </w:p>
        </w:tc>
        <w:tc>
          <w:tcPr>
            <w:tcW w:w="1060" w:type="dxa"/>
            <w:vAlign w:val="bottom"/>
            <w:shd w:val="clear" w:color="auto" w:fill="D1FCFC"/>
          </w:tcPr>
          <w:p>
            <w:pPr>
              <w:jc w:val="right"/>
              <w:spacing w:after="0"/>
              <w:rPr>
                <w:sz w:val="20"/>
                <w:szCs w:val="20"/>
                <w:color w:val="auto"/>
              </w:rPr>
            </w:pPr>
            <w:r>
              <w:rPr>
                <w:rFonts w:ascii="Arial" w:cs="Arial" w:eastAsia="Arial" w:hAnsi="Arial"/>
                <w:sz w:val="17"/>
                <w:szCs w:val="17"/>
                <w:color w:val="auto"/>
              </w:rPr>
              <w:t>98.498%</w:t>
            </w:r>
          </w:p>
        </w:tc>
        <w:tc>
          <w:tcPr>
            <w:tcW w:w="6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40"/>
              <w:spacing w:after="0"/>
              <w:rPr>
                <w:sz w:val="20"/>
                <w:szCs w:val="20"/>
                <w:color w:val="auto"/>
              </w:rPr>
            </w:pPr>
            <w:r>
              <w:rPr>
                <w:rFonts w:ascii="Arial" w:cs="Arial" w:eastAsia="Arial" w:hAnsi="Arial"/>
                <w:sz w:val="17"/>
                <w:szCs w:val="17"/>
                <w:color w:val="auto"/>
                <w:w w:val="90"/>
              </w:rPr>
              <w:t>1,687,216,000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12,750,000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w w:val="91"/>
              </w:rPr>
              <w:t>1,674,466,000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Plus accrued interest, if any, from May 28, 2020, if settlement occurs after that date.</w:t>
      </w:r>
    </w:p>
    <w:p>
      <w:pPr>
        <w:spacing w:after="0" w:line="128" w:lineRule="exact"/>
        <w:rPr>
          <w:rFonts w:ascii="Arial" w:cs="Arial" w:eastAsia="Arial" w:hAnsi="Arial"/>
          <w:sz w:val="17"/>
          <w:szCs w:val="17"/>
          <w:color w:val="auto"/>
        </w:rPr>
      </w:pPr>
    </w:p>
    <w:p>
      <w:pPr>
        <w:ind w:left="540" w:right="640" w:hanging="424"/>
        <w:spacing w:after="0" w:line="342"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Plus accrued interest from and including March 27, 2020, to, but excluding, the settlement date, totaling approximately $5,083,333 (assuming the settlement date is May 28, 2020). Such accrued interest must be paid by the purchasers of the Notes due 2040 offered hereby.</w:t>
      </w:r>
    </w:p>
    <w:p>
      <w:pPr>
        <w:spacing w:after="0" w:line="17"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7"/>
          <w:szCs w:val="17"/>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7" w:lineRule="exact"/>
        <w:rPr>
          <w:sz w:val="20"/>
          <w:szCs w:val="20"/>
          <w:color w:val="auto"/>
        </w:rPr>
      </w:pPr>
    </w:p>
    <w:p>
      <w:pPr>
        <w:ind w:left="120" w:right="280" w:firstLine="440"/>
        <w:spacing w:after="0" w:line="261" w:lineRule="auto"/>
        <w:rPr>
          <w:sz w:val="20"/>
          <w:szCs w:val="20"/>
          <w:color w:val="auto"/>
        </w:rPr>
      </w:pPr>
      <w:r>
        <w:rPr>
          <w:rFonts w:ascii="Arial" w:cs="Arial" w:eastAsia="Arial" w:hAnsi="Arial"/>
          <w:sz w:val="17"/>
          <w:szCs w:val="17"/>
          <w:color w:val="auto"/>
        </w:rPr>
        <w:t>The notes will be ready for delivery only through The Depository Trust Company and its participants, including Euroclear SA/NV (“Euroclear”) and Clearstream Banking SA (“Clearstream”), in book-entry form on or about May 28, 2020, which is the fifth business day following the date of this prospectus supplement. See “Underwriting.”</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COMMERZBANK</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Suisse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RBC Capital Markets</w:t>
      </w:r>
    </w:p>
    <w:p>
      <w:pPr>
        <w:spacing w:after="0" w:line="341" w:lineRule="exact"/>
        <w:rPr>
          <w:sz w:val="20"/>
          <w:szCs w:val="20"/>
          <w:color w:val="auto"/>
        </w:rPr>
      </w:pPr>
    </w:p>
    <w:p>
      <w:pPr>
        <w:sectPr>
          <w:pgSz w:w="11900" w:h="16838" w:orient="portrait"/>
          <w:cols w:equalWidth="0" w:num="5">
            <w:col w:w="2240" w:space="100"/>
            <w:col w:w="1500" w:space="240"/>
            <w:col w:w="1520" w:space="720"/>
            <w:col w:w="2740" w:space="380"/>
            <w:col w:w="17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color w:val="auto"/>
        </w:rPr>
        <w:t>The date of this prospectus supplement is May 20,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80" w:type="dxa"/>
            <w:vAlign w:val="bottom"/>
            <w:gridSpan w:val="5"/>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24"/>
        </w:trPr>
        <w:tc>
          <w:tcPr>
            <w:tcW w:w="33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5"/>
          </w:tcPr>
          <w:p>
            <w:pPr>
              <w:jc w:val="center"/>
              <w:ind w:right="408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459"/>
        </w:trPr>
        <w:tc>
          <w:tcPr>
            <w:tcW w:w="4100" w:type="dxa"/>
            <w:vAlign w:val="bottom"/>
            <w:gridSpan w:val="2"/>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More Information</w:t>
              </w:r>
            </w:hyperlink>
          </w:p>
        </w:tc>
        <w:tc>
          <w:tcPr>
            <w:tcW w:w="3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4100" w:type="dxa"/>
            <w:vAlign w:val="bottom"/>
            <w:gridSpan w:val="2"/>
            <w:vMerge w:val="continue"/>
          </w:tcPr>
          <w:p>
            <w:pPr>
              <w:spacing w:after="0"/>
              <w:rPr>
                <w:sz w:val="16"/>
                <w:szCs w:val="16"/>
                <w:color w:val="auto"/>
              </w:rPr>
            </w:pPr>
          </w:p>
        </w:tc>
        <w:tc>
          <w:tcPr>
            <w:tcW w:w="35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3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Proceeds</w:t>
              </w:r>
            </w:hyperlink>
          </w:p>
        </w:tc>
        <w:tc>
          <w:tcPr>
            <w:tcW w:w="3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Description of the Notes</w:t>
              </w:r>
            </w:hyperlink>
          </w:p>
        </w:tc>
        <w:tc>
          <w:tcPr>
            <w:tcW w:w="3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Material U.S. Federal Income Tax Consequences</w:t>
              </w:r>
            </w:hyperlink>
          </w:p>
        </w:tc>
        <w:tc>
          <w:tcPr>
            <w:tcW w:w="3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Underwriting</w:t>
              </w:r>
            </w:hyperlink>
          </w:p>
        </w:tc>
        <w:tc>
          <w:tcPr>
            <w:tcW w:w="3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Matters</w:t>
              </w:r>
            </w:hyperlink>
          </w:p>
        </w:tc>
        <w:tc>
          <w:tcPr>
            <w:tcW w:w="3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Experts</w:t>
              </w:r>
            </w:hyperlink>
          </w:p>
        </w:tc>
        <w:tc>
          <w:tcPr>
            <w:tcW w:w="35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581"/>
        </w:trPr>
        <w:tc>
          <w:tcPr>
            <w:tcW w:w="3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5"/>
          </w:tcPr>
          <w:p>
            <w:pPr>
              <w:jc w:val="center"/>
              <w:ind w:right="4080"/>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432"/>
        </w:trPr>
        <w:tc>
          <w:tcPr>
            <w:tcW w:w="4100" w:type="dxa"/>
            <w:vAlign w:val="bottom"/>
            <w:gridSpan w:val="2"/>
            <w:vMerge w:val="restart"/>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The Companies</w:t>
              </w:r>
            </w:hyperlink>
          </w:p>
        </w:tc>
        <w:tc>
          <w:tcPr>
            <w:tcW w:w="3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5"/>
        </w:trPr>
        <w:tc>
          <w:tcPr>
            <w:tcW w:w="4100" w:type="dxa"/>
            <w:vAlign w:val="bottom"/>
            <w:gridSpan w:val="2"/>
            <w:vMerge w:val="continue"/>
          </w:tcPr>
          <w:p>
            <w:pPr>
              <w:spacing w:after="0"/>
              <w:rPr>
                <w:sz w:val="16"/>
                <w:szCs w:val="16"/>
                <w:color w:val="auto"/>
              </w:rPr>
            </w:pPr>
          </w:p>
        </w:tc>
        <w:tc>
          <w:tcPr>
            <w:tcW w:w="6480" w:type="dxa"/>
            <w:vAlign w:val="bottom"/>
            <w:gridSpan w:val="3"/>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Caution Concerning Forward-Looking Statements</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Use of Proceeds</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Dividend Policy</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 and Guarantees</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Global Securities</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Capital Stock</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Plan of Distribution</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Matters</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Experts</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Available Information</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Incorporation of Certain Documents by Reference</w:t>
              </w:r>
            </w:hyperlink>
          </w:p>
        </w:tc>
        <w:tc>
          <w:tcPr>
            <w:tcW w:w="688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205740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5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set forth below that we or NBCUniversal have previously filed with the SEC:</w:t>
      </w:r>
    </w:p>
    <w:p>
      <w:pPr>
        <w:spacing w:after="0" w:line="170" w:lineRule="exact"/>
        <w:rPr>
          <w:sz w:val="20"/>
          <w:szCs w:val="20"/>
          <w:color w:val="auto"/>
        </w:rPr>
      </w:pPr>
    </w:p>
    <w:p>
      <w:pPr>
        <w:ind w:left="980" w:hanging="43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filed on January 30, 2020.</w:t>
      </w:r>
    </w:p>
    <w:p>
      <w:pPr>
        <w:spacing w:after="0" w:line="248" w:lineRule="exact"/>
        <w:rPr>
          <w:rFonts w:ascii="Arial" w:cs="Arial" w:eastAsia="Arial" w:hAnsi="Arial"/>
          <w:sz w:val="16"/>
          <w:szCs w:val="16"/>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Quarterly Report on </w:t>
      </w:r>
      <w:hyperlink r:id="rId1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filed on April 30, 2020.</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18">
        <w:r>
          <w:rPr>
            <w:rFonts w:ascii="Arial" w:cs="Arial" w:eastAsia="Arial" w:hAnsi="Arial"/>
            <w:sz w:val="18"/>
            <w:szCs w:val="18"/>
            <w:u w:val="single" w:color="auto"/>
            <w:color w:val="0000EE"/>
          </w:rPr>
          <w:t>February 20, 2020</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March 24,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March 27,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right="500" w:hanging="4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w:t>
      </w:r>
      <w:hyperlink r:id="rId21">
        <w:r>
          <w:rPr>
            <w:rFonts w:ascii="Arial" w:cs="Arial" w:eastAsia="Arial" w:hAnsi="Arial"/>
            <w:sz w:val="18"/>
            <w:szCs w:val="18"/>
            <w:u w:val="single" w:color="auto"/>
            <w:color w:val="0000EE"/>
          </w:rPr>
          <w:t>Proxy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Statement on Schedule 14A for the 2020 annual meeting of shareholders incorporated by reference in Comcast’s Annual Report on Form 10-K for the year ended December 31, 2019.</w:t>
      </w:r>
    </w:p>
    <w:p>
      <w:pPr>
        <w:spacing w:after="0" w:line="130" w:lineRule="exact"/>
        <w:rPr>
          <w:rFonts w:ascii="Arial" w:cs="Arial" w:eastAsia="Arial" w:hAnsi="Arial"/>
          <w:sz w:val="18"/>
          <w:szCs w:val="18"/>
          <w:color w:val="auto"/>
        </w:rPr>
      </w:pPr>
    </w:p>
    <w:p>
      <w:pPr>
        <w:ind w:left="120" w:right="100"/>
        <w:spacing w:after="0" w:line="269" w:lineRule="auto"/>
        <w:rPr>
          <w:sz w:val="20"/>
          <w:szCs w:val="20"/>
          <w:color w:val="auto"/>
        </w:rPr>
      </w:pPr>
      <w:r>
        <w:rPr>
          <w:rFonts w:ascii="Arial" w:cs="Arial" w:eastAsia="Arial" w:hAnsi="Arial"/>
          <w:sz w:val="17"/>
          <w:szCs w:val="17"/>
          <w:color w:val="auto"/>
        </w:rPr>
        <w:t>Beginning with our Quarterly Report on Form 10-Q for the quarter ended March 31, 2020, we are voluntarily complying with new disclosure rules for guarantors and issuers of guaranteed debt securities issued by the SEC in March 2020, as permitted by the transition guidance contained in the SEC’s final rule release “Financial Disclosures about Guarantors and Issuers of Guaranteed Securities and Affiliates Whose Securities Collateralize a Registrant’s Securities.” As a result, our Quarterly Report on Form 10-Q for the quarter ended March 31, 2020 includes new disclosures related to our consolidated subsidiaries that guarantee or have issued guaranteed debt securities registered with the SEC that are included within our guarantee structure (refer to Guarantee Structure within the Liquidity and Capital Resources section of Item 2: Management’s Discussion and Analysis of Financial Condition and Results of Operations in our Quarterly Report on Form 10-Q for the quarter ended March 31, 2020, as well as see “Prospectus Supplement Summary—The Guarantors” in this prospectus supplement). As a result of these rules, NBCUniversal is no longer required to prepare stand-alone periodic reports under SEC rules, and our periodic reports are no longer prepared as a combined report being filed separately by Comcast and NBCUniversal.</w:t>
      </w:r>
    </w:p>
    <w:p>
      <w:pPr>
        <w:spacing w:after="0" w:line="158" w:lineRule="exact"/>
        <w:rPr>
          <w:rFonts w:ascii="Arial" w:cs="Arial" w:eastAsia="Arial" w:hAnsi="Arial"/>
          <w:sz w:val="18"/>
          <w:szCs w:val="18"/>
          <w:color w:val="auto"/>
        </w:rPr>
      </w:pPr>
    </w:p>
    <w:p>
      <w:pPr>
        <w:ind w:left="120"/>
        <w:spacing w:after="0" w:line="293"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w:t>
      </w:r>
    </w:p>
    <w:p>
      <w:pPr>
        <w:spacing w:after="0" w:line="2" w:lineRule="exact"/>
        <w:rPr>
          <w:sz w:val="20"/>
          <w:szCs w:val="20"/>
          <w:color w:val="auto"/>
        </w:rPr>
      </w:pPr>
    </w:p>
    <w:p>
      <w:pPr>
        <w:ind w:left="560" w:hanging="262"/>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206" w:lineRule="exact"/>
        <w:rPr>
          <w:rFonts w:ascii="Arial" w:cs="Arial" w:eastAsia="Arial" w:hAnsi="Arial"/>
          <w:sz w:val="18"/>
          <w:szCs w:val="18"/>
          <w:color w:val="auto"/>
        </w:rPr>
      </w:pPr>
    </w:p>
    <w:p>
      <w:pPr>
        <w:ind w:left="1120" w:hanging="403"/>
        <w:spacing w:after="0" w:line="266"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a leading provider of high-speed internet,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under the Xfinity brand; we also provide these and other services to business customers and sell advertising.</w:t>
      </w:r>
    </w:p>
    <w:p>
      <w:pPr>
        <w:spacing w:after="0" w:line="175" w:lineRule="exact"/>
        <w:rPr>
          <w:rFonts w:ascii="Arial" w:cs="Arial" w:eastAsia="Arial" w:hAnsi="Arial"/>
          <w:sz w:val="18"/>
          <w:szCs w:val="18"/>
          <w:color w:val="auto"/>
        </w:rPr>
      </w:pPr>
    </w:p>
    <w:p>
      <w:pPr>
        <w:ind w:left="1120" w:right="80" w:hanging="403"/>
        <w:spacing w:after="0" w:line="266"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175" w:lineRule="exact"/>
        <w:rPr>
          <w:rFonts w:ascii="Arial" w:cs="Arial" w:eastAsia="Arial" w:hAnsi="Arial"/>
          <w:sz w:val="18"/>
          <w:szCs w:val="18"/>
          <w:color w:val="auto"/>
        </w:rPr>
      </w:pPr>
    </w:p>
    <w:p>
      <w:pPr>
        <w:ind w:left="1120" w:right="380" w:hanging="403"/>
        <w:spacing w:after="0" w:line="266"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175" w:lineRule="exact"/>
        <w:rPr>
          <w:rFonts w:ascii="Arial" w:cs="Arial" w:eastAsia="Arial" w:hAnsi="Arial"/>
          <w:sz w:val="18"/>
          <w:szCs w:val="18"/>
          <w:color w:val="auto"/>
        </w:rPr>
      </w:pPr>
    </w:p>
    <w:p>
      <w:pPr>
        <w:ind w:left="1120" w:right="160" w:hanging="403"/>
        <w:spacing w:after="0" w:line="266"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175" w:lineRule="exact"/>
        <w:rPr>
          <w:rFonts w:ascii="Arial" w:cs="Arial" w:eastAsia="Arial" w:hAnsi="Arial"/>
          <w:sz w:val="18"/>
          <w:szCs w:val="18"/>
          <w:color w:val="auto"/>
        </w:rPr>
      </w:pPr>
    </w:p>
    <w:p>
      <w:pPr>
        <w:ind w:left="1120" w:right="440" w:hanging="403"/>
        <w:spacing w:after="0" w:line="266"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5" w:lineRule="exact"/>
        <w:rPr>
          <w:rFonts w:ascii="Arial" w:cs="Arial" w:eastAsia="Arial" w:hAnsi="Arial"/>
          <w:sz w:val="18"/>
          <w:szCs w:val="18"/>
          <w:color w:val="auto"/>
        </w:rPr>
      </w:pPr>
    </w:p>
    <w:p>
      <w:pPr>
        <w:ind w:left="1120" w:hanging="403"/>
        <w:spacing w:after="0" w:line="266"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Sky</w:t>
      </w:r>
      <w:r>
        <w:rPr>
          <w:rFonts w:ascii="Arial" w:cs="Arial" w:eastAsia="Arial" w:hAnsi="Arial"/>
          <w:sz w:val="18"/>
          <w:szCs w:val="18"/>
          <w:color w:val="auto"/>
        </w:rPr>
        <w:t>: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39"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 our direct-to-consumer streaming service that will feature NBCUniversal content.</w:t>
      </w:r>
    </w:p>
    <w:p>
      <w:pPr>
        <w:spacing w:after="0" w:line="157"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00" w:right="60" w:hanging="2"/>
        <w:spacing w:after="0" w:line="260"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120" w:right="160" w:hanging="403"/>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120" w:hanging="403"/>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10112- 0015.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Corporation.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$1,500,000,000 aggregate principal amount of 1.950% Notes due 2031.</w:t>
            </w:r>
          </w:p>
        </w:tc>
      </w:tr>
      <w:tr>
        <w:trPr>
          <w:trHeight w:val="43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$800,000,000 aggregate principal amount of 3.750% Notes due 2040. The Notes due 2040</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offered hereby will be fungible with the existing Notes due 2040 for U.S. federal income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tax purposes and will have the same CUSIP number as, and will be treated as a single class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with, the existing Notes due 2040.</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$1,700,000,000 aggregate principal amount of 2.800% Notes due 2051.</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2031 will mature on January 15, 2031.</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2040 will mature on April 1, 2040.</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2051 will mature on January 15, 2051.</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2031 will accrue at the rate of 1.950%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January 15 and July 15, beginning July 15, 2020.</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2040 will accrue at the rate of 3.750%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semiannually in cash in arrears on April 1 and October 1, beginning October 1, 2020.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interest payment to be made on October 1, 2020 will include pre-issuance accrued interest</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from, and including, March 27, 2020 to the issue date of the Notes due 2040.</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2051 will accrue at the rate of 2.800%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January 15 and July 15, beginning July 15, 2020.</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applicable Redemption Price determined as set forth under the heading “Description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Notes-Optional Redemption.”</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20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color w:val="auto"/>
              </w:rPr>
              <w:t>We intend to use the net proceeds from the offering entirely for the refinancing of</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outstanding debt, including our 1.625% notes due January 15, 2022 ($700 million principal</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amount outstanding as of the date hereof), our 4.05% notes due August 1, 2046</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($1.43 billion principal amount outstanding as of the date hereof) and certain of our other</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7"/>
              </w:rPr>
              <w:t>debt securities with near term maturities. Affiliates of certain of the underwriters may be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holders of the 1.625% notes due January 15, 2022 and the 4.05% notes due August 1, 2046</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and, accordingly, may receive a portion of the net proceeds from this offering.</w:t>
            </w:r>
          </w:p>
        </w:tc>
      </w:tr>
      <w:tr>
        <w:trPr>
          <w:trHeight w:val="418"/>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418"/>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Notes</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We have the ability to “reopen” a series of these notes and issue additional notes of such</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7"/>
              </w:rPr>
              <w:t>series. Additional notes of such series will be consolidated with and form a single series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with the notes then outstanding of such series; provided that if such additional notes are not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fungible with the notes of the applicable series offered hereby for U.S. federal income tax</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purposes, such additional notes will have one or more separate CUSIP numbers.</w:t>
            </w:r>
          </w:p>
        </w:tc>
      </w:tr>
      <w:tr>
        <w:trPr>
          <w:trHeight w:val="418"/>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9"/>
              </w:rPr>
              <w:t>Investing in the notes involves certain risks. See “Item 1A-Risk Factors” beginning on</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page 20 of our Annual Report on Form 10-K for the year ended December 31, 2019. Please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also read carefully the risk factor “The COVID-19 pandemic could have a material adverse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effect on our businesses and results of operations” on page 35 of our Quarterly Report on</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Form 10-Q for the quarter ended March 31, 2020.</w:t>
            </w:r>
          </w:p>
        </w:tc>
      </w:tr>
      <w:tr>
        <w:trPr>
          <w:trHeight w:val="240"/>
        </w:trPr>
        <w:tc>
          <w:tcPr>
            <w:tcW w:w="2820" w:type="dxa"/>
            <w:vAlign w:val="bottom"/>
            <w:tcBorders>
              <w:left w:val="single" w:sz="8" w:color="auto"/>
              <w:bottom w:val="single" w:sz="8" w:color="auto"/>
            </w:tcBorders>
          </w:tcPr>
          <w:p>
            <w:pPr>
              <w:spacing w:after="0"/>
              <w:rPr>
                <w:sz w:val="20"/>
                <w:szCs w:val="20"/>
                <w:color w:val="auto"/>
              </w:rPr>
            </w:pPr>
          </w:p>
        </w:tc>
        <w:tc>
          <w:tcPr>
            <w:tcW w:w="8200" w:type="dxa"/>
            <w:vAlign w:val="bottom"/>
            <w:tcBorders>
              <w:bottom w:val="single" w:sz="8" w:color="auto"/>
              <w:right w:val="single" w:sz="8" w:color="auto"/>
            </w:tcBorders>
          </w:tcPr>
          <w:p>
            <w:pPr>
              <w:spacing w:after="0"/>
              <w:rPr>
                <w:sz w:val="20"/>
                <w:szCs w:val="20"/>
                <w:color w:val="auto"/>
              </w:rPr>
            </w:pPr>
          </w:p>
        </w:tc>
      </w:tr>
      <w:tr>
        <w:trPr>
          <w:trHeight w:val="604"/>
        </w:trPr>
        <w:tc>
          <w:tcPr>
            <w:tcW w:w="2820" w:type="dxa"/>
            <w:vAlign w:val="bottom"/>
          </w:tcPr>
          <w:p>
            <w:pPr>
              <w:spacing w:after="0"/>
              <w:rPr>
                <w:sz w:val="24"/>
                <w:szCs w:val="24"/>
                <w:color w:val="auto"/>
              </w:rPr>
            </w:pPr>
          </w:p>
        </w:tc>
        <w:tc>
          <w:tcPr>
            <w:tcW w:w="8200" w:type="dxa"/>
            <w:vAlign w:val="bottom"/>
          </w:tcPr>
          <w:p>
            <w:pPr>
              <w:ind w:left="25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offering entirely for the refinancing of outstanding debt, including our 1.625% notes due January 15, 2022</w:t>
      </w:r>
    </w:p>
    <w:p>
      <w:pPr>
        <w:spacing w:after="0" w:line="46"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($700 million principal amount outstanding as of the date hereof), our 4.05% notes due August 1, 2046 ($1.43 billion principal amount outstanding as of the date hereof) and certain of our other debt securities with near term maturities. Affiliates of certain of the underwriters may be holders of the 1.625% notes due January 15, 2022 and the 4.05% notes due August 1, 2046 and, accordingly, may receive a portion of the net proceeds from this offering.</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0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We recently issued $800,000,000 aggregate principal amount of our existing Notes due 2040 as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In this offering, we are offering an additional $800,000,000 in aggregate principal amount of the Notes due 2040. The Notes due 2040 offered hereby and the applicable existing notes of such series will have the same CUSIP number and ISIN as the existing notes of such series and will be fungible for U.S. federal income tax purposes. We are also offering $1,500,000,000 aggregate principal amount of our 1.950% Notes due 2031 and $1,700,000,000 aggregate principal amount of our 2.800% Notes due 2051. The Notes due 2031 and the Notes due 2051 will each be a separate series of securities issued under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41"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i w:val="1"/>
          <w:iCs w:val="1"/>
          <w:color w:val="auto"/>
        </w:rPr>
        <w:t>The Notes due 2040 offered hereby constitute a further issuance of the 3.750% Notes due 2040, the existing Notes due 2040, of which $800,000,000 aggregate principal amount was issued on March 27, 2020. The Notes due 2040 offered hereby will form a part of the series of the existing Notes due 2040, and will have the same terms as, the existing Notes due 2040 (other than the initial offering price and the issue date. Upon settlement, the Notes due 2040 offered hereby will have the same CUSIP number and ISIN as the existing Notes due 2040 and will trade interchangeably with the existing Notes due 2040. The Notes due 2040 and the existing Notes due 2040 will constitute a single series under the indenture for all purposes and will be fungible for U.S. federal income tax purposes. Immediately after giving effect to the issuance of the Notes due 2040 offered hereby, we will have 1,600,000,000 aggregate principal amount of 3.750% Notes due 2040 outstanding.</w:t>
      </w:r>
    </w:p>
    <w:p>
      <w:pPr>
        <w:spacing w:after="0" w:line="13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Notes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80" w:right="340" w:hanging="43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$4,000,000,000 comprised as follows:</w:t>
      </w:r>
    </w:p>
    <w:p>
      <w:pPr>
        <w:spacing w:after="0" w:line="225" w:lineRule="exact"/>
        <w:rPr>
          <w:rFonts w:ascii="Arial" w:cs="Arial" w:eastAsia="Arial" w:hAnsi="Arial"/>
          <w:sz w:val="18"/>
          <w:szCs w:val="18"/>
          <w:color w:val="auto"/>
        </w:rPr>
      </w:pPr>
    </w:p>
    <w:p>
      <w:pPr>
        <w:jc w:val="both"/>
        <w:ind w:left="1420" w:right="280" w:hanging="427"/>
        <w:spacing w:after="0" w:line="342" w:lineRule="auto"/>
        <w:tabs>
          <w:tab w:leader="none" w:pos="1420" w:val="left"/>
        </w:tabs>
        <w:numPr>
          <w:ilvl w:val="1"/>
          <w:numId w:val="7"/>
        </w:numPr>
        <w:rPr>
          <w:rFonts w:ascii="Arial" w:cs="Arial" w:eastAsia="Arial" w:hAnsi="Arial"/>
          <w:sz w:val="16"/>
          <w:szCs w:val="16"/>
          <w:color w:val="auto"/>
        </w:rPr>
      </w:pPr>
      <w:r>
        <w:rPr>
          <w:rFonts w:ascii="Arial" w:cs="Arial" w:eastAsia="Arial" w:hAnsi="Arial"/>
          <w:sz w:val="16"/>
          <w:szCs w:val="16"/>
          <w:color w:val="auto"/>
        </w:rPr>
        <w:t>$1,500,000,000 initial aggregate principal amount of 1.950% Notes due 2031, maturing on January 15, 2031, with interest payable semiannually on each January 15 and July 15, beginning July 15, 2020, to holders of record on the preceding January 1 and July 1;</w:t>
      </w:r>
    </w:p>
    <w:p>
      <w:pPr>
        <w:spacing w:after="0" w:line="123" w:lineRule="exact"/>
        <w:rPr>
          <w:rFonts w:ascii="Arial" w:cs="Arial" w:eastAsia="Arial" w:hAnsi="Arial"/>
          <w:sz w:val="16"/>
          <w:szCs w:val="16"/>
          <w:color w:val="auto"/>
        </w:rPr>
      </w:pPr>
    </w:p>
    <w:p>
      <w:pPr>
        <w:ind w:left="1420" w:right="400" w:hanging="427"/>
        <w:spacing w:after="0" w:line="263"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$800,000,000 additional aggregate principal amount of 3.750% Notes due 2040, maturing on April 1, 2040, with interest payable semiannually on each April 1 and October 1, beginning October 1, 2020, to holders of record on the preceding March 15 and September 15;</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280" w:hanging="427"/>
        <w:spacing w:after="0" w:line="263"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$1,700,000,000 initial aggregate principal amount of 2.800% Notes due 2051, maturing on January 15, 2051, with interest payable semiannually on each January 15 and July 15, beginning July 15, 2020, to holders of record on the preceding January 1 and July 1; and</w:t>
      </w:r>
    </w:p>
    <w:p>
      <w:pPr>
        <w:spacing w:after="0" w:line="183"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on the notes will be computed on the basis of a 360-day year consisting of twelve 30-day months.</w:t>
      </w:r>
    </w:p>
    <w:p>
      <w:pPr>
        <w:spacing w:after="0" w:line="185"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Interest on the Notes due 2031 and the Notes due 2051 will accrue from (i) the earlier of May 28, 2020 and the date of original issuance or (ii) from the most recent interest payment date to which interest has been paid, and will be payable semiannually on interest payment dates described for each year.</w:t>
      </w:r>
    </w:p>
    <w:p>
      <w:pPr>
        <w:spacing w:after="0" w:line="9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Interest on the Notes due 2040 will accrue from March 27, 2020, the date of original issuance, and will be payable semiannually on interest payment dates described for each year. Pre-issuance accrued interest on the Notes due 2040 offered hereby from, and including, March 27, 2020 to the issue date must be paid by the purchasers of the Notes due 2040 offered hereby. On October 1, 2020, we will pay this pre-issuance accrued interest to the holders of record on the record date immediately preceding such interest payment date, together with interest accrued on the Notes due 2040 offered hereby from the issue date to such interest payment date.</w:t>
      </w:r>
    </w:p>
    <w:p>
      <w:pPr>
        <w:spacing w:after="0" w:line="14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Price” means:</w:t>
      </w:r>
    </w:p>
    <w:p>
      <w:pPr>
        <w:spacing w:after="0" w:line="198" w:lineRule="exact"/>
        <w:rPr>
          <w:sz w:val="20"/>
          <w:szCs w:val="20"/>
          <w:color w:val="auto"/>
        </w:rPr>
      </w:pPr>
    </w:p>
    <w:p>
      <w:pPr>
        <w:ind w:left="120" w:right="20" w:hanging="4"/>
        <w:spacing w:after="0" w:line="255"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the Notes due 2031, at any time prior to October 15, 2030 (three (3) months prior to the maturity of the Notes due 2031) (the “2031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2031 Par Call Date, in each case discounted to the redemption date on a semiannual basis (assuming a 360-day year consisting of twelve 30-day months) at the Treasury Rate plus 20 basis points; provided that, if the Notes due 2031 are redeemed on or after the 2031 Par Call Date, the Redemption Price will equal 100% of the principal amount of such notes;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hanging="4"/>
        <w:spacing w:after="0" w:line="255" w:lineRule="auto"/>
        <w:tabs>
          <w:tab w:leader="none" w:pos="5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the Notes due 2040, at any time prior to October 1, 2039 (six (6) months prior to the maturity of the Notes due 2040)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 semiannual basis (assuming a 360-day year consisting of twelve 30-day months) at the Treasury Rate plus 40 basis points; provided that, if the Notes due 2040 are redeemed on or after the 2040 Par Call Date, the Redemption Price will equal 100% of the principal amount of such notes; and</w:t>
      </w:r>
    </w:p>
    <w:p>
      <w:pPr>
        <w:spacing w:after="0" w:line="165" w:lineRule="exact"/>
        <w:rPr>
          <w:rFonts w:ascii="Arial" w:cs="Arial" w:eastAsia="Arial" w:hAnsi="Arial"/>
          <w:sz w:val="18"/>
          <w:szCs w:val="18"/>
          <w:color w:val="auto"/>
        </w:rPr>
      </w:pPr>
    </w:p>
    <w:p>
      <w:pPr>
        <w:ind w:left="120" w:hanging="4"/>
        <w:spacing w:after="0" w:line="255" w:lineRule="auto"/>
        <w:tabs>
          <w:tab w:leader="none" w:pos="5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the Notes due 2051, at any time prior to July 15, 2050 (six (6) months prior to the maturity of the Notes due 2051) (the “2051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2051 Par Call Date, in each case discounted to the redemption date on a semiannual basis (assuming a 360-day year consisting of twelve 30-day months) at the Treasury Rate plus 25 basis points; provided that, if the Notes due 2051 are redeemed on or after the 2051 Par Call Date, the Redemption Price will equal 100% of the principal amount of such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each case, accrued and unpaid interest thereon to the date of redemption.</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5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5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“Reference Treasury Dealer” means each of Goldman Sachs &amp; Co. LLC, Credit Suisse Securities (USA) LLC, Deutsche Bank Securities Inc. and RBC Capital Markets,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8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13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9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3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43"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3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30"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6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143" w:lineRule="exact"/>
        <w:rPr>
          <w:sz w:val="20"/>
          <w:szCs w:val="20"/>
          <w:color w:val="auto"/>
        </w:rPr>
      </w:pPr>
    </w:p>
    <w:p>
      <w:pPr>
        <w:ind w:left="120" w:right="480" w:hanging="4"/>
        <w:spacing w:after="0" w:line="277" w:lineRule="auto"/>
        <w:tabs>
          <w:tab w:leader="none" w:pos="5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29" w:lineRule="exact"/>
        <w:rPr>
          <w:rFonts w:ascii="Arial" w:cs="Arial" w:eastAsia="Arial" w:hAnsi="Arial"/>
          <w:sz w:val="18"/>
          <w:szCs w:val="18"/>
          <w:color w:val="auto"/>
        </w:rPr>
      </w:pPr>
    </w:p>
    <w:p>
      <w:pPr>
        <w:ind w:left="500" w:hanging="38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3"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980" w:right="20" w:hanging="432"/>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(i) in the case of the Notes due 2040, the public offering price indicated on the cover of this prospectus supplement or (ii) in the case of each other series of notes, the “issue price” of such series, which will be equal to the first price to the public (not including bond houses, brokers or similar persons or organizations acting in the capacity of underwriters, placement agents or wholesalers) at which a substantial amount of the applicable series of notes is sold for money; and</w:t>
      </w:r>
    </w:p>
    <w:p>
      <w:pPr>
        <w:spacing w:after="0" w:line="187"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8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980" w:right="16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United States Internal Revenue Code of 1986, as amended (the “Code”).</w:t>
      </w:r>
    </w:p>
    <w:p>
      <w:pPr>
        <w:spacing w:after="0" w:line="13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her or its tax advisor.</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Qualified Reopening of the Notes due 2040</w:t>
      </w:r>
    </w:p>
    <w:p>
      <w:pPr>
        <w:spacing w:after="0" w:line="18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U.S. federal income tax purposes, the Notes due 2040 are expected to be issued pursuant to a “qualified reopening” of the existing Notes due 2040. Accordingly, we expect, and the remainder of this discussion assumes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that, for U.S. federal income tax purposes, the Notes due 2040 will have the same issue date and issue price as, and will be fungible with, the existing Notes due 2040. Beneficial owners of notes are urged to consult their tax advisors with respect to the tax consequences if the Notes due 2040 are not treated as issued in a “qualified reopening” of the existing Notes due 2040 for U.S. federal income tax purposes.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8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This section applies to U.S. Holders. A holder is a U.S. Holder if for U.S. federal income tax purposes, such holder is a beneficial owner of a note and is:</w:t>
      </w:r>
    </w:p>
    <w:p>
      <w:pPr>
        <w:spacing w:after="0" w:line="170" w:lineRule="exact"/>
        <w:rPr>
          <w:sz w:val="20"/>
          <w:szCs w:val="20"/>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980" w:right="80" w:hanging="432"/>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9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Stated interest on a note (other than any portion of the first interest payment on a Note due 2040 treated as a return of pre-acquisition accrued interest, as described under “—Pre-acquisition Accrued Interest on a Note due 2040” below) will be taxable to a U.S. Holder as ordinary interest income at the time it accrues or is received, in accordance with such U.S. Holder’s method of accounting for U.S. federal income tax purposes.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Pre-acquisition Accrued Interest on a Note due 2040</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 portion of the price paid for a Note due 2040 offered hereby will be allocable to interest that accrued prior to the date the note is purchased (the “pre-acquisition accrued interest”). On the first interest payment date, a portion of the interest received in an amount equal to the pre-acquisition accrued interest should be treated as a return of the pre-acquisition accrued interest and not as a payment of interest on such note. Amounts treated as a return of pre-acquisition accrued interest should not be taxable when received. It is not clear in such instance whether to exclude the amount attributable to pre-acquisition accrued interest from a U.S. Holder’s initial basis, or to reduce basis by the amount of pre-acquisition accrued interest when it is received.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8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If a U.S. Holder purchases a note for an amount (in the case of a Note due 2040, not including any amount paid for pre-acquisition accrued interest) that is greater than the note’s principal amount, such U.S. Holder will be considered to have purchased the note with amortizable bond premium. In general, the amortizable bond premium with respect to any note is the excess of the purchase price (in the case of a Note due 2040, not including any amount paid for pre-acquisition accrued interest) over the principal amount, and a U.S. Holder may elect to amortize this bond premium, using a constant-yield method, over the remaining term of the note. Because of the optional redemption feature of the notes, the timing and amount of such amortization may be adversely affected. A U.S. Holder generally may use the amortizable bond premium allocable to an accrual period to offset stated interest otherwise required to be included in income with respect to the note in that accrual period. An election to amortize bond premium applies to all taxable debt obligations then owned or thereafter acquired and may be revoked only with the consent of the Internal Revenue Service.</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a Note</w:t>
      </w:r>
    </w:p>
    <w:p>
      <w:pPr>
        <w:spacing w:after="0" w:line="198"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Upon the sale or other taxable disposition of a note, a U.S. Holder will recognize taxable gain or loss equal to the difference between the amount realized on the sale or other taxable disposition and such U.S. Holder’s adjusted tax basis in the note. Subject to the discussion above under “—Pre-acquisition Accrued Interest on a Note due 2040,” a U.S. Holder’s adjusted tax basis in a note will generally be equal to the cost of such note reduced by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bond premium previously amortized by such U.S. Holder. For these purposes, the amount realized does not include any amount attributable to accrued interest, which is treated as described under “Payments of Interest” above.</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Gain or loss realized on the sale or other taxable disposition of a note will generally be capital gain or loss, and will be long-term capital gain or loss if at the time of the sale or other taxable disposition the note has been held for more than one year. Long-term capital gains recognized by non-corporate taxpayers are subject to reduced tax rates. The deductibility of capital losses is subject to limitations.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9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a Note</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184" w:lineRule="exact"/>
        <w:rPr>
          <w:sz w:val="20"/>
          <w:szCs w:val="20"/>
          <w:color w:val="auto"/>
        </w:rPr>
      </w:pPr>
    </w:p>
    <w:p>
      <w:pPr>
        <w:ind w:left="980" w:right="20" w:hanging="432"/>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146" w:lineRule="exact"/>
        <w:rPr>
          <w:rFonts w:ascii="Arial" w:cs="Arial" w:eastAsia="Arial" w:hAnsi="Arial"/>
          <w:sz w:val="17"/>
          <w:szCs w:val="17"/>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98"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83"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Disposition of a Note</w:t>
      </w:r>
    </w:p>
    <w:p>
      <w:pPr>
        <w:spacing w:after="0" w:line="19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w:t>
      </w:r>
    </w:p>
    <w:p>
      <w:pPr>
        <w:spacing w:after="0" w:line="14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For U.S. Holders, information returns are required to be filed with the Internal Revenue Service in connection with payments on the notes and proceeds received from a sale or other disposition of the notes unless such U.S. Holder is an exempt recipient. U.S. Holders may also be subject to backup withholding on these payments in respect of notes unless such U.S. Holders provide their taxpayer identification number and otherwise comply with applicable requirements of the backup withholding rules or provide proof of an applicable exemption.</w:t>
      </w:r>
    </w:p>
    <w:p>
      <w:pPr>
        <w:spacing w:after="0" w:line="13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Non-U.S. Holders, 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w:t>
      </w:r>
    </w:p>
    <w:p>
      <w:pPr>
        <w:spacing w:after="0" w:line="15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on a note will be allowed as a credit against the beneficial owner’s U.S. federal income tax liability and may entitle such person to a refund, provided that the required information is timely furnished to the Internal Revenue Service.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Legislation</w:t>
      </w:r>
    </w:p>
    <w:p>
      <w:pPr>
        <w:spacing w:after="0" w:line="18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5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U.S. Treasury Department recently released proposed regulations which, if finalized in their present form, would eliminate FATCA withholding on the gross proceeds of a sale, exchange, redemption or other disposition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of a note (other than amounts treated as interest). In the preamble to the proposed regulations, the U.S. Treasury Department indicated that taxpayers may rely on the proposed regulations until final regulations are issued.</w:t>
      </w:r>
    </w:p>
    <w:p>
      <w:pPr>
        <w:spacing w:after="0" w:line="14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820"/>
          </w:cols>
          <w:pgMar w:left="320" w:top="459" w:right="7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Notes Due 2031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Notes Due 2040</w:t>
            </w: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Notes Due 2051</w:t>
            </w:r>
          </w:p>
        </w:tc>
        <w:tc>
          <w:tcPr>
            <w:tcW w:w="0" w:type="dxa"/>
            <w:vAlign w:val="bottom"/>
          </w:tcPr>
          <w:p>
            <w:pPr>
              <w:spacing w:after="0"/>
              <w:rPr>
                <w:sz w:val="1"/>
                <w:szCs w:val="1"/>
                <w:color w:val="auto"/>
              </w:rPr>
            </w:pPr>
          </w:p>
        </w:tc>
      </w:tr>
      <w:tr>
        <w:trPr>
          <w:trHeight w:val="149"/>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To Be</w:t>
            </w: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To Be</w:t>
            </w: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Purchased</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09"/>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195,000,000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104,000,000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221,000,000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195,000,000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104,000,000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221,000,000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75,000,000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40,000,000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85,000,000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17,600,000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11,200,000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23,800,000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11,200,000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23,800,000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13,600,000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BNY Mellon Capital Markets,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13,600,000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Blaylock Van,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Multi-Bank Securities,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800,000,000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1,700,000,000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It is expected that delivery of the notes will be made against payment therefor on or about May 28, 2020,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w:t>
      </w:r>
    </w:p>
    <w:p>
      <w:pPr>
        <w:spacing w:after="0" w:line="10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Accordingly, purchasers who wish to trade the notes prior to the second business day preceding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public offering price on the cover page of this prospectus supplement, and to dealers at that price less a concession not in excess of 0.25%, 0.36% and 0.45% of the principal amount of the Notes due 2031, the Notes due 2040 and the Notes due 2051, respectively. The underwriters may allow, and the dealers may reallow, a discount not in excess of 0.15%, 0.20% and 0.25% of the principal amount of the Notes due 2031, the Notes due 2040 and the Notes due 2051, respectively, to other dealers. After the initial public offering, the public offering prices, concessions and discounts may be changed.</w:t>
      </w:r>
    </w:p>
    <w:p>
      <w:pPr>
        <w:spacing w:after="0" w:line="13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expenses of the offering, not including the underwriting discount, are estimated to be $4,000,000. Certain underwriters have agreed to reimburse us for these expenses.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20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Notes due 2031 and the Notes due 2051 are a new issue of securities with no established trading market. Although the Notes due 2040 offered hereby will become part of the same series as the applicable existing Notes due 2040, we cannot assure you that any active trading market for the Notes due 2040 exists or will be maintained.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exists or will develop or be maintained. If an active public trading market for the notes does not develop or exist, the market price and liquidity of the notes may be adversely affected.</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any of the underwriters makes any representation that the underwriters will engage in these transactions or that these transactions, once commenced, will not be discontinued without notice.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1.625% notes due January 15, 2022 and the 4.05% notes due August 1, 2046, and therefore, certain of the underwriters and/or their respective affiliates may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9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w:t>
      </w:r>
    </w:p>
    <w:p>
      <w:pPr>
        <w:spacing w:after="0" w:line="13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5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it has complied with and will comply with all applicable provisions of the FSMA with respect to anything done by it in relation to the notes in, from or otherwise involving the United Kingdom.</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8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9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146" w:lineRule="exact"/>
        <w:rPr>
          <w:sz w:val="20"/>
          <w:szCs w:val="20"/>
          <w:color w:val="auto"/>
        </w:rPr>
      </w:pPr>
    </w:p>
    <w:p>
      <w:pPr>
        <w:ind w:left="460" w:hanging="34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84" w:lineRule="exact"/>
        <w:rPr>
          <w:rFonts w:ascii="Arial" w:cs="Arial" w:eastAsia="Arial" w:hAnsi="Arial"/>
          <w:sz w:val="18"/>
          <w:szCs w:val="18"/>
          <w:color w:val="auto"/>
        </w:rPr>
      </w:pPr>
    </w:p>
    <w:p>
      <w:pPr>
        <w:ind w:left="520" w:hanging="404"/>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221" w:lineRule="exact"/>
        <w:rPr>
          <w:rFonts w:ascii="Arial" w:cs="Arial" w:eastAsia="Arial" w:hAnsi="Arial"/>
          <w:sz w:val="16"/>
          <w:szCs w:val="16"/>
          <w:color w:val="auto"/>
        </w:rPr>
      </w:pPr>
    </w:p>
    <w:p>
      <w:pPr>
        <w:ind w:left="120" w:right="220" w:hanging="4"/>
        <w:spacing w:after="0" w:line="277" w:lineRule="auto"/>
        <w:tabs>
          <w:tab w:leader="none" w:pos="5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Whether the notes are subscribed or purchased under Section 275 by a relevant person that is:</w:t>
      </w:r>
    </w:p>
    <w:p>
      <w:pPr>
        <w:spacing w:after="0" w:line="130" w:lineRule="exact"/>
        <w:rPr>
          <w:sz w:val="20"/>
          <w:szCs w:val="20"/>
          <w:color w:val="auto"/>
        </w:rPr>
      </w:pPr>
    </w:p>
    <w:p>
      <w:pPr>
        <w:ind w:left="120" w:right="100" w:hanging="4"/>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120" w:right="60" w:hanging="4"/>
        <w:spacing w:after="0" w:line="259" w:lineRule="auto"/>
        <w:tabs>
          <w:tab w:leader="none" w:pos="5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60" w:lineRule="exact"/>
        <w:rPr>
          <w:sz w:val="20"/>
          <w:szCs w:val="20"/>
          <w:color w:val="auto"/>
        </w:rPr>
      </w:pPr>
    </w:p>
    <w:p>
      <w:pPr>
        <w:ind w:left="120" w:right="160" w:hanging="4"/>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9" w:lineRule="exact"/>
        <w:rPr>
          <w:rFonts w:ascii="Arial" w:cs="Arial" w:eastAsia="Arial" w:hAnsi="Arial"/>
          <w:sz w:val="18"/>
          <w:szCs w:val="18"/>
          <w:color w:val="auto"/>
        </w:rPr>
      </w:pPr>
    </w:p>
    <w:p>
      <w:pPr>
        <w:ind w:left="500" w:hanging="38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500" w:hanging="38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 (1)(c)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8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9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25" w:lineRule="exact"/>
        <w:rPr>
          <w:sz w:val="20"/>
          <w:szCs w:val="20"/>
          <w:color w:val="auto"/>
        </w:rPr>
      </w:pPr>
    </w:p>
    <w:p>
      <w:pPr>
        <w:ind w:left="500" w:hanging="384"/>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70" w:lineRule="exact"/>
        <w:rPr>
          <w:rFonts w:ascii="Arial" w:cs="Arial" w:eastAsia="Arial" w:hAnsi="Arial"/>
          <w:sz w:val="16"/>
          <w:szCs w:val="16"/>
          <w:color w:val="auto"/>
        </w:rPr>
      </w:pPr>
    </w:p>
    <w:p>
      <w:pPr>
        <w:ind w:left="120" w:right="140" w:hanging="4"/>
        <w:spacing w:after="0" w:line="277" w:lineRule="auto"/>
        <w:tabs>
          <w:tab w:leader="none" w:pos="5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43" w:lineRule="exact"/>
        <w:rPr>
          <w:rFonts w:ascii="Arial" w:cs="Arial" w:eastAsia="Arial" w:hAnsi="Arial"/>
          <w:sz w:val="18"/>
          <w:szCs w:val="18"/>
          <w:color w:val="auto"/>
        </w:rPr>
      </w:pPr>
    </w:p>
    <w:p>
      <w:pPr>
        <w:ind w:left="120" w:right="200" w:hanging="4"/>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120" w:hanging="4"/>
        <w:spacing w:after="0" w:line="269" w:lineRule="auto"/>
        <w:tabs>
          <w:tab w:leader="none" w:pos="3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Vice President, Senior Deputy General Counsel and Assistant Secretary, Francis M. Buono, Esquire, Senior Vice President, Legal Regulatory Affairs and Senior Deputy General Counsel of Comcast Corporation, and by Davis Polk &amp; Wardwell LLP, New York, New York. Cahill Gordon &amp; Reindel LLP, New York, New York, is representing the underwriters.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(for purposes of this paragraph only, “Comcast Corporation”), incorporated herein by reference from Comcast Corporation’s Annual Report on Form 10-K for the year ended December 31, 2019,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herein by reference from NBCUniversal Media, LLC’s Annual Report on Form 10-K for the year ended December 31, 2019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194945</wp:posOffset>
            </wp:positionV>
            <wp:extent cx="1397000" cy="488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120" w:right="440" w:firstLine="440"/>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6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20" w:right="380" w:firstLine="440"/>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40" w:type="dxa"/>
            <w:vAlign w:val="bottom"/>
            <w:vMerge w:val="restart"/>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The Companies</w:t>
              </w:r>
            </w:hyperlink>
          </w:p>
        </w:tc>
        <w:tc>
          <w:tcPr>
            <w:tcW w:w="66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201"/>
        </w:trPr>
        <w:tc>
          <w:tcPr>
            <w:tcW w:w="4040" w:type="dxa"/>
            <w:vAlign w:val="bottom"/>
            <w:vMerge w:val="continue"/>
          </w:tcPr>
          <w:p>
            <w:pPr>
              <w:spacing w:after="0"/>
              <w:rPr>
                <w:sz w:val="17"/>
                <w:szCs w:val="17"/>
                <w:color w:val="auto"/>
              </w:rPr>
            </w:pPr>
          </w:p>
        </w:tc>
        <w:tc>
          <w:tcPr>
            <w:tcW w:w="6600" w:type="dxa"/>
            <w:vAlign w:val="bottom"/>
          </w:tcPr>
          <w:p>
            <w:pPr>
              <w:spacing w:after="0"/>
              <w:rPr>
                <w:sz w:val="17"/>
                <w:szCs w:val="17"/>
                <w:color w:val="auto"/>
              </w:rPr>
            </w:pPr>
          </w:p>
        </w:tc>
        <w:tc>
          <w:tcPr>
            <w:tcW w:w="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Caution Concerning Forward-Looking Statements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Use of Proceeds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Dividend Policy</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 and Guarantees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Global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Capital Stock</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Plan of Distribution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Matters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Experts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Available Information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0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Incorporation of Certain Documents by Reference</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120" w:right="60" w:hanging="4"/>
        <w:spacing w:after="0" w:line="255" w:lineRule="auto"/>
        <w:tabs>
          <w:tab w:leader="none" w:pos="3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6" w:lineRule="exact"/>
        <w:rPr>
          <w:rFonts w:ascii="Arial" w:cs="Arial" w:eastAsia="Arial" w:hAnsi="Arial"/>
          <w:sz w:val="18"/>
          <w:szCs w:val="18"/>
          <w:color w:val="auto"/>
        </w:rPr>
      </w:pPr>
    </w:p>
    <w:p>
      <w:pPr>
        <w:ind w:left="1080" w:right="180" w:hanging="424"/>
        <w:spacing w:after="0" w:line="262"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080" w:right="100" w:hanging="424"/>
        <w:spacing w:after="0" w:line="262"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080" w:right="240" w:hanging="424"/>
        <w:spacing w:after="0" w:line="262"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080" w:right="140" w:hanging="424"/>
        <w:spacing w:after="0" w:line="334"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ind w:left="1080" w:right="260" w:hanging="424"/>
        <w:spacing w:after="0" w:line="334"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ind w:left="1080" w:right="180" w:hanging="424"/>
        <w:spacing w:after="0" w:line="262"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80" w:right="22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080" w:right="48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080" w:right="180" w:hanging="424"/>
        <w:spacing w:after="0" w:line="33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080" w:right="54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80" w:right="44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80" w:right="36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80" w:hanging="424"/>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080" w:right="100" w:hanging="424"/>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8"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320" w:hanging="424"/>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80" w:right="200" w:hanging="424"/>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80" w:right="380" w:hanging="424"/>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80" w:right="520" w:hanging="424"/>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120" w:right="160" w:firstLine="436"/>
        <w:spacing w:after="0" w:line="268" w:lineRule="auto"/>
        <w:tabs>
          <w:tab w:leader="none" w:pos="7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36"/>
        <w:spacing w:after="0" w:line="268" w:lineRule="auto"/>
        <w:tabs>
          <w:tab w:leader="none" w:pos="8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120" w:right="80" w:firstLine="436"/>
        <w:spacing w:after="0" w:line="268" w:lineRule="auto"/>
        <w:tabs>
          <w:tab w:leader="none" w:pos="7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120" w:right="380" w:firstLine="436"/>
        <w:spacing w:after="0" w:line="306" w:lineRule="auto"/>
        <w:tabs>
          <w:tab w:leader="none" w:pos="8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6" w:lineRule="exact"/>
        <w:rPr>
          <w:sz w:val="20"/>
          <w:szCs w:val="20"/>
          <w:color w:val="auto"/>
        </w:rPr>
      </w:pPr>
    </w:p>
    <w:p>
      <w:pPr>
        <w:jc w:val="both"/>
        <w:ind w:left="120" w:firstLine="440"/>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120" w:right="180" w:firstLine="440"/>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120" w:hanging="4"/>
        <w:spacing w:after="0" w:line="260"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9" w:lineRule="exact"/>
        <w:rPr>
          <w:sz w:val="20"/>
          <w:szCs w:val="20"/>
          <w:color w:val="auto"/>
        </w:rPr>
      </w:pPr>
    </w:p>
    <w:p>
      <w:pPr>
        <w:ind w:left="120" w:right="240" w:firstLine="440"/>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5"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120" w:right="180" w:firstLine="436"/>
        <w:spacing w:after="0" w:line="259" w:lineRule="auto"/>
        <w:tabs>
          <w:tab w:leader="none" w:pos="7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39" w:lineRule="exact"/>
        <w:rPr>
          <w:rFonts w:ascii="Arial" w:cs="Arial" w:eastAsia="Arial" w:hAnsi="Arial"/>
          <w:sz w:val="18"/>
          <w:szCs w:val="18"/>
          <w:color w:val="auto"/>
        </w:rPr>
      </w:pPr>
    </w:p>
    <w:p>
      <w:pPr>
        <w:ind w:left="120" w:right="40" w:firstLine="436"/>
        <w:spacing w:after="0" w:line="291" w:lineRule="auto"/>
        <w:tabs>
          <w:tab w:leader="none" w:pos="8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19" w:lineRule="exact"/>
        <w:rPr>
          <w:rFonts w:ascii="Arial" w:cs="Arial" w:eastAsia="Arial" w:hAnsi="Arial"/>
          <w:sz w:val="16"/>
          <w:szCs w:val="16"/>
          <w:color w:val="auto"/>
        </w:rPr>
      </w:pPr>
    </w:p>
    <w:p>
      <w:pPr>
        <w:ind w:left="120" w:right="840" w:firstLine="436"/>
        <w:spacing w:after="0" w:line="268" w:lineRule="auto"/>
        <w:tabs>
          <w:tab w:leader="none" w:pos="7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120" w:right="460" w:firstLine="436"/>
        <w:spacing w:after="0" w:line="268"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120" w:right="200" w:firstLine="436"/>
        <w:spacing w:after="0" w:line="268" w:lineRule="auto"/>
        <w:tabs>
          <w:tab w:leader="none" w:pos="7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120" w:right="400" w:firstLine="436"/>
        <w:spacing w:after="0" w:line="306"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800" w:hanging="24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120" w:right="140" w:firstLine="436"/>
        <w:spacing w:after="0" w:line="259"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39" w:lineRule="exact"/>
        <w:rPr>
          <w:rFonts w:ascii="Arial" w:cs="Arial" w:eastAsia="Arial" w:hAnsi="Arial"/>
          <w:sz w:val="18"/>
          <w:szCs w:val="18"/>
          <w:color w:val="auto"/>
        </w:rPr>
      </w:pPr>
    </w:p>
    <w:p>
      <w:pPr>
        <w:ind w:left="120" w:right="120" w:firstLine="436"/>
        <w:spacing w:after="0" w:line="268" w:lineRule="auto"/>
        <w:tabs>
          <w:tab w:leader="none" w:pos="7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120" w:firstLine="436"/>
        <w:spacing w:after="0" w:line="268" w:lineRule="auto"/>
        <w:tabs>
          <w:tab w:leader="none" w:pos="7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120" w:right="20" w:firstLine="436"/>
        <w:spacing w:after="0" w:line="259"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39" w:lineRule="exact"/>
        <w:rPr>
          <w:rFonts w:ascii="Arial" w:cs="Arial" w:eastAsia="Arial" w:hAnsi="Arial"/>
          <w:sz w:val="18"/>
          <w:szCs w:val="18"/>
          <w:color w:val="auto"/>
        </w:rPr>
      </w:pPr>
    </w:p>
    <w:p>
      <w:pPr>
        <w:ind w:left="760" w:hanging="2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36"/>
        <w:spacing w:after="0" w:line="268" w:lineRule="auto"/>
        <w:tabs>
          <w:tab w:leader="none" w:pos="8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800" w:hanging="24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120" w:right="160" w:firstLine="436"/>
        <w:spacing w:after="0" w:line="268" w:lineRule="auto"/>
        <w:tabs>
          <w:tab w:leader="none" w:pos="8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120" w:right="260" w:firstLine="436"/>
        <w:spacing w:after="0" w:line="268" w:lineRule="auto"/>
        <w:tabs>
          <w:tab w:leader="none" w:pos="8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120" w:right="200" w:firstLine="436"/>
        <w:spacing w:after="0" w:line="369" w:lineRule="auto"/>
        <w:tabs>
          <w:tab w:leader="none" w:pos="809"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3" w:lineRule="exact"/>
        <w:rPr>
          <w:rFonts w:ascii="Arial" w:cs="Arial" w:eastAsia="Arial" w:hAnsi="Arial"/>
          <w:sz w:val="15"/>
          <w:szCs w:val="15"/>
          <w:color w:val="auto"/>
        </w:rPr>
      </w:pPr>
    </w:p>
    <w:p>
      <w:pPr>
        <w:ind w:left="120" w:right="220" w:firstLine="436"/>
        <w:spacing w:after="0" w:line="306"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780" w:hanging="224"/>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120" w:right="980" w:firstLine="440"/>
        <w:spacing w:after="0" w:line="331"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7"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120" w:right="340" w:firstLine="440"/>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120" w:right="120" w:firstLine="440"/>
        <w:spacing w:after="0" w:line="369"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right="100" w:hanging="424"/>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120" w:firstLine="440"/>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140" w:hanging="424"/>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080" w:right="120" w:hanging="424"/>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7" w:lineRule="exact"/>
        <w:rPr>
          <w:sz w:val="20"/>
          <w:szCs w:val="20"/>
          <w:color w:val="auto"/>
        </w:rPr>
      </w:pPr>
    </w:p>
    <w:p>
      <w:pPr>
        <w:ind w:left="120" w:right="400" w:firstLine="440"/>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5" w:lineRule="exact"/>
        <w:rPr>
          <w:sz w:val="20"/>
          <w:szCs w:val="20"/>
          <w:color w:val="auto"/>
        </w:rPr>
      </w:pPr>
    </w:p>
    <w:p>
      <w:pPr>
        <w:ind w:left="1080" w:right="10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8"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080" w:right="1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80" w:right="340" w:hanging="424"/>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20"/>
        <w:spacing w:after="0" w:line="331"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7"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800" w:hanging="24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120" w:right="260" w:firstLine="436"/>
        <w:spacing w:after="0" w:line="298" w:lineRule="auto"/>
        <w:tabs>
          <w:tab w:leader="none" w:pos="799"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800" w:hanging="244"/>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00" w:hanging="24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2" w:lineRule="exact"/>
        <w:rPr>
          <w:sz w:val="20"/>
          <w:szCs w:val="20"/>
          <w:color w:val="auto"/>
        </w:rPr>
      </w:pPr>
    </w:p>
    <w:p>
      <w:pPr>
        <w:jc w:val="both"/>
        <w:ind w:left="120" w:right="180" w:firstLine="440"/>
        <w:spacing w:after="0" w:line="369"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5" w:lineRule="exact"/>
        <w:rPr>
          <w:sz w:val="20"/>
          <w:szCs w:val="20"/>
          <w:color w:val="auto"/>
        </w:rPr>
      </w:pPr>
    </w:p>
    <w:p>
      <w:pPr>
        <w:ind w:left="120" w:right="440" w:firstLine="440"/>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24" w:lineRule="exact"/>
        <w:rPr>
          <w:sz w:val="20"/>
          <w:szCs w:val="20"/>
          <w:color w:val="auto"/>
        </w:rPr>
      </w:pPr>
    </w:p>
    <w:p>
      <w:pPr>
        <w:jc w:val="both"/>
        <w:ind w:left="120" w:right="40" w:firstLine="440"/>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080" w:right="540" w:hanging="424"/>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080" w:right="60" w:hanging="424"/>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080" w:right="280" w:hanging="424"/>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80" w:hanging="424"/>
        <w:spacing w:after="0" w:line="369"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4"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5"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80" w:right="380" w:hanging="424"/>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80" w:right="100" w:hanging="424"/>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80" w:right="240" w:hanging="424"/>
        <w:spacing w:after="0" w:line="356"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 w:lineRule="exact"/>
        <w:rPr>
          <w:rFonts w:ascii="Arial" w:cs="Arial" w:eastAsia="Arial" w:hAnsi="Arial"/>
          <w:sz w:val="15"/>
          <w:szCs w:val="15"/>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1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80" w:right="100" w:hanging="424"/>
        <w:spacing w:after="0" w:line="298"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080" w:right="100" w:hanging="424"/>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1" w:lineRule="exact"/>
        <w:rPr>
          <w:rFonts w:ascii="Arial" w:cs="Arial" w:eastAsia="Arial" w:hAnsi="Arial"/>
          <w:sz w:val="18"/>
          <w:szCs w:val="18"/>
          <w:color w:val="auto"/>
        </w:rPr>
      </w:pPr>
    </w:p>
    <w:p>
      <w:pPr>
        <w:ind w:left="1080" w:right="40" w:hanging="424"/>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5" w:lineRule="exact"/>
        <w:rPr>
          <w:rFonts w:ascii="Arial" w:cs="Arial" w:eastAsia="Arial" w:hAnsi="Arial"/>
          <w:sz w:val="18"/>
          <w:szCs w:val="18"/>
          <w:color w:val="auto"/>
        </w:rPr>
      </w:pPr>
    </w:p>
    <w:p>
      <w:pPr>
        <w:ind w:left="1080" w:right="160" w:hanging="424"/>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8"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8"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120" w:right="540" w:firstLine="440"/>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80" w:right="26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80" w:right="720" w:hanging="424"/>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120" w:right="360" w:firstLine="440"/>
        <w:spacing w:after="0" w:line="369" w:lineRule="auto"/>
        <w:rPr>
          <w:sz w:val="20"/>
          <w:szCs w:val="20"/>
          <w:color w:val="auto"/>
        </w:rPr>
      </w:pPr>
      <w:r>
        <w:rPr>
          <w:rFonts w:ascii="Arial" w:cs="Arial" w:eastAsia="Arial" w:hAnsi="Arial"/>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19"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15"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120" w:right="140" w:firstLine="440"/>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34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442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6"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4"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2" w:lineRule="exact"/>
        <w:rPr>
          <w:sz w:val="20"/>
          <w:szCs w:val="20"/>
          <w:color w:val="auto"/>
        </w:rPr>
      </w:pPr>
    </w:p>
    <w:p>
      <w:pPr>
        <w:jc w:val="both"/>
        <w:ind w:left="120" w:right="60" w:firstLine="440"/>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7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80">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1">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filed on April 25, 2019 and July 25, 2019, respectively.</w:t>
      </w:r>
    </w:p>
    <w:p>
      <w:pPr>
        <w:spacing w:after="0" w:line="5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82">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4">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85">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80" w:right="660" w:hanging="424"/>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86">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080" w:right="360" w:hanging="424"/>
        <w:spacing w:after="0" w:line="331"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87">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7" w:lineRule="exact"/>
        <w:rPr>
          <w:rFonts w:ascii="Arial" w:cs="Arial" w:eastAsia="Arial" w:hAnsi="Arial"/>
          <w:sz w:val="18"/>
          <w:szCs w:val="18"/>
          <w:color w:val="auto"/>
        </w:rPr>
      </w:pPr>
    </w:p>
    <w:p>
      <w:pPr>
        <w:ind w:left="120" w:firstLine="440"/>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205740</wp:posOffset>
            </wp:positionV>
            <wp:extent cx="1397000" cy="488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$1,500,000,000 1.950% Notes due 2031</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$800,000,000 3.750% Notes due 2040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$1,700,000,000 2.800%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1237615</wp:posOffset>
            </wp:positionV>
            <wp:extent cx="699516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COMMERZBANK</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Suisse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-1576070</wp:posOffset>
            </wp:positionH>
            <wp:positionV relativeFrom="paragraph">
              <wp:posOffset>433070</wp:posOffset>
            </wp:positionV>
            <wp:extent cx="27260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RBC Capital Markets</w:t>
      </w:r>
    </w:p>
    <w:p>
      <w:pPr>
        <w:spacing w:after="0" w:line="438" w:lineRule="exact"/>
        <w:rPr>
          <w:sz w:val="20"/>
          <w:szCs w:val="20"/>
          <w:color w:val="auto"/>
        </w:rPr>
      </w:pPr>
    </w:p>
    <w:p>
      <w:pPr>
        <w:sectPr>
          <w:pgSz w:w="11900" w:h="16838" w:orient="portrait"/>
          <w:cols w:equalWidth="0" w:num="5">
            <w:col w:w="2180" w:space="20"/>
            <w:col w:w="1460" w:space="120"/>
            <w:col w:w="1460" w:space="720"/>
            <w:col w:w="2860" w:space="660"/>
            <w:col w:w="166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May 20, 2020</w:t>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3"/>
    </w:lvl>
    <w:lvl w:ilvl="1">
      <w:lvlJc w:val="left"/>
      <w:lvlText w:val="•"/>
      <w:numFmt w:val="bullet"/>
      <w:start w:val="1"/>
    </w:lvl>
  </w:abstractNum>
  <w:abstractNum w:abstractNumId="4">
    <w:nsid w:val="54E49EB4"/>
    <w:multiLevelType w:val="hybridMultilevel"/>
    <w:lvl w:ilvl="0">
      <w:lvlJc w:val="left"/>
      <w:lvlText w:val="(%1)"/>
      <w:numFmt w:val="decimal"/>
      <w:start w:val="215"/>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lvl w:ilvl="1">
      <w:lvlJc w:val="left"/>
      <w:lvlText w:val="•"/>
      <w:numFmt w:val="bullet"/>
      <w:start w:val="1"/>
    </w:lvl>
  </w:abstractNum>
  <w:abstractNum w:abstractNumId="7">
    <w:nsid w:val="836C40E"/>
    <w:multiLevelType w:val="hybridMultilevel"/>
    <w:lvl w:ilvl="0">
      <w:lvlJc w:val="left"/>
      <w:lvlText w:val="•"/>
      <w:numFmt w:val="bullet"/>
      <w:start w:val="1"/>
    </w:lvl>
    <w:lvl w:ilvl="1">
      <w:lvlJc w:val="left"/>
      <w:lvlText w:val="•"/>
      <w:numFmt w:val="bullet"/>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2"/>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decimal"/>
      <w:start w:val="1"/>
    </w:lvl>
    <w:lvl w:ilvl="1">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2"/>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3"/>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jpe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jpe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16" Type="http://schemas.openxmlformats.org/officeDocument/2006/relationships/hyperlink" Target="http://www.sec.gov/ix?doc=/Archives/edgar/data/902739/000116669120000008/cmcsa-12312019x10k.htm" TargetMode="External"/><Relationship Id="rId17" Type="http://schemas.openxmlformats.org/officeDocument/2006/relationships/hyperlink" Target="http://www.sec.gov/ix?doc=/Archives/edgar/data/1166691/000116669120000017/cmcsa-3312020x10q.htm" TargetMode="External"/><Relationship Id="rId18" Type="http://schemas.openxmlformats.org/officeDocument/2006/relationships/hyperlink" Target="http://www.sec.gov/ix?doc=/Archives/edgar/data/1166691/000119312520043519/d859188d8k.htm" TargetMode="External"/><Relationship Id="rId19" Type="http://schemas.openxmlformats.org/officeDocument/2006/relationships/hyperlink" Target="http://www.sec.gov/ix?doc=/Archives/edgar/data/1166691/000119312520083230/d905896d8k.htm" TargetMode="External"/><Relationship Id="rId20" Type="http://schemas.openxmlformats.org/officeDocument/2006/relationships/hyperlink" Target="http://www.sec.gov/ix?doc=/Archives/edgar/data/1166691/000119312520088734/d905110d8k.htm" TargetMode="External"/><Relationship Id="rId21" Type="http://schemas.openxmlformats.org/officeDocument/2006/relationships/hyperlink" Target="http://www.sec.gov/Archives/edgar/data/1166691/000119312520118504/d781322ddef14a.htm" TargetMode="External"/><Relationship Id="rId79" Type="http://schemas.openxmlformats.org/officeDocument/2006/relationships/hyperlink" Target="http://www.sec.gov/Archives/edgar/data/902739/000116669119000005/cmcsa-12312018x10k.htm" TargetMode="External"/><Relationship Id="rId80" Type="http://schemas.openxmlformats.org/officeDocument/2006/relationships/hyperlink" Target="http://www.sec.gov/Archives/edgar/data/902739/000116669119000010/cmcsa-3312019x10q.htm" TargetMode="External"/><Relationship Id="rId81" Type="http://schemas.openxmlformats.org/officeDocument/2006/relationships/hyperlink" Target="http://www.sec.gov/ix?doc=/Archives/edgar/data/902739/000116669119000015/cmcsa-6302019x10q.htm" TargetMode="External"/><Relationship Id="rId82" Type="http://schemas.openxmlformats.org/officeDocument/2006/relationships/hyperlink" Target="http://www.sec.gov/Archives/edgar/data/902739/000095010319006331/dp106765_8k.htm" TargetMode="External"/><Relationship Id="rId83" Type="http://schemas.openxmlformats.org/officeDocument/2006/relationships/hyperlink" Target="http://www.sec.gov/Archives/edgar/data/1166691/000095010319007912/dp108319_8k.htm" TargetMode="External"/><Relationship Id="rId84" Type="http://schemas.openxmlformats.org/officeDocument/2006/relationships/hyperlink" Target="http://www.sec.gov/Archives/edgar/data/902739/000095010319008213/dp108508_8k.htm" TargetMode="External"/><Relationship Id="rId85" Type="http://schemas.openxmlformats.org/officeDocument/2006/relationships/hyperlink" Target="http://www.sec.gov/ix?doc=/Archives/edgar/data/1166691/000119312519210443/d736987d8ka.htm" TargetMode="External"/><Relationship Id="rId86" Type="http://schemas.openxmlformats.org/officeDocument/2006/relationships/hyperlink" Target="http://www.sec.gov/Archives/edgar/data/1166691/000119312519121456/d696198ddef14a.htm" TargetMode="External"/><Relationship Id="rId87"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2020-05-21T15:42:20Z</dcterms:created>
  <dcterms:modified xsi:type="dcterms:W3CDTF">2020-05-21T15:42:20Z</dcterms:modified>
</cp:coreProperties>
</file>