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AMENDMENT NO. 12</w:t>
      </w:r>
    </w:p>
    <w:p>
      <w:pPr>
        <w:ind w:left="3800"/>
        <w:spacing w:after="0" w:line="238" w:lineRule="auto"/>
        <w:rPr>
          <w:sz w:val="20"/>
          <w:szCs w:val="20"/>
          <w:color w:val="auto"/>
        </w:rPr>
      </w:pPr>
      <w:r>
        <w:rPr>
          <w:rFonts w:ascii="Courier New" w:cs="Courier New" w:eastAsia="Courier New" w:hAnsi="Courier New"/>
          <w:sz w:val="18"/>
          <w:szCs w:val="18"/>
          <w:color w:val="auto"/>
        </w:rPr>
        <w:t>to</w:t>
      </w:r>
    </w:p>
    <w:p>
      <w:pPr>
        <w:ind w:left="3060"/>
        <w:spacing w:after="0"/>
        <w:rPr>
          <w:sz w:val="20"/>
          <w:szCs w:val="20"/>
          <w:color w:val="auto"/>
        </w:rPr>
      </w:pPr>
      <w:r>
        <w:rPr>
          <w:rFonts w:ascii="Courier New" w:cs="Courier New" w:eastAsia="Courier New" w:hAnsi="Courier New"/>
          <w:sz w:val="18"/>
          <w:szCs w:val="18"/>
          <w:color w:val="auto"/>
        </w:rPr>
        <w:t>SCHEDULE 14D-1(*)</w:t>
      </w:r>
    </w:p>
    <w:p>
      <w:pPr>
        <w:spacing w:after="0" w:line="206"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Tender Offer Statement Pursuant to Section 14(d)(1)</w:t>
      </w:r>
    </w:p>
    <w:p>
      <w:pPr>
        <w:spacing w:after="0" w:line="16"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QVC, INC.</w:t>
      </w:r>
    </w:p>
    <w:p>
      <w:pPr>
        <w:jc w:val="center"/>
        <w:ind w:right="229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229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2299"/>
        <w:spacing w:after="0"/>
        <w:rPr>
          <w:sz w:val="20"/>
          <w:szCs w:val="20"/>
          <w:color w:val="auto"/>
        </w:rPr>
      </w:pPr>
      <w:r>
        <w:rPr>
          <w:rFonts w:ascii="Courier New" w:cs="Courier New" w:eastAsia="Courier New" w:hAnsi="Courier New"/>
          <w:sz w:val="18"/>
          <w:szCs w:val="18"/>
          <w:color w:val="auto"/>
        </w:rPr>
        <w:t>TELE-COMMUNICATIONS, INC.</w:t>
      </w:r>
    </w:p>
    <w:p>
      <w:pPr>
        <w:jc w:val="center"/>
        <w:ind w:right="229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23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747262 10 3</w:t>
      </w:r>
    </w:p>
    <w:p>
      <w:pPr>
        <w:jc w:val="center"/>
        <w:ind w:right="229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ectPr>
          <w:pgSz w:w="11900" w:h="16857" w:orient="portrait"/>
          <w:cols w:equalWidth="0" w:num="1">
            <w:col w:w="10219"/>
          </w:cols>
          <w:pgMar w:left="240" w:top="852" w:right="1440" w:bottom="0" w:gutter="0" w:footer="0" w:header="0"/>
        </w:sectPr>
      </w:pPr>
    </w:p>
    <w:p>
      <w:pPr>
        <w:spacing w:after="0" w:line="207" w:lineRule="exact"/>
        <w:rPr>
          <w:sz w:val="24"/>
          <w:szCs w:val="24"/>
          <w:color w:val="auto"/>
        </w:rPr>
      </w:pPr>
    </w:p>
    <w:p>
      <w:pPr>
        <w:jc w:val="center"/>
        <w:ind w:left="740" w:right="540"/>
        <w:spacing w:after="0" w:line="237" w:lineRule="auto"/>
        <w:rPr>
          <w:sz w:val="20"/>
          <w:szCs w:val="20"/>
          <w:color w:val="auto"/>
        </w:rPr>
      </w:pPr>
      <w:r>
        <w:rPr>
          <w:rFonts w:ascii="Courier New" w:cs="Courier New" w:eastAsia="Courier New" w:hAnsi="Courier New"/>
          <w:sz w:val="18"/>
          <w:szCs w:val="18"/>
          <w:color w:val="auto"/>
        </w:rPr>
        <w:t>Stanley L. Wang Comcast Corporation 1500 Market Street Philadelphia, PA 19102 (215) 665-1700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Stephen M. Brett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5619 DTC Parkway</w:t>
      </w:r>
    </w:p>
    <w:p>
      <w:pPr>
        <w:ind w:left="320"/>
        <w:spacing w:after="0" w:line="238" w:lineRule="auto"/>
        <w:rPr>
          <w:sz w:val="20"/>
          <w:szCs w:val="20"/>
          <w:color w:val="auto"/>
        </w:rPr>
      </w:pPr>
      <w:r>
        <w:rPr>
          <w:rFonts w:ascii="Courier New" w:cs="Courier New" w:eastAsia="Courier New" w:hAnsi="Courier New"/>
          <w:sz w:val="18"/>
          <w:szCs w:val="18"/>
          <w:color w:val="auto"/>
        </w:rPr>
        <w:t>Englewood, CO 80111</w:t>
      </w:r>
    </w:p>
    <w:p>
      <w:pPr>
        <w:ind w:left="540"/>
        <w:spacing w:after="0"/>
        <w:rPr>
          <w:sz w:val="20"/>
          <w:szCs w:val="20"/>
          <w:color w:val="auto"/>
        </w:rPr>
      </w:pPr>
      <w:r>
        <w:rPr>
          <w:rFonts w:ascii="Courier New" w:cs="Courier New" w:eastAsia="Courier New" w:hAnsi="Courier New"/>
          <w:sz w:val="18"/>
          <w:szCs w:val="18"/>
          <w:color w:val="auto"/>
        </w:rPr>
        <w:t>(303) 267-5500</w:t>
      </w:r>
    </w:p>
    <w:p>
      <w:pPr>
        <w:spacing w:after="0" w:line="200" w:lineRule="exact"/>
        <w:rPr>
          <w:sz w:val="24"/>
          <w:szCs w:val="24"/>
          <w:color w:val="auto"/>
        </w:rPr>
      </w:pPr>
    </w:p>
    <w:p>
      <w:pPr>
        <w:sectPr>
          <w:pgSz w:w="11900" w:h="16857" w:orient="portrait"/>
          <w:cols w:equalWidth="0" w:num="2">
            <w:col w:w="3600" w:space="720"/>
            <w:col w:w="5899"/>
          </w:cols>
          <w:pgMar w:left="240" w:top="852" w:right="1440" w:bottom="0" w:gutter="0" w:footer="0" w:header="0"/>
          <w:type w:val="continuous"/>
        </w:sectPr>
      </w:pPr>
    </w:p>
    <w:p>
      <w:pPr>
        <w:spacing w:after="0" w:line="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Copies to:</w:t>
      </w:r>
    </w:p>
    <w:p>
      <w:pPr>
        <w:sectPr>
          <w:pgSz w:w="11900" w:h="16857" w:orient="portrait"/>
          <w:cols w:equalWidth="0" w:num="1">
            <w:col w:w="10219"/>
          </w:cols>
          <w:pgMar w:left="240" w:top="852" w:right="1440" w:bottom="0" w:gutter="0" w:footer="0" w:header="0"/>
          <w:type w:val="continuous"/>
        </w:sectPr>
      </w:pP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450 Lexington Avenue</w:t>
      </w:r>
    </w:p>
    <w:p>
      <w:pPr>
        <w:ind w:left="960"/>
        <w:spacing w:after="0" w:line="238" w:lineRule="auto"/>
        <w:rPr>
          <w:sz w:val="20"/>
          <w:szCs w:val="20"/>
          <w:color w:val="auto"/>
        </w:rPr>
      </w:pPr>
      <w:r>
        <w:rPr>
          <w:rFonts w:ascii="Courier New" w:cs="Courier New" w:eastAsia="Courier New" w:hAnsi="Courier New"/>
          <w:sz w:val="18"/>
          <w:szCs w:val="18"/>
          <w:color w:val="auto"/>
        </w:rPr>
        <w:t>New York, NY 10017</w:t>
      </w:r>
    </w:p>
    <w:p>
      <w:pPr>
        <w:ind w:left="116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57" w:orient="portrait"/>
          <w:cols w:equalWidth="0" w:num="2">
            <w:col w:w="3720" w:space="720"/>
            <w:col w:w="5779"/>
          </w:cols>
          <w:pgMar w:left="240" w:top="852" w:right="1440" w:bottom="0" w:gutter="0" w:footer="0" w:header="0"/>
          <w:type w:val="continuous"/>
        </w:sectPr>
      </w:pPr>
    </w:p>
    <w:p>
      <w:pPr>
        <w:spacing w:after="0" w:line="6" w:lineRule="exact"/>
        <w:rPr>
          <w:sz w:val="24"/>
          <w:szCs w:val="24"/>
          <w:color w:val="auto"/>
        </w:rPr>
      </w:pPr>
    </w:p>
    <w:p>
      <w:pPr>
        <w:ind w:left="320" w:right="19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13 to the Schedule 13D filed by Tele-Communications, Inc. and Amendment No. 34 to the Schedule 13D filed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0" w:lineRule="exact"/>
        <w:rPr>
          <w:sz w:val="24"/>
          <w:szCs w:val="24"/>
          <w:color w:val="auto"/>
        </w:rPr>
      </w:pPr>
    </w:p>
    <w:p>
      <w:pPr>
        <w:spacing w:after="0" w:line="387"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w:t>
      </w:r>
    </w:p>
    <w:p>
      <w:pPr>
        <w:spacing w:after="0" w:line="16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4"/>
          <w:szCs w:val="24"/>
          <w:color w:val="auto"/>
        </w:rPr>
      </w:pPr>
    </w:p>
    <w:p>
      <w:pPr>
        <w:ind w:left="1700" w:hanging="428"/>
        <w:spacing w:after="0"/>
        <w:tabs>
          <w:tab w:leader="none" w:pos="17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w:t>
      </w:r>
      <w:r>
        <w:rPr>
          <w:rFonts w:ascii="Courier New" w:cs="Courier New" w:eastAsia="Courier New" w:hAnsi="Courier New"/>
          <w:sz w:val="16"/>
          <w:szCs w:val="16"/>
          <w:color w:val="auto"/>
        </w:rPr>
        <w:t>The information set forth under "Special Factors</w:t>
      </w:r>
    </w:p>
    <w:p>
      <w:pPr>
        <w:spacing w:after="0" w:line="4" w:lineRule="exact"/>
        <w:rPr>
          <w:rFonts w:ascii="Courier New" w:cs="Courier New" w:eastAsia="Courier New" w:hAnsi="Courier New"/>
          <w:sz w:val="18"/>
          <w:szCs w:val="18"/>
          <w:color w:val="auto"/>
        </w:rPr>
      </w:pPr>
    </w:p>
    <w:p>
      <w:pPr>
        <w:ind w:right="209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Financing of the Transaction" in the Offer to Purchase is hereby amended and supplemented to include the information set forth under Item 10 of this Amendment.</w:t>
      </w:r>
    </w:p>
    <w:p>
      <w:pPr>
        <w:spacing w:after="0" w:line="20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4"/>
          <w:szCs w:val="24"/>
          <w:color w:val="auto"/>
        </w:rPr>
      </w:pPr>
    </w:p>
    <w:p>
      <w:pPr>
        <w:jc w:val="both"/>
        <w:ind w:right="2099" w:firstLine="1272"/>
        <w:spacing w:after="0" w:line="279" w:lineRule="auto"/>
        <w:tabs>
          <w:tab w:leader="none" w:pos="16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(f) The information set forth under "Introduction", "The Tender Offer -- 1. Terms of the Tender Offer", "-- 2. Acceptance for Payment and Payment", "-- 3. Procedure for Tendering Shares", "-- 4. Withdrawal</w:t>
      </w:r>
    </w:p>
    <w:p>
      <w:pPr>
        <w:sectPr>
          <w:pgSz w:w="11900" w:h="16857" w:orient="portrait"/>
          <w:cols w:equalWidth="0" w:num="1">
            <w:col w:w="10219"/>
          </w:cols>
          <w:pgMar w:left="240" w:top="852" w:right="1440" w:bottom="0" w:gutter="0" w:footer="0" w:header="0"/>
          <w:type w:val="continuous"/>
        </w:sectPr>
      </w:pPr>
    </w:p>
    <w:bookmarkStart w:id="1" w:name="page2"/>
    <w:bookmarkEnd w:id="1"/>
    <w:p>
      <w:pPr>
        <w:jc w:val="both"/>
        <w:ind w:right="2099"/>
        <w:spacing w:after="0" w:line="236" w:lineRule="auto"/>
        <w:rPr>
          <w:sz w:val="20"/>
          <w:szCs w:val="20"/>
          <w:color w:val="auto"/>
        </w:rPr>
      </w:pPr>
      <w:r>
        <w:rPr>
          <w:rFonts w:ascii="Courier New" w:cs="Courier New" w:eastAsia="Courier New" w:hAnsi="Courier New"/>
          <w:sz w:val="18"/>
          <w:szCs w:val="18"/>
          <w:color w:val="auto"/>
        </w:rPr>
        <w:t>Rights", "-- 10. Certain Conditions of the Offer" and "-- 11. Certain Legal Matters; Regulatory Approvals" in the Offer to Purchase is hereby amended and supplemented to include the following information:</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On December 5, 1994, Comcast and TCI issued a press release in which they announced that (i) the FTC had agreed that the information previously provided by TCI, the Company and Ralph J. Roberts, as the ultimate parent entity of Comcast, to the FTC constituted substantial compliance with the Second Requests and (ii) accordingly, the waiting period under the HSR Act applicable to the purchase of Shares pursuant to the Offer expired at 11:59 P.M., New York City time, on November 25, 1994 and the waiting period under the HSR Act applicable to the acquisition by the Parent Purchasers of the shares of the Purchaser and the Parent Contribution would expire at 11:59 P.M., New York City time, on December 6, 1994.</w:t>
      </w:r>
    </w:p>
    <w:p>
      <w:pPr>
        <w:spacing w:after="0" w:line="215"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However, in order to allow the FTC sufficient time to complete its review and continue discussions with Comcast and TCI relating to the transaction, the Parent Purchasers have agreed to provide ten days' notice to the FTC prior to consummating the Offer, such notice not to be given prior to December 6, 1994. Comcast and TCI have not yet determined when they intend to give such notice. In addition, there can be no assurance as to what action, if any, the FTC intends to take if such notice is given.</w:t>
      </w:r>
    </w:p>
    <w:p>
      <w:pPr>
        <w:spacing w:after="0" w:line="211" w:lineRule="exact"/>
        <w:rPr>
          <w:sz w:val="20"/>
          <w:szCs w:val="20"/>
          <w:color w:val="auto"/>
        </w:rPr>
      </w:pPr>
    </w:p>
    <w:p>
      <w:pPr>
        <w:ind w:right="1999" w:firstLine="1264"/>
        <w:spacing w:after="0" w:line="275" w:lineRule="auto"/>
        <w:rPr>
          <w:sz w:val="20"/>
          <w:szCs w:val="20"/>
          <w:color w:val="auto"/>
        </w:rPr>
      </w:pPr>
      <w:r>
        <w:rPr>
          <w:rFonts w:ascii="Courier New" w:cs="Courier New" w:eastAsia="Courier New" w:hAnsi="Courier New"/>
          <w:sz w:val="16"/>
          <w:szCs w:val="16"/>
          <w:color w:val="auto"/>
        </w:rPr>
        <w:t>As previously disclosed, the Offer continues to be conditioned upon the Purchaser having obtained sufficient financing on terms satisfactory to it to purchase all of the outstanding Shares pursuant to the Offer, and the parties are continuing to pursue arrangements providing for such financing.</w:t>
      </w:r>
    </w:p>
    <w:p>
      <w:pPr>
        <w:spacing w:after="0" w:line="182"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Offer is currently scheduled to expire on December 16, 1994. As a consequence, holders of Shares are entitled to tender or withdraw their Shares pursuant to the Offer until 5:00 P.M., New York City time, on December 16, 1994, unless the Offer is further extended. However, Comcast and TCI currently believe that it is unlikely that all of the conditions to the Offer will be satisfied by December 16, 1994.</w:t>
      </w:r>
    </w:p>
    <w:p>
      <w:pPr>
        <w:spacing w:after="0" w:line="210"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 copy of the press release of Comcast and TCI relating to the foregoing is attached hereto as Exhibit (a)(17) and is hereby incorporated by reference, and the foregoing description is qualified in its entirety by reference to such Exhibit.</w:t>
      </w:r>
    </w:p>
    <w:p>
      <w:pPr>
        <w:sectPr>
          <w:pgSz w:w="11900" w:h="16838" w:orient="portrait"/>
          <w:cols w:equalWidth="0" w:num="1">
            <w:col w:w="10219"/>
          </w:cols>
          <w:pgMar w:left="240" w:top="142" w:right="1440" w:bottom="1440" w:gutter="0" w:footer="0" w:header="0"/>
        </w:sectPr>
      </w:pPr>
    </w:p>
    <w:bookmarkStart w:id="2" w:name="page3"/>
    <w:bookmarkEnd w:id="2"/>
    <w:p>
      <w:pPr>
        <w:ind w:right="1999" w:firstLine="1264"/>
        <w:spacing w:after="0" w:line="237" w:lineRule="auto"/>
        <w:rPr>
          <w:sz w:val="20"/>
          <w:szCs w:val="20"/>
          <w:color w:val="auto"/>
        </w:rPr>
      </w:pPr>
      <w:r>
        <w:rPr>
          <w:rFonts w:ascii="Courier New" w:cs="Courier New" w:eastAsia="Courier New" w:hAnsi="Courier New"/>
          <w:sz w:val="18"/>
          <w:szCs w:val="18"/>
          <w:color w:val="auto"/>
        </w:rPr>
        <w:t>The waiting period under the HSR Act applicable to the purchase of Shares pursuant to the Offer expired at 11:59 P.M., New York City time, on November 25, 1994, and the waiting period under the HSR Act applicable to the acquisition by the Parent Purchasers of the shares of the Purchaser and the Parent Contribution expired at 11:59 P.M., New York City time, on December 6, 1994.</w:t>
      </w:r>
    </w:p>
    <w:p>
      <w:pPr>
        <w:spacing w:after="0" w:line="210"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On November 4, 1994, the FCC granted consent to the transfer of control of the Company's three domestic fixed-satellite earth station licenses from the stockholders of the Company to the Purchaser.</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(a)(17) -- Text of Press Release issued by Comcast and TCI on December 5, 1994.</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7,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Julian A. Brodsky</w:t>
      </w:r>
    </w:p>
    <w:p>
      <w:pPr>
        <w:ind w:left="47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tabs>
          <w:tab w:leader="none" w:pos="4940" w:val="left"/>
          <w:tab w:leader="none" w:pos="54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Name: Julian A. Brodsky</w:t>
      </w:r>
    </w:p>
    <w:p>
      <w:pPr>
        <w:ind w:left="47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Name: Stephen M. Brett</w:t>
      </w:r>
    </w:p>
    <w:p>
      <w:pPr>
        <w:ind w:left="4740"/>
        <w:spacing w:after="0" w:line="237" w:lineRule="auto"/>
        <w:rPr>
          <w:sz w:val="20"/>
          <w:szCs w:val="20"/>
          <w:color w:val="auto"/>
        </w:rPr>
      </w:pPr>
      <w:r>
        <w:rPr>
          <w:rFonts w:ascii="Courier New" w:cs="Courier New" w:eastAsia="Courier New" w:hAnsi="Courier New"/>
          <w:sz w:val="18"/>
          <w:szCs w:val="18"/>
          <w:color w:val="auto"/>
        </w:rPr>
        <w:t>Title: Executive Vice</w:t>
      </w:r>
    </w:p>
    <w:p>
      <w:pPr>
        <w:ind w:left="560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723" w:right="1440" w:bottom="1440" w:gutter="0" w:footer="0" w:header="0"/>
        </w:sectPr>
      </w:pPr>
    </w:p>
    <w:bookmarkStart w:id="3" w:name="page4"/>
    <w:bookmarkEnd w:id="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6" w:lineRule="exact"/>
        <w:rPr>
          <w:sz w:val="20"/>
          <w:szCs w:val="20"/>
          <w:color w:val="auto"/>
        </w:rPr>
      </w:pPr>
    </w:p>
    <w:p>
      <w:pPr>
        <w:sectPr>
          <w:pgSz w:w="11900" w:h="16838" w:orient="portrait"/>
          <w:cols w:equalWidth="0" w:num="3">
            <w:col w:w="1800" w:space="720"/>
            <w:col w:w="3080" w:space="720"/>
            <w:col w:w="3259"/>
          </w:cols>
          <w:pgMar w:left="880" w:top="514"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Text of Press Release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 by Comcast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TCI on December 5,</w:t>
      </w:r>
    </w:p>
    <w:p>
      <w:pPr>
        <w:spacing w:after="0" w:line="238" w:lineRule="auto"/>
        <w:rPr>
          <w:sz w:val="20"/>
          <w:szCs w:val="20"/>
          <w:color w:val="auto"/>
        </w:rPr>
      </w:pPr>
      <w:r>
        <w:rPr>
          <w:rFonts w:ascii="Courier New" w:cs="Courier New" w:eastAsia="Courier New" w:hAnsi="Courier New"/>
          <w:sz w:val="18"/>
          <w:szCs w:val="18"/>
          <w:color w:val="auto"/>
        </w:rPr>
        <w:t>1994.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3">
            <w:col w:w="1180" w:space="720"/>
            <w:col w:w="4340" w:space="720"/>
            <w:col w:w="2619"/>
          </w:cols>
          <w:pgMar w:left="880" w:top="514" w:right="1440" w:bottom="1440" w:gutter="0" w:footer="0" w:header="0"/>
          <w:type w:val="continuous"/>
        </w:sectPr>
      </w:pPr>
    </w:p>
    <w:bookmarkStart w:id="4" w:name="page5"/>
    <w:bookmarkEnd w:id="4"/>
    <w:p>
      <w:pPr>
        <w:jc w:val="right"/>
        <w:ind w:right="1999"/>
        <w:spacing w:after="0"/>
        <w:rPr>
          <w:sz w:val="20"/>
          <w:szCs w:val="20"/>
          <w:color w:val="auto"/>
        </w:rPr>
      </w:pPr>
      <w:r>
        <w:rPr>
          <w:rFonts w:ascii="Courier New" w:cs="Courier New" w:eastAsia="Courier New" w:hAnsi="Courier New"/>
          <w:sz w:val="18"/>
          <w:szCs w:val="18"/>
          <w:color w:val="auto"/>
        </w:rPr>
        <w:t>Exhibit (a)(17)</w:t>
      </w:r>
    </w:p>
    <w:p>
      <w:pPr>
        <w:spacing w:after="0" w:line="200" w:lineRule="exact"/>
        <w:rPr>
          <w:sz w:val="20"/>
          <w:szCs w:val="20"/>
          <w:color w:val="auto"/>
        </w:rPr>
      </w:pPr>
    </w:p>
    <w:p>
      <w:pPr>
        <w:spacing w:after="0" w:line="204"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COMCAST AND LIBERTY MEDIA</w:t>
      </w:r>
    </w:p>
    <w:p>
      <w:pPr>
        <w:ind w:left="2640"/>
        <w:spacing w:after="0" w:line="238" w:lineRule="auto"/>
        <w:rPr>
          <w:sz w:val="20"/>
          <w:szCs w:val="20"/>
          <w:color w:val="auto"/>
        </w:rPr>
      </w:pPr>
      <w:r>
        <w:rPr>
          <w:rFonts w:ascii="Courier New" w:cs="Courier New" w:eastAsia="Courier New" w:hAnsi="Courier New"/>
          <w:sz w:val="18"/>
          <w:szCs w:val="18"/>
          <w:color w:val="auto"/>
        </w:rPr>
        <w:t>AGREE TO GIVE FTC NOTICE</w:t>
      </w:r>
    </w:p>
    <w:p>
      <w:pPr>
        <w:ind w:left="2320"/>
        <w:spacing w:after="0"/>
        <w:rPr>
          <w:sz w:val="20"/>
          <w:szCs w:val="20"/>
          <w:color w:val="auto"/>
        </w:rPr>
      </w:pPr>
      <w:r>
        <w:rPr>
          <w:rFonts w:ascii="Courier New" w:cs="Courier New" w:eastAsia="Courier New" w:hAnsi="Courier New"/>
          <w:sz w:val="18"/>
          <w:szCs w:val="18"/>
          <w:color w:val="auto"/>
        </w:rPr>
        <w:t>BEFORE CLOSING QVC TENDER OFFER</w:t>
      </w:r>
    </w:p>
    <w:p>
      <w:pPr>
        <w:spacing w:after="0" w:line="20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____________________________________</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Philadelphia, PA and Englewood, CO -- December 5, 1994: Comcast Corporation ("Comcast") and Tele-Communications, Inc. ("TCI") announced today that the Federal Trade Commission ("FTC") has agreed that the information previously provided by TCI, QVC, Inc. and Ralph J. Roberts, as the ultimate parent entity of Comcast, to the FTC constituted substantial compliance with second requests for information under the Hart-Scott-Rodino Antitrust Improvements Act (the "HSR Act") relating to the acquisition of QVC, Inc. by Comcast and Liberty Media Corporation, a wholly-owned subsidiary of TCI. Accordingly, the waiting period under the HSR Act applicable to the purchase of shares pursuant to the tender offer for stock of QVC expired at 11:59 P.M., New York City time, on November 25, 1994 and the waiting period under the HSR Act applicable to the acquisition by Comcast and TCI of the shares of the tender offer acquisition vehicle, QVC Programming Holdings, Inc. will expire at 11:59 P.M., New York City time, on December 6, 1994 unless extended by court order or mutual agreement of the applicable parties or earlier terminated.</w:t>
      </w:r>
    </w:p>
    <w:p>
      <w:pPr>
        <w:spacing w:after="0" w:line="184"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However, in order to allow the FTC sufficient time to complete its review and continue discussions with Comcast and TCI relating to the transaction, Comcast and TCI have agreed to provide ten days' notice to the FTC prior to consummating the tender offer, such notice not to be given prior to December 6, 1994. Comcast and TCI have not yet determined when they intend to give such notice. In addition, there can be no assurance as to what action, if any, the FTC intends to take if such notice is given.</w:t>
      </w:r>
    </w:p>
    <w:p>
      <w:pPr>
        <w:spacing w:after="0" w:line="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tender offer continues to be conditioned upon, among other things, obtaining sufficient financing to purchase all of the outstanding shares pursuant to the tender offer, to consummate the second step merger and to pay related fees and expenses, and the parties are continuing to pursue arrangements providing for such financing.</w:t>
      </w:r>
    </w:p>
    <w:p>
      <w:pPr>
        <w:spacing w:after="0" w:line="6"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tender offer is currently scheduled to expire on December 16, 1994. As a consequence, holders of QVC shares are entitled to tender or withdraw their shares pursuant to the tender offer until 5:00 P.M., New York City time, on December 16, 1994, unless the offer is further extended. However, Comcast and TCI currently believe that it is unlikely that all of the conditions to the tender offer will be satisfied by December 16, 1994.</w:t>
      </w:r>
    </w:p>
    <w:p>
      <w:pPr>
        <w:spacing w:after="0" w:line="7" w:lineRule="exact"/>
        <w:rPr>
          <w:sz w:val="20"/>
          <w:szCs w:val="20"/>
          <w:color w:val="auto"/>
        </w:rPr>
      </w:pPr>
    </w:p>
    <w:p>
      <w:pPr>
        <w:ind w:right="1999" w:firstLine="632"/>
        <w:spacing w:after="0" w:line="272" w:lineRule="auto"/>
        <w:rPr>
          <w:sz w:val="20"/>
          <w:szCs w:val="20"/>
          <w:color w:val="auto"/>
        </w:rPr>
      </w:pPr>
      <w:r>
        <w:rPr>
          <w:rFonts w:ascii="Courier New" w:cs="Courier New" w:eastAsia="Courier New" w:hAnsi="Courier New"/>
          <w:sz w:val="16"/>
          <w:szCs w:val="16"/>
          <w:color w:val="auto"/>
        </w:rPr>
        <w:t>Comcast Corporation is principally engaged in the development, management and operation of cable communications networks. After completion of the acquisition of Maclean Hunter's United States cable properties, Comcast's consolidated and prorated affiliated operations will serve approximately 3.3 million cable subscribers, making it the third largest cable operator in the country. Comcast provides cellular telephone services in the</w:t>
      </w:r>
    </w:p>
    <w:p>
      <w:pPr>
        <w:spacing w:after="0" w:line="36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Northeast United States to markets encompassing a population in excess of 7.4 million. Comcast also has investments in cable programming, telecommunications systems, and international cable and telephony franchises.</w:t>
      </w:r>
    </w:p>
    <w:p>
      <w:pPr>
        <w:spacing w:after="0" w:line="1"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symbols CMCSA and CMCSK, respectively.</w:t>
      </w:r>
    </w:p>
    <w:p>
      <w:pPr>
        <w:spacing w:after="0" w:line="6" w:lineRule="exact"/>
        <w:rPr>
          <w:sz w:val="20"/>
          <w:szCs w:val="20"/>
          <w:color w:val="auto"/>
        </w:rPr>
      </w:pPr>
    </w:p>
    <w:p>
      <w:pPr>
        <w:ind w:right="1999" w:firstLine="632"/>
        <w:spacing w:after="0" w:line="268" w:lineRule="auto"/>
        <w:rPr>
          <w:sz w:val="20"/>
          <w:szCs w:val="20"/>
          <w:color w:val="auto"/>
        </w:rPr>
      </w:pPr>
      <w:r>
        <w:rPr>
          <w:rFonts w:ascii="Courier New" w:cs="Courier New" w:eastAsia="Courier New" w:hAnsi="Courier New"/>
          <w:sz w:val="16"/>
          <w:szCs w:val="16"/>
          <w:color w:val="auto"/>
        </w:rPr>
        <w:t>Liberty is a wholly-owned subsidiary of Tele-Communications, Inc. TCI is the United States' largest cable television operator, serving 10.9 million customers in 48 states, Puerto Rico and the District of Columbia. The company also holds interests in several national cable programming networks.</w:t>
      </w:r>
    </w:p>
    <w:p>
      <w:pPr>
        <w:spacing w:after="0" w:line="1"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Tele-Communications, Inc. is traded in the Nasdaq National Market with Class A and Class B Common Stock and Class B Preferred Stock trading separately under the symbols of TCOMA, TCOMB and TCOMP,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ectPr>
          <w:pgSz w:w="11900" w:h="16838" w:orient="portrait"/>
          <w:cols w:equalWidth="0" w:num="1">
            <w:col w:w="10219"/>
          </w:cols>
          <w:pgMar w:left="240" w:top="541" w:right="1440" w:bottom="0" w:gutter="0" w:footer="0" w:header="0"/>
        </w:sectPr>
      </w:pPr>
    </w:p>
    <w:p>
      <w:pPr>
        <w:spacing w:after="0" w:line="207"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Comcast Corporation - ------------------- William E. Dordelman Assistant Treasurer (215) 981-7550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Kathleen B. Jacoby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 981-7392</w:t>
      </w:r>
    </w:p>
    <w:p>
      <w:pPr>
        <w:spacing w:after="0" w:line="222" w:lineRule="exact"/>
        <w:rPr>
          <w:sz w:val="20"/>
          <w:szCs w:val="20"/>
          <w:color w:val="auto"/>
        </w:rPr>
      </w:pPr>
    </w:p>
    <w:p>
      <w:pPr>
        <w:sectPr>
          <w:pgSz w:w="11900" w:h="16838" w:orient="portrait"/>
          <w:cols w:equalWidth="0" w:num="2">
            <w:col w:w="2220" w:space="320"/>
            <w:col w:w="7679"/>
          </w:cols>
          <w:pgMar w:left="240" w:top="541" w:right="1440" w:bottom="0"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Inc.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2520" w:val="left"/>
        </w:tabs>
        <w:rPr>
          <w:sz w:val="20"/>
          <w:szCs w:val="20"/>
          <w:color w:val="auto"/>
        </w:rPr>
      </w:pPr>
      <w:r>
        <w:rPr>
          <w:rFonts w:ascii="Courier New" w:cs="Courier New" w:eastAsia="Courier New" w:hAnsi="Courier New"/>
          <w:sz w:val="18"/>
          <w:szCs w:val="18"/>
          <w:color w:val="auto"/>
        </w:rPr>
        <w:t>Steve Smith</w:t>
      </w:r>
      <w:r>
        <w:rPr>
          <w:sz w:val="20"/>
          <w:szCs w:val="20"/>
          <w:color w:val="auto"/>
        </w:rPr>
        <w:tab/>
      </w:r>
      <w:r>
        <w:rPr>
          <w:rFonts w:ascii="Courier New" w:cs="Courier New" w:eastAsia="Courier New" w:hAnsi="Courier New"/>
          <w:sz w:val="16"/>
          <w:szCs w:val="16"/>
          <w:color w:val="auto"/>
        </w:rPr>
        <w:t>Vivian Carr</w:t>
      </w:r>
    </w:p>
    <w:p>
      <w:pPr>
        <w:spacing w:after="0"/>
        <w:tabs>
          <w:tab w:leader="none" w:pos="2520" w:val="left"/>
        </w:tabs>
        <w:rPr>
          <w:sz w:val="20"/>
          <w:szCs w:val="20"/>
          <w:color w:val="auto"/>
        </w:rPr>
      </w:pPr>
      <w:r>
        <w:rPr>
          <w:rFonts w:ascii="Courier New" w:cs="Courier New" w:eastAsia="Courier New" w:hAnsi="Courier New"/>
          <w:sz w:val="18"/>
          <w:szCs w:val="18"/>
          <w:color w:val="auto"/>
        </w:rPr>
        <w:t>Investor Relations</w:t>
      </w:r>
      <w:r>
        <w:rPr>
          <w:sz w:val="20"/>
          <w:szCs w:val="20"/>
          <w:color w:val="auto"/>
        </w:rPr>
        <w:tab/>
      </w:r>
      <w:r>
        <w:rPr>
          <w:rFonts w:ascii="Courier New" w:cs="Courier New" w:eastAsia="Courier New" w:hAnsi="Courier New"/>
          <w:sz w:val="16"/>
          <w:szCs w:val="16"/>
          <w:color w:val="auto"/>
        </w:rPr>
        <w:t>Liberty Media</w:t>
      </w:r>
    </w:p>
    <w:p>
      <w:pPr>
        <w:sectPr>
          <w:pgSz w:w="11900" w:h="16838" w:orient="portrait"/>
          <w:cols w:equalWidth="0" w:num="1">
            <w:col w:w="10219"/>
          </w:cols>
          <w:pgMar w:left="240" w:top="541" w:right="1440" w:bottom="0" w:gutter="0" w:footer="0" w:header="0"/>
          <w:type w:val="continuous"/>
        </w:sectPr>
      </w:pPr>
    </w:p>
    <w:bookmarkStart w:id="5" w:name="page6"/>
    <w:bookmarkEnd w:id="5"/>
    <w:p>
      <w:pPr>
        <w:spacing w:after="0"/>
        <w:tabs>
          <w:tab w:leader="none" w:pos="2520" w:val="left"/>
        </w:tabs>
        <w:rPr>
          <w:sz w:val="20"/>
          <w:szCs w:val="20"/>
          <w:color w:val="auto"/>
        </w:rPr>
      </w:pPr>
      <w:r>
        <w:rPr>
          <w:rFonts w:ascii="Courier New" w:cs="Courier New" w:eastAsia="Courier New" w:hAnsi="Courier New"/>
          <w:sz w:val="18"/>
          <w:szCs w:val="18"/>
          <w:color w:val="auto"/>
        </w:rPr>
        <w:t>(303) 267-5048</w:t>
      </w:r>
      <w:r>
        <w:rPr>
          <w:sz w:val="20"/>
          <w:szCs w:val="20"/>
          <w:color w:val="auto"/>
        </w:rPr>
        <w:tab/>
      </w:r>
      <w:r>
        <w:rPr>
          <w:rFonts w:ascii="Courier New" w:cs="Courier New" w:eastAsia="Courier New" w:hAnsi="Courier New"/>
          <w:sz w:val="16"/>
          <w:szCs w:val="16"/>
          <w:color w:val="auto"/>
        </w:rPr>
        <w:t>(303) 721-5406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lowerLetter"/>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2019-12-16T11:16:38Z</dcterms:created>
  <dcterms:modified xsi:type="dcterms:W3CDTF">2019-12-16T11:16:38Z</dcterms:modified>
</cp:coreProperties>
</file>