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November 16, 1999</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earliest event reported)</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COMCAST CORPORATION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218" w:right="1440" w:bottom="1440" w:gutter="0" w:footer="0" w:header="0"/>
        </w:sect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Pennsylvania</w:t>
      </w:r>
    </w:p>
    <w:p>
      <w:pPr>
        <w:spacing w:after="0" w:line="31"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0-6983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23-1709202</w:t>
      </w:r>
    </w:p>
    <w:p>
      <w:pPr>
        <w:spacing w:after="0" w:line="2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2540" w:space="620"/>
            <w:col w:w="2540" w:space="520"/>
            <w:col w:w="3999"/>
          </w:cols>
          <w:pgMar w:left="240" w:top="218" w:right="1440" w:bottom="1440" w:gutter="0" w:footer="0" w:header="0"/>
          <w:type w:val="continuous"/>
        </w:sectPr>
      </w:pPr>
    </w:p>
    <w:p>
      <w:pPr>
        <w:spacing w:after="0" w:line="397" w:lineRule="exact"/>
        <w:rPr>
          <w:sz w:val="24"/>
          <w:szCs w:val="24"/>
          <w:color w:val="auto"/>
        </w:rPr>
      </w:pPr>
    </w:p>
    <w:p>
      <w:pPr>
        <w:ind w:right="1280"/>
        <w:spacing w:after="0" w:line="420" w:lineRule="auto"/>
        <w:rPr>
          <w:sz w:val="20"/>
          <w:szCs w:val="20"/>
          <w:color w:val="auto"/>
        </w:rPr>
      </w:pPr>
      <w:r>
        <w:rPr>
          <w:rFonts w:ascii="Courier New" w:cs="Courier New" w:eastAsia="Courier New" w:hAnsi="Courier New"/>
          <w:sz w:val="16"/>
          <w:szCs w:val="16"/>
          <w:color w:val="auto"/>
        </w:rPr>
        <w:t>1500 Market Street, Philadelphia, Pennsylvania (Address of principal executive offices)</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19102-2148</w:t>
      </w:r>
    </w:p>
    <w:p>
      <w:pPr>
        <w:spacing w:after="0" w:line="3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(Zip Code)</w:t>
      </w:r>
    </w:p>
    <w:p>
      <w:pPr>
        <w:spacing w:after="0" w:line="394" w:lineRule="exact"/>
        <w:rPr>
          <w:sz w:val="24"/>
          <w:szCs w:val="24"/>
          <w:color w:val="auto"/>
        </w:rPr>
      </w:pPr>
    </w:p>
    <w:p>
      <w:pPr>
        <w:sectPr>
          <w:pgSz w:w="11900" w:h="16838" w:orient="portrait"/>
          <w:cols w:equalWidth="0" w:num="2">
            <w:col w:w="6140" w:space="720"/>
            <w:col w:w="3359"/>
          </w:cols>
          <w:pgMar w:left="240" w:top="21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(215) 665-1700</w:t>
      </w:r>
    </w:p>
    <w:p>
      <w:pPr>
        <w:spacing w:after="0" w:line="200" w:lineRule="exact"/>
        <w:rPr>
          <w:sz w:val="24"/>
          <w:szCs w:val="24"/>
          <w:color w:val="auto"/>
        </w:rPr>
      </w:pPr>
    </w:p>
    <w:p>
      <w:pPr>
        <w:sectPr>
          <w:pgSz w:w="11900" w:h="16838" w:orient="portrait"/>
          <w:cols w:equalWidth="0" w:num="2">
            <w:col w:w="5600" w:space="720"/>
            <w:col w:w="3899"/>
          </w:cols>
          <w:pgMar w:left="240" w:top="218"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jc w:val="both"/>
        <w:ind w:right="1779" w:firstLine="1159"/>
        <w:spacing w:after="0" w:line="260" w:lineRule="auto"/>
        <w:rPr>
          <w:sz w:val="20"/>
          <w:szCs w:val="20"/>
          <w:color w:val="auto"/>
        </w:rPr>
      </w:pPr>
      <w:r>
        <w:rPr>
          <w:rFonts w:ascii="Courier New" w:cs="Courier New" w:eastAsia="Courier New" w:hAnsi="Courier New"/>
          <w:sz w:val="18"/>
          <w:szCs w:val="18"/>
          <w:color w:val="auto"/>
        </w:rPr>
        <w:t>On November 16, 1999, Comcast Corporation ("Comcast"), announced an agreement to swap certain cable systems with Time Warner Cable, a division of Time Warner Entertainment Company, L.P. A press release announcing the agreement was issued by Comcast on November 16, 1999. The information contained in the press release is incorporated herein by reference. The press release is attached hereto as Exhibit 99.1.</w:t>
      </w:r>
    </w:p>
    <w:p>
      <w:pPr>
        <w:spacing w:after="0" w:line="9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November 16, 1999.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Registrant has duly caused this Report to be signed on its behalf by the undersigned, thereunto duly authorized.</w:t>
      </w:r>
    </w:p>
    <w:p>
      <w:pPr>
        <w:spacing w:after="0" w:line="6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tabs>
          <w:tab w:leader="none" w:pos="51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Joseph J. Euteneuer</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Joseph J. Euteneuer</w:t>
      </w:r>
    </w:p>
    <w:p>
      <w:pPr>
        <w:ind w:left="4640"/>
        <w:spacing w:after="0" w:line="238" w:lineRule="auto"/>
        <w:rPr>
          <w:sz w:val="20"/>
          <w:szCs w:val="20"/>
          <w:color w:val="auto"/>
        </w:rPr>
      </w:pPr>
      <w:r>
        <w:rPr>
          <w:rFonts w:ascii="Courier New" w:cs="Courier New" w:eastAsia="Courier New" w:hAnsi="Courier New"/>
          <w:sz w:val="18"/>
          <w:szCs w:val="18"/>
          <w:color w:val="auto"/>
        </w:rPr>
        <w:t>Vice President and</w:t>
      </w:r>
    </w:p>
    <w:p>
      <w:pPr>
        <w:ind w:left="4640"/>
        <w:spacing w:after="0"/>
        <w:rPr>
          <w:sz w:val="20"/>
          <w:szCs w:val="20"/>
          <w:color w:val="auto"/>
        </w:rPr>
      </w:pPr>
      <w:r>
        <w:rPr>
          <w:rFonts w:ascii="Courier New" w:cs="Courier New" w:eastAsia="Courier New" w:hAnsi="Courier New"/>
          <w:sz w:val="18"/>
          <w:szCs w:val="18"/>
          <w:color w:val="auto"/>
        </w:rPr>
        <w:t>Corporate Controller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17, 1999</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488"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89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November 16, 1999.</w:t>
      </w:r>
    </w:p>
    <w:p>
      <w:pPr>
        <w:sectPr>
          <w:pgSz w:w="11900" w:h="16838" w:orient="portrait"/>
          <w:cols w:equalWidth="0" w:num="2">
            <w:col w:w="1820" w:space="720"/>
            <w:col w:w="7679"/>
          </w:cols>
          <w:pgMar w:left="240" w:top="893" w:right="1440" w:bottom="1440" w:gutter="0" w:footer="0" w:header="0"/>
          <w:type w:val="continuous"/>
        </w:sectPr>
      </w:pPr>
    </w:p>
    <w:bookmarkStart w:id="3" w:name="page4"/>
    <w:bookmarkEnd w:id="3"/>
    <w:p>
      <w:pPr>
        <w:ind w:left="6440"/>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spacing w:after="0"/>
              <w:rPr>
                <w:sz w:val="20"/>
                <w:szCs w:val="20"/>
                <w:color w:val="auto"/>
              </w:rPr>
            </w:pPr>
            <w:r>
              <w:rPr>
                <w:rFonts w:ascii="Courier New" w:cs="Courier New" w:eastAsia="Courier New" w:hAnsi="Courier New"/>
                <w:sz w:val="18"/>
                <w:szCs w:val="18"/>
                <w:color w:val="auto"/>
              </w:rPr>
              <w:t>Contacts: at Time Warner</w:t>
            </w: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(203)</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328-0613</w:t>
            </w:r>
          </w:p>
        </w:tc>
        <w:tc>
          <w:tcPr>
            <w:tcW w:w="0" w:type="dxa"/>
            <w:vAlign w:val="bottom"/>
          </w:tcPr>
          <w:p>
            <w:pPr>
              <w:spacing w:after="0"/>
              <w:rPr>
                <w:sz w:val="1"/>
                <w:szCs w:val="1"/>
                <w:color w:val="auto"/>
              </w:rPr>
            </w:pPr>
          </w:p>
        </w:tc>
      </w:tr>
      <w:tr>
        <w:trPr>
          <w:trHeight w:val="296"/>
        </w:trPr>
        <w:tc>
          <w:tcPr>
            <w:tcW w:w="6700" w:type="dxa"/>
            <w:vAlign w:val="bottom"/>
          </w:tcPr>
          <w:p>
            <w:pPr>
              <w:spacing w:after="0"/>
              <w:rPr>
                <w:sz w:val="20"/>
                <w:szCs w:val="20"/>
                <w:color w:val="auto"/>
              </w:rPr>
            </w:pPr>
            <w:r>
              <w:rPr>
                <w:rFonts w:ascii="Courier New" w:cs="Courier New" w:eastAsia="Courier New" w:hAnsi="Courier New"/>
                <w:sz w:val="18"/>
                <w:szCs w:val="18"/>
                <w:color w:val="auto"/>
              </w:rPr>
              <w:t>Michael Luftman, Time Warner Cable</w:t>
            </w:r>
          </w:p>
        </w:tc>
        <w:tc>
          <w:tcPr>
            <w:tcW w:w="7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700" w:type="dxa"/>
            <w:vAlign w:val="bottom"/>
          </w:tcPr>
          <w:p>
            <w:pPr>
              <w:spacing w:after="0"/>
              <w:rPr>
                <w:sz w:val="20"/>
                <w:szCs w:val="20"/>
                <w:color w:val="auto"/>
              </w:rPr>
            </w:pPr>
            <w:r>
              <w:rPr>
                <w:rFonts w:ascii="Courier New" w:cs="Courier New" w:eastAsia="Courier New" w:hAnsi="Courier New"/>
                <w:sz w:val="18"/>
                <w:szCs w:val="18"/>
                <w:color w:val="auto"/>
              </w:rPr>
              <w:t>Contacts: at Comcast</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(215)</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981-7613</w:t>
            </w:r>
          </w:p>
        </w:tc>
        <w:tc>
          <w:tcPr>
            <w:tcW w:w="0" w:type="dxa"/>
            <w:vAlign w:val="bottom"/>
          </w:tcPr>
          <w:p>
            <w:pPr>
              <w:spacing w:after="0"/>
              <w:rPr>
                <w:sz w:val="1"/>
                <w:szCs w:val="1"/>
                <w:color w:val="auto"/>
              </w:rPr>
            </w:pP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Sheila Willard, Vice President of Government Affairs</w:t>
            </w:r>
          </w:p>
        </w:tc>
        <w:tc>
          <w:tcPr>
            <w:tcW w:w="7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William Goetz, Regional Senior Vice President Southeast Region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227-1020</w:t>
            </w:r>
          </w:p>
        </w:tc>
        <w:tc>
          <w:tcPr>
            <w:tcW w:w="0" w:type="dxa"/>
            <w:vAlign w:val="bottom"/>
          </w:tcPr>
          <w:p>
            <w:pPr>
              <w:spacing w:after="0"/>
              <w:rPr>
                <w:sz w:val="1"/>
                <w:szCs w:val="1"/>
                <w:color w:val="auto"/>
              </w:rPr>
            </w:pPr>
          </w:p>
        </w:tc>
      </w:tr>
      <w:tr>
        <w:trPr>
          <w:trHeight w:val="296"/>
        </w:trPr>
        <w:tc>
          <w:tcPr>
            <w:tcW w:w="6700" w:type="dxa"/>
            <w:vAlign w:val="bottom"/>
          </w:tcPr>
          <w:p>
            <w:pPr>
              <w:spacing w:after="0"/>
              <w:rPr>
                <w:sz w:val="20"/>
                <w:szCs w:val="20"/>
                <w:color w:val="auto"/>
              </w:rPr>
            </w:pPr>
            <w:r>
              <w:rPr>
                <w:rFonts w:ascii="Courier New" w:cs="Courier New" w:eastAsia="Courier New" w:hAnsi="Courier New"/>
                <w:sz w:val="18"/>
                <w:szCs w:val="18"/>
                <w:color w:val="auto"/>
              </w:rPr>
              <w:t>Diane Dietz, VP of Public Affairs, Midwest Region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(248)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204-6738</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TIME WARNER CABLE AND COMCAST TO SWAP CABLE SYSTEMS</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 INDIANA AND FLORIDA SERVING 253,000 CUSTOMERS</w:t>
      </w:r>
    </w:p>
    <w:p>
      <w:pPr>
        <w:spacing w:after="0" w:line="16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Comcast Corporation and Time Warner Cable announced today that they have agreed to trade Comcast's Lake County and Tallahassee, Florida systems for Time Warner's Indianapolis, Indiana system.</w:t>
      </w:r>
    </w:p>
    <w:p>
      <w:pPr>
        <w:spacing w:after="0" w:line="66" w:lineRule="exact"/>
        <w:rPr>
          <w:sz w:val="20"/>
          <w:szCs w:val="20"/>
          <w:color w:val="auto"/>
        </w:rPr>
      </w:pPr>
    </w:p>
    <w:p>
      <w:pPr>
        <w:jc w:val="both"/>
        <w:ind w:right="1779"/>
        <w:spacing w:after="0" w:line="250" w:lineRule="auto"/>
        <w:rPr>
          <w:sz w:val="20"/>
          <w:szCs w:val="20"/>
          <w:color w:val="auto"/>
        </w:rPr>
      </w:pPr>
      <w:r>
        <w:rPr>
          <w:rFonts w:ascii="Courier New" w:cs="Courier New" w:eastAsia="Courier New" w:hAnsi="Courier New"/>
          <w:sz w:val="18"/>
          <w:szCs w:val="18"/>
          <w:color w:val="auto"/>
        </w:rPr>
        <w:t>Under the agreement, Time Warner will trade its Indianapolis cable system to Comcast, along with smaller systems in Marion and Lizton, Indiana, which together serve a total of 120,000 customers. Comcast currently operates cable systems in the Indianapolis area serving 150,000 subscribers and will serve over 390,000 subscribers in Indiana upon closing of this and certain other pending transactions. In this swap, Time Warner will receive Comcast's Tallahassee system, which serves 76,000 customers and its Lake County system near Orlando, which has 57,000 customers. Time Warner's Orlando division presently serves 650,000 subscribers and its Florida operations serve more than 1.5 million people.</w:t>
      </w:r>
    </w:p>
    <w:p>
      <w:pPr>
        <w:spacing w:after="0" w:line="104"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system swaps are subject to customary closing and regulatory approvals and are expected to close by mid-2000.</w:t>
      </w:r>
    </w:p>
    <w:p>
      <w:pPr>
        <w:spacing w:after="0" w:line="18"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"Continuing to enhance our already well-clustered operations in key states like Florida is a priority for Time Warner Cable," said Glenn A. Britt, the company's president. "We are pleased we've been able to accomplish this important transaction with Comcast and are confident our customers in Indianapolis will continue to receive the highest levels of customer service."</w:t>
      </w:r>
    </w:p>
    <w:p>
      <w:pPr>
        <w:spacing w:after="0" w:line="90"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"We are excited to strengthen our Indianapolis presence through this transaction," said Stephen B. Burke, president of Comcast Cable Communications, Inc. "We have served Indianapolis County for over 12 years and we look forward to expanding our digital cable, high-speed Internet services and other emerging new services throughout the City. While it is always disappointing to leave any community, we know that our Tallahassee and Lake County customers will be in good hands with Time Warner."</w:t>
      </w:r>
    </w:p>
    <w:p>
      <w:pPr>
        <w:spacing w:after="0" w:line="98" w:lineRule="exact"/>
        <w:rPr>
          <w:sz w:val="20"/>
          <w:szCs w:val="20"/>
          <w:color w:val="auto"/>
        </w:rPr>
      </w:pPr>
    </w:p>
    <w:p>
      <w:pPr>
        <w:jc w:val="both"/>
        <w:ind w:right="1779" w:firstLine="105"/>
        <w:spacing w:after="0" w:line="265" w:lineRule="auto"/>
        <w:rPr>
          <w:sz w:val="20"/>
          <w:szCs w:val="20"/>
          <w:color w:val="auto"/>
        </w:rPr>
      </w:pPr>
      <w:r>
        <w:rPr>
          <w:rFonts w:ascii="Courier New" w:cs="Courier New" w:eastAsia="Courier New" w:hAnsi="Courier New"/>
          <w:sz w:val="18"/>
          <w:szCs w:val="18"/>
          <w:color w:val="auto"/>
        </w:rPr>
        <w:t>Comcast Corporation (www.comcast.com) is principally engaged in the development, management and operation of broadband cable networks and in the provision of content through principal ownership of QVC, Comcast-Spectacor and Comcast SportsNet, a controlling interest in E! Entertainment Television and through other programming investments.</w:t>
      </w:r>
    </w:p>
    <w:p>
      <w:pPr>
        <w:spacing w:after="0" w:line="90"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Comcast's Class A Special Common Stock and Class A Common Stock are traded on The Nasdaq Stock Market under the symbols CMCSK and CMCSA, respectively.</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2020-02-22T16:30:45Z</dcterms:created>
  <dcterms:modified xsi:type="dcterms:W3CDTF">2020-02-22T16:30:45Z</dcterms:modified>
</cp:coreProperties>
</file>