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3,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tcPr>
          <w:p>
            <w:pPr>
              <w:ind w:left="1460"/>
              <w:spacing w:after="0"/>
              <w:rPr>
                <w:sz w:val="20"/>
                <w:szCs w:val="20"/>
                <w:color w:val="auto"/>
              </w:rPr>
            </w:pPr>
            <w:r>
              <w:rPr>
                <w:rFonts w:ascii="Arial" w:cs="Arial" w:eastAsia="Arial" w:hAnsi="Arial"/>
                <w:sz w:val="18"/>
                <w:szCs w:val="18"/>
                <w:b w:val="1"/>
                <w:bCs w:val="1"/>
                <w:color w:val="auto"/>
              </w:rPr>
              <w:t>Final Term Sheet</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Corporation</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Cable Holdings, LLC</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MO Group, Inc.</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Comcast MO of Delaware, LLC</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7820" w:type="dxa"/>
            <w:vAlign w:val="bottom"/>
          </w:tcPr>
          <w:p>
            <w:pPr>
              <w:ind w:left="1320"/>
              <w:spacing w:after="0"/>
              <w:rPr>
                <w:sz w:val="20"/>
                <w:szCs w:val="20"/>
                <w:color w:val="auto"/>
              </w:rPr>
            </w:pPr>
            <w:r>
              <w:rPr>
                <w:rFonts w:ascii="Arial" w:cs="Arial" w:eastAsia="Arial" w:hAnsi="Arial"/>
                <w:sz w:val="18"/>
                <w:szCs w:val="18"/>
                <w:color w:val="auto"/>
              </w:rPr>
              <w:t>Moody’s: Baa2; S&amp;P: BBB+; Fitch: BBB+</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7820" w:type="dxa"/>
            <w:vAlign w:val="bottom"/>
          </w:tcPr>
          <w:p>
            <w:pPr>
              <w:ind w:left="1320"/>
              <w:spacing w:after="0"/>
              <w:rPr>
                <w:sz w:val="20"/>
                <w:szCs w:val="20"/>
                <w:color w:val="auto"/>
              </w:rPr>
            </w:pPr>
            <w:r>
              <w:rPr>
                <w:rFonts w:ascii="Arial" w:cs="Arial" w:eastAsia="Arial" w:hAnsi="Arial"/>
                <w:sz w:val="18"/>
                <w:szCs w:val="18"/>
                <w:color w:val="auto"/>
              </w:rPr>
              <w:t>7.00% Notes due 2055</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7820" w:type="dxa"/>
            <w:vAlign w:val="bottom"/>
          </w:tcPr>
          <w:p>
            <w:pPr>
              <w:ind w:left="1320"/>
              <w:spacing w:after="0"/>
              <w:rPr>
                <w:sz w:val="20"/>
                <w:szCs w:val="20"/>
                <w:color w:val="auto"/>
              </w:rPr>
            </w:pPr>
            <w:r>
              <w:rPr>
                <w:rFonts w:ascii="Arial" w:cs="Arial" w:eastAsia="Arial" w:hAnsi="Arial"/>
                <w:sz w:val="18"/>
                <w:szCs w:val="18"/>
                <w:color w:val="auto"/>
              </w:rPr>
              <w:t>$25.00 (each $25.00 principal amount “a note”)</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Aggregate Principal Amount:</w:t>
            </w:r>
          </w:p>
        </w:tc>
        <w:tc>
          <w:tcPr>
            <w:tcW w:w="7820" w:type="dxa"/>
            <w:vAlign w:val="bottom"/>
          </w:tcPr>
          <w:p>
            <w:pPr>
              <w:ind w:left="1320"/>
              <w:spacing w:after="0"/>
              <w:rPr>
                <w:sz w:val="20"/>
                <w:szCs w:val="20"/>
                <w:color w:val="auto"/>
              </w:rPr>
            </w:pPr>
            <w:r>
              <w:rPr>
                <w:rFonts w:ascii="Arial" w:cs="Arial" w:eastAsia="Arial" w:hAnsi="Arial"/>
                <w:sz w:val="18"/>
                <w:szCs w:val="18"/>
                <w:color w:val="auto"/>
              </w:rPr>
              <w:t>$300,000,000 (12,000,000 notes)</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7820" w:type="dxa"/>
            <w:vAlign w:val="bottom"/>
          </w:tcPr>
          <w:p>
            <w:pPr>
              <w:ind w:left="1320"/>
              <w:spacing w:after="0"/>
              <w:rPr>
                <w:sz w:val="20"/>
                <w:szCs w:val="20"/>
                <w:color w:val="auto"/>
              </w:rPr>
            </w:pPr>
            <w:r>
              <w:rPr>
                <w:rFonts w:ascii="Arial" w:cs="Arial" w:eastAsia="Arial" w:hAnsi="Arial"/>
                <w:sz w:val="18"/>
                <w:szCs w:val="18"/>
                <w:color w:val="auto"/>
              </w:rPr>
              <w:t>1,800,000 notes</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7820" w:type="dxa"/>
            <w:vAlign w:val="bottom"/>
          </w:tcPr>
          <w:p>
            <w:pPr>
              <w:ind w:left="1320"/>
              <w:spacing w:after="0"/>
              <w:rPr>
                <w:sz w:val="20"/>
                <w:szCs w:val="20"/>
                <w:color w:val="auto"/>
              </w:rPr>
            </w:pPr>
            <w:r>
              <w:rPr>
                <w:rFonts w:ascii="Arial" w:cs="Arial" w:eastAsia="Arial" w:hAnsi="Arial"/>
                <w:sz w:val="18"/>
                <w:szCs w:val="18"/>
                <w:color w:val="auto"/>
              </w:rPr>
              <w:t>7.00% per annum, accruing from May 10, 2006</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7820" w:type="dxa"/>
            <w:vAlign w:val="bottom"/>
          </w:tcPr>
          <w:p>
            <w:pPr>
              <w:ind w:left="1320"/>
              <w:spacing w:after="0"/>
              <w:rPr>
                <w:sz w:val="20"/>
                <w:szCs w:val="20"/>
                <w:color w:val="auto"/>
              </w:rPr>
            </w:pPr>
            <w:r>
              <w:rPr>
                <w:rFonts w:ascii="Arial" w:cs="Arial" w:eastAsia="Arial" w:hAnsi="Arial"/>
                <w:sz w:val="18"/>
                <w:szCs w:val="18"/>
                <w:color w:val="auto"/>
              </w:rPr>
              <w:t>Quarterly on May 15, August 15, November 15 and February 15, beginning on</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August 15, 2006</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7820" w:type="dxa"/>
            <w:vAlign w:val="bottom"/>
          </w:tcPr>
          <w:p>
            <w:pPr>
              <w:ind w:left="1320"/>
              <w:spacing w:after="0"/>
              <w:rPr>
                <w:sz w:val="20"/>
                <w:szCs w:val="20"/>
                <w:color w:val="auto"/>
              </w:rPr>
            </w:pPr>
            <w:r>
              <w:rPr>
                <w:rFonts w:ascii="Arial" w:cs="Arial" w:eastAsia="Arial" w:hAnsi="Arial"/>
                <w:sz w:val="18"/>
                <w:szCs w:val="18"/>
                <w:color w:val="auto"/>
              </w:rPr>
              <w:t>May 15, 2055</w:t>
            </w:r>
          </w:p>
        </w:tc>
      </w:tr>
      <w:tr>
        <w:trPr>
          <w:trHeight w:val="418"/>
        </w:trPr>
        <w:tc>
          <w:tcPr>
            <w:tcW w:w="360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7820" w:type="dxa"/>
            <w:vAlign w:val="bottom"/>
          </w:tcPr>
          <w:p>
            <w:pPr>
              <w:ind w:left="1320"/>
              <w:spacing w:after="0"/>
              <w:rPr>
                <w:sz w:val="20"/>
                <w:szCs w:val="20"/>
                <w:color w:val="auto"/>
              </w:rPr>
            </w:pPr>
            <w:r>
              <w:rPr>
                <w:rFonts w:ascii="Arial" w:cs="Arial" w:eastAsia="Arial" w:hAnsi="Arial"/>
                <w:sz w:val="18"/>
                <w:szCs w:val="18"/>
                <w:color w:val="auto"/>
                <w:w w:val="91"/>
              </w:rPr>
              <w:t>Comcast may redeem the notes, in whole or in part, at any time on or after May 15, 2011</w:t>
            </w:r>
          </w:p>
        </w:tc>
      </w:tr>
      <w:tr>
        <w:trPr>
          <w:trHeight w:val="216"/>
        </w:trPr>
        <w:tc>
          <w:tcPr>
            <w:tcW w:w="3600" w:type="dxa"/>
            <w:vAlign w:val="bottom"/>
          </w:tcPr>
          <w:p>
            <w:pPr>
              <w:spacing w:after="0"/>
              <w:rPr>
                <w:sz w:val="18"/>
                <w:szCs w:val="18"/>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w w:val="91"/>
              </w:rPr>
              <w:t>at a redemption price equal to 100% of the principal amount redeemed plus accrued and</w:t>
            </w:r>
          </w:p>
        </w:tc>
      </w:tr>
      <w:tr>
        <w:trPr>
          <w:trHeight w:val="230"/>
        </w:trPr>
        <w:tc>
          <w:tcPr>
            <w:tcW w:w="3600" w:type="dxa"/>
            <w:vAlign w:val="bottom"/>
          </w:tcPr>
          <w:p>
            <w:pPr>
              <w:spacing w:after="0"/>
              <w:rPr>
                <w:sz w:val="20"/>
                <w:szCs w:val="20"/>
                <w:color w:val="auto"/>
              </w:rPr>
            </w:pPr>
          </w:p>
        </w:tc>
        <w:tc>
          <w:tcPr>
            <w:tcW w:w="7820" w:type="dxa"/>
            <w:vAlign w:val="bottom"/>
          </w:tcPr>
          <w:p>
            <w:pPr>
              <w:ind w:left="1320"/>
              <w:spacing w:after="0"/>
              <w:rPr>
                <w:sz w:val="20"/>
                <w:szCs w:val="20"/>
                <w:color w:val="auto"/>
              </w:rPr>
            </w:pPr>
            <w:r>
              <w:rPr>
                <w:rFonts w:ascii="Arial" w:cs="Arial" w:eastAsia="Arial" w:hAnsi="Arial"/>
                <w:sz w:val="18"/>
                <w:szCs w:val="18"/>
                <w:color w:val="auto"/>
              </w:rPr>
              <w:t>unpaid interest to the redemption date.</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7820" w:type="dxa"/>
            <w:vAlign w:val="bottom"/>
          </w:tcPr>
          <w:p>
            <w:pPr>
              <w:ind w:left="1320"/>
              <w:spacing w:after="0"/>
              <w:rPr>
                <w:sz w:val="20"/>
                <w:szCs w:val="20"/>
                <w:color w:val="auto"/>
              </w:rPr>
            </w:pPr>
            <w:r>
              <w:rPr>
                <w:rFonts w:ascii="Arial" w:cs="Arial" w:eastAsia="Arial" w:hAnsi="Arial"/>
                <w:sz w:val="18"/>
                <w:szCs w:val="18"/>
                <w:color w:val="auto"/>
              </w:rPr>
              <w:t>May 10, 2006 (T+5)</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7820" w:type="dxa"/>
            <w:vAlign w:val="bottom"/>
          </w:tcPr>
          <w:p>
            <w:pPr>
              <w:ind w:left="1320"/>
              <w:spacing w:after="0"/>
              <w:rPr>
                <w:sz w:val="20"/>
                <w:szCs w:val="20"/>
                <w:color w:val="auto"/>
              </w:rPr>
            </w:pPr>
            <w:r>
              <w:rPr>
                <w:rFonts w:ascii="Arial" w:cs="Arial" w:eastAsia="Arial" w:hAnsi="Arial"/>
                <w:sz w:val="18"/>
                <w:szCs w:val="18"/>
                <w:color w:val="auto"/>
              </w:rPr>
              <w:t>20030N 30 9</w:t>
            </w:r>
          </w:p>
        </w:tc>
      </w:tr>
      <w:tr>
        <w:trPr>
          <w:trHeight w:val="432"/>
        </w:trPr>
        <w:tc>
          <w:tcPr>
            <w:tcW w:w="360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7820" w:type="dxa"/>
            <w:vAlign w:val="bottom"/>
          </w:tcPr>
          <w:p>
            <w:pPr>
              <w:ind w:left="1320"/>
              <w:spacing w:after="0"/>
              <w:rPr>
                <w:sz w:val="20"/>
                <w:szCs w:val="20"/>
                <w:color w:val="auto"/>
              </w:rPr>
            </w:pPr>
            <w:r>
              <w:rPr>
                <w:rFonts w:ascii="Arial" w:cs="Arial" w:eastAsia="Arial" w:hAnsi="Arial"/>
                <w:sz w:val="18"/>
                <w:szCs w:val="18"/>
                <w:color w:val="auto"/>
              </w:rPr>
              <w:t>$25.00 per note; $300,000,000 total (not including over-allotment option)</w:t>
            </w:r>
          </w:p>
        </w:tc>
      </w:tr>
      <w:tr>
        <w:trPr>
          <w:trHeight w:val="632"/>
        </w:trPr>
        <w:tc>
          <w:tcPr>
            <w:tcW w:w="360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$290,567,250.00 total</w:t>
      </w:r>
    </w:p>
    <w:p>
      <w:pPr>
        <w:spacing w:after="0" w:line="200" w:lineRule="exact"/>
        <w:rPr>
          <w:sz w:val="20"/>
          <w:szCs w:val="20"/>
          <w:color w:val="auto"/>
        </w:rPr>
      </w:pPr>
    </w:p>
    <w:p>
      <w:pPr>
        <w:sectPr>
          <w:pgSz w:w="11900" w:h="16838" w:orient="portrait"/>
          <w:cols w:equalWidth="0" w:num="2">
            <w:col w:w="4200" w:space="720"/>
            <w:col w:w="6480"/>
          </w:cols>
          <w:pgMar w:left="240" w:top="1148" w:right="25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Wachovia Capital Markets, LLC</w:t>
      </w:r>
    </w:p>
    <w:p>
      <w:pPr>
        <w:spacing w:after="0" w:line="200" w:lineRule="exact"/>
        <w:rPr>
          <w:sz w:val="20"/>
          <w:szCs w:val="20"/>
          <w:color w:val="auto"/>
        </w:rPr>
      </w:pPr>
    </w:p>
    <w:p>
      <w:pPr>
        <w:sectPr>
          <w:pgSz w:w="11900" w:h="16838" w:orient="portrait"/>
          <w:cols w:equalWidth="0" w:num="2">
            <w:col w:w="4200" w:space="720"/>
            <w:col w:w="6480"/>
          </w:cols>
          <w:pgMar w:left="240" w:top="1148" w:right="25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LaSalle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103" w:lineRule="exact"/>
        <w:rPr>
          <w:sz w:val="20"/>
          <w:szCs w:val="20"/>
          <w:color w:val="auto"/>
        </w:rPr>
      </w:pPr>
    </w:p>
    <w:p>
      <w:pPr>
        <w:sectPr>
          <w:pgSz w:w="11900" w:h="16838" w:orient="portrait"/>
          <w:cols w:equalWidth="0" w:num="2">
            <w:col w:w="4200" w:space="720"/>
            <w:col w:w="6480"/>
          </w:cols>
          <w:pgMar w:left="240" w:top="1148" w:right="259" w:bottom="1440" w:gutter="0" w:footer="0" w:header="0"/>
          <w:type w:val="continuous"/>
        </w:sectPr>
      </w:pPr>
    </w:p>
    <w:p>
      <w:pPr>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Wachovia Capital Markets, LLC toll-free at 1-800-326-5897 or Citigroup Global Markets Inc. toll-free at 1-877-858-5407.</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114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2019-12-12T04:12:20Z</dcterms:created>
  <dcterms:modified xsi:type="dcterms:W3CDTF">2019-12-12T04:12:20Z</dcterms:modified>
</cp:coreProperties>
</file>