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208280</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tbl>
      <w:tblPr>
        <w:tblLayout w:type="fixed"/>
        <w:tblInd w:w="340" w:type="dxa"/>
        <w:tblCellMar>
          <w:top w:w="0" w:type="dxa"/>
          <w:left w:w="0" w:type="dxa"/>
          <w:bottom w:w="0" w:type="dxa"/>
          <w:right w:w="0" w:type="dxa"/>
        </w:tblCellMar>
      </w:tblPr>
      <w:tr>
        <w:trPr>
          <w:trHeight w:val="421"/>
        </w:trPr>
        <w:tc>
          <w:tcPr>
            <w:tcW w:w="3000" w:type="dxa"/>
            <w:vAlign w:val="bottom"/>
          </w:tcPr>
          <w:p>
            <w:pPr>
              <w:spacing w:after="0"/>
              <w:rPr>
                <w:sz w:val="24"/>
                <w:szCs w:val="24"/>
                <w:color w:val="auto"/>
              </w:rPr>
            </w:pPr>
          </w:p>
        </w:tc>
        <w:tc>
          <w:tcPr>
            <w:tcW w:w="7520" w:type="dxa"/>
            <w:vAlign w:val="bottom"/>
          </w:tcPr>
          <w:p>
            <w:pPr>
              <w:jc w:val="center"/>
              <w:ind w:right="2649"/>
              <w:spacing w:after="0"/>
              <w:rPr>
                <w:sz w:val="20"/>
                <w:szCs w:val="20"/>
                <w:color w:val="auto"/>
              </w:rPr>
            </w:pPr>
            <w:r>
              <w:rPr>
                <w:rFonts w:ascii="Arial" w:cs="Arial" w:eastAsia="Arial" w:hAnsi="Arial"/>
                <w:sz w:val="32"/>
                <w:szCs w:val="32"/>
                <w:b w:val="1"/>
                <w:bCs w:val="1"/>
                <w:color w:val="auto"/>
              </w:rPr>
              <w:t>FORM 8-K</w:t>
            </w:r>
          </w:p>
        </w:tc>
      </w:tr>
      <w:tr>
        <w:trPr>
          <w:trHeight w:val="655"/>
        </w:trPr>
        <w:tc>
          <w:tcPr>
            <w:tcW w:w="3000" w:type="dxa"/>
            <w:vAlign w:val="bottom"/>
          </w:tcPr>
          <w:p>
            <w:pPr>
              <w:spacing w:after="0"/>
              <w:rPr>
                <w:sz w:val="24"/>
                <w:szCs w:val="24"/>
                <w:color w:val="auto"/>
              </w:rPr>
            </w:pPr>
          </w:p>
        </w:tc>
        <w:tc>
          <w:tcPr>
            <w:tcW w:w="7520" w:type="dxa"/>
            <w:vAlign w:val="bottom"/>
          </w:tcPr>
          <w:p>
            <w:pPr>
              <w:jc w:val="center"/>
              <w:ind w:right="2649"/>
              <w:spacing w:after="0"/>
              <w:rPr>
                <w:sz w:val="20"/>
                <w:szCs w:val="20"/>
                <w:color w:val="auto"/>
              </w:rPr>
            </w:pPr>
            <w:r>
              <w:rPr>
                <w:rFonts w:ascii="Arial" w:cs="Arial" w:eastAsia="Arial" w:hAnsi="Arial"/>
                <w:sz w:val="29"/>
                <w:szCs w:val="29"/>
                <w:b w:val="1"/>
                <w:bCs w:val="1"/>
                <w:color w:val="auto"/>
                <w:w w:val="99"/>
              </w:rPr>
              <w:t>CURRENT REPORT</w:t>
            </w:r>
          </w:p>
        </w:tc>
      </w:tr>
      <w:tr>
        <w:trPr>
          <w:trHeight w:val="338"/>
        </w:trPr>
        <w:tc>
          <w:tcPr>
            <w:tcW w:w="3000" w:type="dxa"/>
            <w:vAlign w:val="bottom"/>
          </w:tcPr>
          <w:p>
            <w:pPr>
              <w:spacing w:after="0"/>
              <w:rPr>
                <w:sz w:val="24"/>
                <w:szCs w:val="24"/>
                <w:color w:val="auto"/>
              </w:rPr>
            </w:pPr>
          </w:p>
        </w:tc>
        <w:tc>
          <w:tcPr>
            <w:tcW w:w="7520" w:type="dxa"/>
            <w:vAlign w:val="bottom"/>
          </w:tcPr>
          <w:p>
            <w:pPr>
              <w:jc w:val="center"/>
              <w:ind w:right="2649"/>
              <w:spacing w:after="0"/>
              <w:rPr>
                <w:sz w:val="20"/>
                <w:szCs w:val="20"/>
                <w:color w:val="auto"/>
              </w:rPr>
            </w:pPr>
            <w:r>
              <w:rPr>
                <w:rFonts w:ascii="Arial" w:cs="Arial" w:eastAsia="Arial" w:hAnsi="Arial"/>
                <w:sz w:val="29"/>
                <w:szCs w:val="29"/>
                <w:b w:val="1"/>
                <w:bCs w:val="1"/>
                <w:color w:val="auto"/>
                <w:w w:val="89"/>
              </w:rPr>
              <w:t>Pursuant to Section 13 or 15(d) of the</w:t>
            </w:r>
          </w:p>
        </w:tc>
      </w:tr>
      <w:tr>
        <w:trPr>
          <w:trHeight w:val="375"/>
        </w:trPr>
        <w:tc>
          <w:tcPr>
            <w:tcW w:w="3000" w:type="dxa"/>
            <w:vAlign w:val="bottom"/>
          </w:tcPr>
          <w:p>
            <w:pPr>
              <w:spacing w:after="0"/>
              <w:rPr>
                <w:sz w:val="24"/>
                <w:szCs w:val="24"/>
                <w:color w:val="auto"/>
              </w:rPr>
            </w:pPr>
          </w:p>
        </w:tc>
        <w:tc>
          <w:tcPr>
            <w:tcW w:w="7520" w:type="dxa"/>
            <w:vAlign w:val="bottom"/>
          </w:tcPr>
          <w:p>
            <w:pPr>
              <w:jc w:val="center"/>
              <w:ind w:right="2669"/>
              <w:spacing w:after="0"/>
              <w:rPr>
                <w:sz w:val="20"/>
                <w:szCs w:val="20"/>
                <w:color w:val="auto"/>
              </w:rPr>
            </w:pPr>
            <w:r>
              <w:rPr>
                <w:rFonts w:ascii="Arial" w:cs="Arial" w:eastAsia="Arial" w:hAnsi="Arial"/>
                <w:sz w:val="29"/>
                <w:szCs w:val="29"/>
                <w:b w:val="1"/>
                <w:bCs w:val="1"/>
                <w:color w:val="auto"/>
                <w:w w:val="88"/>
              </w:rPr>
              <w:t>Securities Exchange Act of 1934</w:t>
            </w:r>
          </w:p>
        </w:tc>
      </w:tr>
      <w:tr>
        <w:trPr>
          <w:trHeight w:val="643"/>
        </w:trPr>
        <w:tc>
          <w:tcPr>
            <w:tcW w:w="3000" w:type="dxa"/>
            <w:vAlign w:val="bottom"/>
          </w:tcPr>
          <w:p>
            <w:pPr>
              <w:spacing w:after="0"/>
              <w:rPr>
                <w:sz w:val="24"/>
                <w:szCs w:val="24"/>
                <w:color w:val="auto"/>
              </w:rPr>
            </w:pPr>
          </w:p>
        </w:tc>
        <w:tc>
          <w:tcPr>
            <w:tcW w:w="7520" w:type="dxa"/>
            <w:vAlign w:val="bottom"/>
          </w:tcPr>
          <w:p>
            <w:pPr>
              <w:jc w:val="center"/>
              <w:ind w:right="2669"/>
              <w:spacing w:after="0"/>
              <w:rPr>
                <w:sz w:val="20"/>
                <w:szCs w:val="20"/>
                <w:color w:val="auto"/>
              </w:rPr>
            </w:pPr>
            <w:r>
              <w:rPr>
                <w:rFonts w:ascii="Arial" w:cs="Arial" w:eastAsia="Arial" w:hAnsi="Arial"/>
                <w:sz w:val="18"/>
                <w:szCs w:val="18"/>
                <w:color w:val="auto"/>
                <w:w w:val="92"/>
              </w:rPr>
              <w:t>Date of report (Date of earliest event reported): May 21, 2015</w:t>
            </w:r>
          </w:p>
        </w:tc>
      </w:tr>
      <w:tr>
        <w:trPr>
          <w:trHeight w:val="539"/>
        </w:trPr>
        <w:tc>
          <w:tcPr>
            <w:tcW w:w="3000" w:type="dxa"/>
            <w:vAlign w:val="bottom"/>
          </w:tcPr>
          <w:p>
            <w:pPr>
              <w:spacing w:after="0"/>
              <w:rPr>
                <w:sz w:val="24"/>
                <w:szCs w:val="24"/>
                <w:color w:val="auto"/>
              </w:rPr>
            </w:pPr>
          </w:p>
        </w:tc>
        <w:tc>
          <w:tcPr>
            <w:tcW w:w="7520" w:type="dxa"/>
            <w:vAlign w:val="bottom"/>
          </w:tcPr>
          <w:p>
            <w:pPr>
              <w:jc w:val="center"/>
              <w:ind w:right="2649"/>
              <w:spacing w:after="0"/>
              <w:rPr>
                <w:sz w:val="20"/>
                <w:szCs w:val="20"/>
                <w:color w:val="auto"/>
              </w:rPr>
            </w:pPr>
            <w:r>
              <w:rPr>
                <w:rFonts w:ascii="Arial" w:cs="Arial" w:eastAsia="Arial" w:hAnsi="Arial"/>
                <w:sz w:val="29"/>
                <w:szCs w:val="29"/>
                <w:b w:val="1"/>
                <w:bCs w:val="1"/>
                <w:color w:val="auto"/>
                <w:w w:val="90"/>
              </w:rPr>
              <w:t>Comcast Corporation</w:t>
            </w:r>
          </w:p>
        </w:tc>
      </w:tr>
      <w:tr>
        <w:trPr>
          <w:trHeight w:val="216"/>
        </w:trPr>
        <w:tc>
          <w:tcPr>
            <w:tcW w:w="3000" w:type="dxa"/>
            <w:vAlign w:val="bottom"/>
          </w:tcPr>
          <w:p>
            <w:pPr>
              <w:spacing w:after="0"/>
              <w:rPr>
                <w:sz w:val="18"/>
                <w:szCs w:val="18"/>
                <w:color w:val="auto"/>
              </w:rPr>
            </w:pPr>
          </w:p>
        </w:tc>
        <w:tc>
          <w:tcPr>
            <w:tcW w:w="7520" w:type="dxa"/>
            <w:vAlign w:val="bottom"/>
          </w:tcPr>
          <w:p>
            <w:pPr>
              <w:jc w:val="center"/>
              <w:ind w:right="2649"/>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000" w:type="dxa"/>
            <w:vAlign w:val="bottom"/>
          </w:tcPr>
          <w:p>
            <w:pPr>
              <w:spacing w:after="0"/>
              <w:rPr>
                <w:sz w:val="20"/>
                <w:szCs w:val="20"/>
                <w:color w:val="auto"/>
              </w:rPr>
            </w:pPr>
          </w:p>
        </w:tc>
        <w:tc>
          <w:tcPr>
            <w:tcW w:w="7520" w:type="dxa"/>
            <w:vAlign w:val="bottom"/>
          </w:tcPr>
          <w:p>
            <w:pPr>
              <w:jc w:val="center"/>
              <w:ind w:right="2649"/>
              <w:spacing w:after="0"/>
              <w:rPr>
                <w:sz w:val="20"/>
                <w:szCs w:val="20"/>
                <w:color w:val="auto"/>
              </w:rPr>
            </w:pPr>
            <w:r>
              <w:rPr>
                <w:rFonts w:ascii="Arial" w:cs="Arial" w:eastAsia="Arial" w:hAnsi="Arial"/>
                <w:sz w:val="18"/>
                <w:szCs w:val="18"/>
                <w:color w:val="auto"/>
                <w:w w:val="90"/>
              </w:rPr>
              <w:t>as Specified in its Charter)</w:t>
            </w:r>
          </w:p>
        </w:tc>
      </w:tr>
      <w:tr>
        <w:trPr>
          <w:trHeight w:val="418"/>
        </w:trPr>
        <w:tc>
          <w:tcPr>
            <w:tcW w:w="3000" w:type="dxa"/>
            <w:vAlign w:val="bottom"/>
          </w:tcPr>
          <w:p>
            <w:pPr>
              <w:spacing w:after="0"/>
              <w:rPr>
                <w:sz w:val="24"/>
                <w:szCs w:val="24"/>
                <w:color w:val="auto"/>
              </w:rPr>
            </w:pPr>
          </w:p>
        </w:tc>
        <w:tc>
          <w:tcPr>
            <w:tcW w:w="7520" w:type="dxa"/>
            <w:vAlign w:val="bottom"/>
          </w:tcPr>
          <w:p>
            <w:pPr>
              <w:jc w:val="center"/>
              <w:ind w:right="2669"/>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3000" w:type="dxa"/>
            <w:vAlign w:val="bottom"/>
          </w:tcPr>
          <w:p>
            <w:pPr>
              <w:spacing w:after="0"/>
              <w:rPr>
                <w:sz w:val="20"/>
                <w:szCs w:val="20"/>
                <w:color w:val="auto"/>
              </w:rPr>
            </w:pPr>
          </w:p>
        </w:tc>
        <w:tc>
          <w:tcPr>
            <w:tcW w:w="7520" w:type="dxa"/>
            <w:vAlign w:val="bottom"/>
          </w:tcPr>
          <w:p>
            <w:pPr>
              <w:jc w:val="center"/>
              <w:ind w:right="2689"/>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8"/>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7520" w:type="dxa"/>
            <w:vAlign w:val="bottom"/>
          </w:tcPr>
          <w:p>
            <w:pPr>
              <w:jc w:val="center"/>
              <w:ind w:left="4909"/>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7520" w:type="dxa"/>
            <w:vAlign w:val="bottom"/>
          </w:tcPr>
          <w:p>
            <w:pPr>
              <w:jc w:val="center"/>
              <w:ind w:left="4929"/>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7520" w:type="dxa"/>
            <w:vAlign w:val="bottom"/>
          </w:tcPr>
          <w:p>
            <w:pPr>
              <w:spacing w:after="0"/>
              <w:rPr>
                <w:sz w:val="24"/>
                <w:szCs w:val="24"/>
                <w:color w:val="auto"/>
              </w:rPr>
            </w:pPr>
          </w:p>
        </w:tc>
      </w:tr>
      <w:tr>
        <w:trPr>
          <w:trHeight w:val="220"/>
        </w:trPr>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7520" w:type="dxa"/>
            <w:vAlign w:val="bottom"/>
          </w:tcPr>
          <w:p>
            <w:pPr>
              <w:jc w:val="center"/>
              <w:ind w:left="4909"/>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30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7520" w:type="dxa"/>
            <w:vAlign w:val="bottom"/>
          </w:tcPr>
          <w:p>
            <w:pPr>
              <w:jc w:val="center"/>
              <w:ind w:left="4909"/>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14"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324" w:right="77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our annual meeting of shareholders held on May 21, 2015 (the “annual meeting”), our shareholders approved an amendment to our 2006 Cash Bonus Plan, as amended and restated (the “Bonus Plan”), to increase the maximum amount payable to any employee under the Bonus Plan from $12 million to</w:t>
      </w:r>
    </w:p>
    <w:p>
      <w:pPr>
        <w:ind w:right="20"/>
        <w:spacing w:after="0" w:line="253" w:lineRule="auto"/>
        <w:rPr>
          <w:sz w:val="20"/>
          <w:szCs w:val="20"/>
          <w:color w:val="auto"/>
        </w:rPr>
      </w:pPr>
      <w:r>
        <w:rPr>
          <w:rFonts w:ascii="Arial" w:cs="Arial" w:eastAsia="Arial" w:hAnsi="Arial"/>
          <w:sz w:val="18"/>
          <w:szCs w:val="18"/>
          <w:color w:val="auto"/>
        </w:rPr>
        <w:t>$14 million with respect to any calendar year. The amendment to the Bonus Plan had previously been approved on February 17, 2015 by our Compensation Committee, subject to shareholder approval. The purpose of the Bonus Plan is to provide performance-based cash incentive compensation to certain of our management employees. Pursuant to Section 162(m) of the Internal Revenue Code, amounts paid under the Bonus Plan that are based on the achievement of certain quantitative performance goals or other objectively determinable goals may be treated as qualified performance-based compensation and be deductible by us for federal income tax purposes.</w:t>
      </w:r>
    </w:p>
    <w:p>
      <w:pPr>
        <w:spacing w:after="0" w:line="19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above description of the Bonus Plan is qualified in its entirety by reference to the full text of the Bonus Plan, which was filed as Appendix A to our definitive proxy statement, dated April 10, 2015 (the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annual meeting, our shareholders approved, or did not approve, the following proposals. The number of votes cast for and against (or withheld) and the number of abstentions and broker non-votes with respect to each such proposal are set forth below.</w:t>
      </w:r>
    </w:p>
    <w:p>
      <w:pPr>
        <w:spacing w:after="0" w:line="116"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of the director nominees named in the proxy statement were elected to serve as directors for one-year terms.</w:t>
      </w:r>
    </w:p>
    <w:p>
      <w:pPr>
        <w:spacing w:after="0" w:line="154"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2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00" w:type="dxa"/>
            <w:vAlign w:val="bottom"/>
          </w:tcPr>
          <w:p>
            <w:pPr>
              <w:spacing w:after="0"/>
              <w:rPr>
                <w:sz w:val="17"/>
                <w:szCs w:val="17"/>
                <w:color w:val="auto"/>
              </w:rPr>
            </w:pPr>
          </w:p>
        </w:tc>
        <w:tc>
          <w:tcPr>
            <w:tcW w:w="104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For</w:t>
            </w:r>
          </w:p>
        </w:tc>
        <w:tc>
          <w:tcPr>
            <w:tcW w:w="540" w:type="dxa"/>
            <w:vAlign w:val="bottom"/>
          </w:tcPr>
          <w:p>
            <w:pPr>
              <w:spacing w:after="0"/>
              <w:rPr>
                <w:sz w:val="17"/>
                <w:szCs w:val="17"/>
                <w:color w:val="auto"/>
              </w:rPr>
            </w:pPr>
          </w:p>
        </w:tc>
        <w:tc>
          <w:tcPr>
            <w:tcW w:w="1600" w:type="dxa"/>
            <w:vAlign w:val="bottom"/>
            <w:gridSpan w:val="2"/>
          </w:tcPr>
          <w:p>
            <w:pPr>
              <w:jc w:val="right"/>
              <w:ind w:right="940"/>
              <w:spacing w:after="0"/>
              <w:rPr>
                <w:sz w:val="20"/>
                <w:szCs w:val="20"/>
                <w:color w:val="auto"/>
              </w:rPr>
            </w:pPr>
            <w:r>
              <w:rPr>
                <w:rFonts w:ascii="Arial" w:cs="Arial" w:eastAsia="Arial" w:hAnsi="Arial"/>
                <w:sz w:val="18"/>
                <w:szCs w:val="18"/>
                <w:color w:val="auto"/>
                <w:w w:val="91"/>
              </w:rPr>
              <w:t>Withheld</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0"/>
        </w:trPr>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354,998,182</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3,638,903</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354,820,804</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3,816,281</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353,873,837</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4,763,248</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339,639,565</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18,997,520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355,153,039</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3,484,046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Gerald L. Hassell</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341,479,644</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17,157,441</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355,963,609</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2,673,476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Eduardo G. Mestre</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356,478,397</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2,158,688</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351,524,749</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7,112,336</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Ralph J. Roberts</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354,942,335</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3,694,750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Johnathan A. Rodgers</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356,487,806</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2,149,279</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20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340,496,985</w:t>
            </w:r>
          </w:p>
        </w:tc>
        <w:tc>
          <w:tcPr>
            <w:tcW w:w="2140" w:type="dxa"/>
            <w:vAlign w:val="bottom"/>
            <w:gridSpan w:val="3"/>
          </w:tcPr>
          <w:p>
            <w:pPr>
              <w:jc w:val="right"/>
              <w:ind w:right="860"/>
              <w:spacing w:after="0"/>
              <w:rPr>
                <w:sz w:val="20"/>
                <w:szCs w:val="20"/>
                <w:color w:val="auto"/>
              </w:rPr>
            </w:pPr>
            <w:r>
              <w:rPr>
                <w:rFonts w:ascii="Arial" w:cs="Arial" w:eastAsia="Arial" w:hAnsi="Arial"/>
                <w:sz w:val="18"/>
                <w:szCs w:val="18"/>
                <w:color w:val="auto"/>
              </w:rPr>
              <w:t>18,140,100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18,240,754</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(2) The appointment of Deloitte &amp; Touche LLP as our independent auditors for the 2014 fiscal year, as described in the proxy statement, was ratified.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For</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Abstain</w:t>
            </w:r>
          </w:p>
        </w:tc>
        <w:tc>
          <w:tcPr>
            <w:tcW w:w="3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Broker Non-Votes</w:t>
            </w:r>
          </w:p>
        </w:tc>
      </w:tr>
      <w:tr>
        <w:trPr>
          <w:trHeight w:val="224"/>
        </w:trPr>
        <w:tc>
          <w:tcPr>
            <w:tcW w:w="2680" w:type="dxa"/>
            <w:vAlign w:val="bottom"/>
          </w:tcPr>
          <w:p>
            <w:pPr>
              <w:jc w:val="right"/>
              <w:ind w:right="870"/>
              <w:spacing w:after="0"/>
              <w:rPr>
                <w:sz w:val="20"/>
                <w:szCs w:val="20"/>
                <w:color w:val="auto"/>
              </w:rPr>
            </w:pPr>
            <w:r>
              <w:rPr>
                <w:rFonts w:ascii="Arial" w:cs="Arial" w:eastAsia="Arial" w:hAnsi="Arial"/>
                <w:sz w:val="18"/>
                <w:szCs w:val="18"/>
                <w:color w:val="auto"/>
              </w:rPr>
              <w:t>372,711,921</w:t>
            </w:r>
          </w:p>
        </w:tc>
        <w:tc>
          <w:tcPr>
            <w:tcW w:w="2700" w:type="dxa"/>
            <w:vAlign w:val="bottom"/>
          </w:tcPr>
          <w:p>
            <w:pPr>
              <w:jc w:val="right"/>
              <w:ind w:right="930"/>
              <w:spacing w:after="0"/>
              <w:rPr>
                <w:sz w:val="20"/>
                <w:szCs w:val="20"/>
                <w:color w:val="auto"/>
              </w:rPr>
            </w:pPr>
            <w:r>
              <w:rPr>
                <w:rFonts w:ascii="Arial" w:cs="Arial" w:eastAsia="Arial" w:hAnsi="Arial"/>
                <w:sz w:val="18"/>
                <w:szCs w:val="18"/>
                <w:color w:val="auto"/>
              </w:rPr>
              <w:t>2,598,015</w:t>
            </w:r>
          </w:p>
        </w:tc>
        <w:tc>
          <w:tcPr>
            <w:tcW w:w="2760" w:type="dxa"/>
            <w:vAlign w:val="bottom"/>
          </w:tcPr>
          <w:p>
            <w:pPr>
              <w:jc w:val="right"/>
              <w:ind w:right="950"/>
              <w:spacing w:after="0"/>
              <w:rPr>
                <w:sz w:val="20"/>
                <w:szCs w:val="20"/>
                <w:color w:val="auto"/>
              </w:rPr>
            </w:pPr>
            <w:r>
              <w:rPr>
                <w:rFonts w:ascii="Arial" w:cs="Arial" w:eastAsia="Arial" w:hAnsi="Arial"/>
                <w:sz w:val="18"/>
                <w:szCs w:val="18"/>
                <w:color w:val="auto"/>
              </w:rPr>
              <w:t>1,567,903</w:t>
            </w:r>
          </w:p>
        </w:tc>
        <w:tc>
          <w:tcPr>
            <w:tcW w:w="3280" w:type="dxa"/>
            <w:vAlign w:val="bottom"/>
          </w:tcPr>
          <w:p>
            <w:pPr>
              <w:jc w:val="center"/>
              <w:ind w:left="10"/>
              <w:spacing w:after="0"/>
              <w:rPr>
                <w:sz w:val="20"/>
                <w:szCs w:val="20"/>
                <w:color w:val="auto"/>
              </w:rPr>
            </w:pPr>
            <w:r>
              <w:rPr>
                <w:rFonts w:ascii="Arial" w:cs="Arial" w:eastAsia="Arial" w:hAnsi="Arial"/>
                <w:sz w:val="18"/>
                <w:szCs w:val="18"/>
                <w:color w:val="auto"/>
                <w:w w:val="99"/>
              </w:rPr>
              <w:t>N/A</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(3) Our Bonus Plan, as described in the proxy statement, was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For</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Abstain</w:t>
            </w:r>
          </w:p>
        </w:tc>
        <w:tc>
          <w:tcPr>
            <w:tcW w:w="3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Broker Non-Votes</w:t>
            </w:r>
          </w:p>
        </w:tc>
      </w:tr>
      <w:tr>
        <w:trPr>
          <w:trHeight w:val="224"/>
        </w:trPr>
        <w:tc>
          <w:tcPr>
            <w:tcW w:w="2680" w:type="dxa"/>
            <w:vAlign w:val="bottom"/>
          </w:tcPr>
          <w:p>
            <w:pPr>
              <w:jc w:val="right"/>
              <w:ind w:right="870"/>
              <w:spacing w:after="0"/>
              <w:rPr>
                <w:sz w:val="20"/>
                <w:szCs w:val="20"/>
                <w:color w:val="auto"/>
              </w:rPr>
            </w:pPr>
            <w:r>
              <w:rPr>
                <w:rFonts w:ascii="Arial" w:cs="Arial" w:eastAsia="Arial" w:hAnsi="Arial"/>
                <w:sz w:val="18"/>
                <w:szCs w:val="18"/>
                <w:color w:val="auto"/>
              </w:rPr>
              <w:t>350,817,500</w:t>
            </w:r>
          </w:p>
        </w:tc>
        <w:tc>
          <w:tcPr>
            <w:tcW w:w="2700" w:type="dxa"/>
            <w:vAlign w:val="bottom"/>
          </w:tcPr>
          <w:p>
            <w:pPr>
              <w:jc w:val="right"/>
              <w:ind w:right="930"/>
              <w:spacing w:after="0"/>
              <w:rPr>
                <w:sz w:val="20"/>
                <w:szCs w:val="20"/>
                <w:color w:val="auto"/>
              </w:rPr>
            </w:pPr>
            <w:r>
              <w:rPr>
                <w:rFonts w:ascii="Arial" w:cs="Arial" w:eastAsia="Arial" w:hAnsi="Arial"/>
                <w:sz w:val="18"/>
                <w:szCs w:val="18"/>
                <w:color w:val="auto"/>
              </w:rPr>
              <w:t>4,584,453</w:t>
            </w:r>
          </w:p>
        </w:tc>
        <w:tc>
          <w:tcPr>
            <w:tcW w:w="2760" w:type="dxa"/>
            <w:vAlign w:val="bottom"/>
          </w:tcPr>
          <w:p>
            <w:pPr>
              <w:jc w:val="right"/>
              <w:ind w:right="950"/>
              <w:spacing w:after="0"/>
              <w:rPr>
                <w:sz w:val="20"/>
                <w:szCs w:val="20"/>
                <w:color w:val="auto"/>
              </w:rPr>
            </w:pPr>
            <w:r>
              <w:rPr>
                <w:rFonts w:ascii="Arial" w:cs="Arial" w:eastAsia="Arial" w:hAnsi="Arial"/>
                <w:sz w:val="18"/>
                <w:szCs w:val="18"/>
                <w:color w:val="auto"/>
              </w:rPr>
              <w:t>3,235,133</w:t>
            </w:r>
          </w:p>
        </w:tc>
        <w:tc>
          <w:tcPr>
            <w:tcW w:w="3280" w:type="dxa"/>
            <w:vAlign w:val="bottom"/>
          </w:tcPr>
          <w:p>
            <w:pPr>
              <w:jc w:val="right"/>
              <w:ind w:right="1090"/>
              <w:spacing w:after="0"/>
              <w:rPr>
                <w:sz w:val="20"/>
                <w:szCs w:val="20"/>
                <w:color w:val="auto"/>
              </w:rPr>
            </w:pPr>
            <w:r>
              <w:rPr>
                <w:rFonts w:ascii="Arial" w:cs="Arial" w:eastAsia="Arial" w:hAnsi="Arial"/>
                <w:sz w:val="18"/>
                <w:szCs w:val="18"/>
                <w:color w:val="auto"/>
              </w:rPr>
              <w:t>18,240,754</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(4) A shareholder proposal to prepare an annual report on lobbying activities, as described in the proxy statement, was not approved.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For</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Abstain</w:t>
            </w: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24"/>
        </w:trPr>
        <w:tc>
          <w:tcPr>
            <w:tcW w:w="2620" w:type="dxa"/>
            <w:vAlign w:val="bottom"/>
          </w:tcPr>
          <w:p>
            <w:pPr>
              <w:jc w:val="right"/>
              <w:ind w:right="870"/>
              <w:spacing w:after="0"/>
              <w:rPr>
                <w:sz w:val="20"/>
                <w:szCs w:val="20"/>
                <w:color w:val="auto"/>
              </w:rPr>
            </w:pPr>
            <w:r>
              <w:rPr>
                <w:rFonts w:ascii="Arial" w:cs="Arial" w:eastAsia="Arial" w:hAnsi="Arial"/>
                <w:sz w:val="18"/>
                <w:szCs w:val="18"/>
                <w:color w:val="auto"/>
              </w:rPr>
              <w:t>53,664,800</w:t>
            </w:r>
          </w:p>
        </w:tc>
        <w:tc>
          <w:tcPr>
            <w:tcW w:w="2780" w:type="dxa"/>
            <w:vAlign w:val="bottom"/>
          </w:tcPr>
          <w:p>
            <w:pPr>
              <w:jc w:val="right"/>
              <w:ind w:right="850"/>
              <w:spacing w:after="0"/>
              <w:rPr>
                <w:sz w:val="20"/>
                <w:szCs w:val="20"/>
                <w:color w:val="auto"/>
              </w:rPr>
            </w:pPr>
            <w:r>
              <w:rPr>
                <w:rFonts w:ascii="Arial" w:cs="Arial" w:eastAsia="Arial" w:hAnsi="Arial"/>
                <w:sz w:val="18"/>
                <w:szCs w:val="18"/>
                <w:color w:val="auto"/>
              </w:rPr>
              <w:t>287,517,275</w:t>
            </w:r>
          </w:p>
        </w:tc>
        <w:tc>
          <w:tcPr>
            <w:tcW w:w="2760" w:type="dxa"/>
            <w:vAlign w:val="bottom"/>
          </w:tcPr>
          <w:p>
            <w:pPr>
              <w:jc w:val="right"/>
              <w:ind w:right="910"/>
              <w:spacing w:after="0"/>
              <w:rPr>
                <w:sz w:val="20"/>
                <w:szCs w:val="20"/>
                <w:color w:val="auto"/>
              </w:rPr>
            </w:pPr>
            <w:r>
              <w:rPr>
                <w:rFonts w:ascii="Arial" w:cs="Arial" w:eastAsia="Arial" w:hAnsi="Arial"/>
                <w:sz w:val="18"/>
                <w:szCs w:val="18"/>
                <w:color w:val="auto"/>
              </w:rPr>
              <w:t>17,455,010</w:t>
            </w:r>
          </w:p>
        </w:tc>
        <w:tc>
          <w:tcPr>
            <w:tcW w:w="3260" w:type="dxa"/>
            <w:vAlign w:val="bottom"/>
          </w:tcPr>
          <w:p>
            <w:pPr>
              <w:jc w:val="right"/>
              <w:ind w:right="1090"/>
              <w:spacing w:after="0"/>
              <w:rPr>
                <w:sz w:val="20"/>
                <w:szCs w:val="20"/>
                <w:color w:val="auto"/>
              </w:rPr>
            </w:pPr>
            <w:r>
              <w:rPr>
                <w:rFonts w:ascii="Arial" w:cs="Arial" w:eastAsia="Arial" w:hAnsi="Arial"/>
                <w:sz w:val="18"/>
                <w:szCs w:val="18"/>
                <w:color w:val="auto"/>
              </w:rPr>
              <w:t>18,240,754</w:t>
            </w:r>
          </w:p>
        </w:tc>
      </w:tr>
      <w:tr>
        <w:trPr>
          <w:trHeight w:val="647"/>
        </w:trPr>
        <w:tc>
          <w:tcPr>
            <w:tcW w:w="26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(5) A shareholder proposal to prohibit accelerated vesting upon a change in control, as described in the proxy statement, was not approved.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For</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Abstain</w:t>
            </w:r>
          </w:p>
        </w:tc>
        <w:tc>
          <w:tcPr>
            <w:tcW w:w="3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Broker Non-Votes</w:t>
            </w:r>
          </w:p>
        </w:tc>
      </w:tr>
      <w:tr>
        <w:trPr>
          <w:trHeight w:val="224"/>
        </w:trPr>
        <w:tc>
          <w:tcPr>
            <w:tcW w:w="2620" w:type="dxa"/>
            <w:vAlign w:val="bottom"/>
          </w:tcPr>
          <w:p>
            <w:pPr>
              <w:jc w:val="right"/>
              <w:ind w:right="870"/>
              <w:spacing w:after="0"/>
              <w:rPr>
                <w:sz w:val="20"/>
                <w:szCs w:val="20"/>
                <w:color w:val="auto"/>
              </w:rPr>
            </w:pPr>
            <w:r>
              <w:rPr>
                <w:rFonts w:ascii="Arial" w:cs="Arial" w:eastAsia="Arial" w:hAnsi="Arial"/>
                <w:sz w:val="18"/>
                <w:szCs w:val="18"/>
                <w:color w:val="auto"/>
              </w:rPr>
              <w:t>92,762,141</w:t>
            </w:r>
          </w:p>
        </w:tc>
        <w:tc>
          <w:tcPr>
            <w:tcW w:w="2800" w:type="dxa"/>
            <w:vAlign w:val="bottom"/>
          </w:tcPr>
          <w:p>
            <w:pPr>
              <w:jc w:val="right"/>
              <w:ind w:right="870"/>
              <w:spacing w:after="0"/>
              <w:rPr>
                <w:sz w:val="20"/>
                <w:szCs w:val="20"/>
                <w:color w:val="auto"/>
              </w:rPr>
            </w:pPr>
            <w:r>
              <w:rPr>
                <w:rFonts w:ascii="Arial" w:cs="Arial" w:eastAsia="Arial" w:hAnsi="Arial"/>
                <w:sz w:val="18"/>
                <w:szCs w:val="18"/>
                <w:color w:val="auto"/>
              </w:rPr>
              <w:t>263,967,332</w:t>
            </w:r>
          </w:p>
        </w:tc>
        <w:tc>
          <w:tcPr>
            <w:tcW w:w="2720" w:type="dxa"/>
            <w:vAlign w:val="bottom"/>
          </w:tcPr>
          <w:p>
            <w:pPr>
              <w:jc w:val="right"/>
              <w:ind w:right="950"/>
              <w:spacing w:after="0"/>
              <w:rPr>
                <w:sz w:val="20"/>
                <w:szCs w:val="20"/>
                <w:color w:val="auto"/>
              </w:rPr>
            </w:pPr>
            <w:r>
              <w:rPr>
                <w:rFonts w:ascii="Arial" w:cs="Arial" w:eastAsia="Arial" w:hAnsi="Arial"/>
                <w:sz w:val="18"/>
                <w:szCs w:val="18"/>
                <w:color w:val="auto"/>
              </w:rPr>
              <w:t>1,907,529</w:t>
            </w:r>
          </w:p>
        </w:tc>
        <w:tc>
          <w:tcPr>
            <w:tcW w:w="3280" w:type="dxa"/>
            <w:vAlign w:val="bottom"/>
          </w:tcPr>
          <w:p>
            <w:pPr>
              <w:jc w:val="right"/>
              <w:ind w:right="1090"/>
              <w:spacing w:after="0"/>
              <w:rPr>
                <w:sz w:val="20"/>
                <w:szCs w:val="20"/>
                <w:color w:val="auto"/>
              </w:rPr>
            </w:pPr>
            <w:r>
              <w:rPr>
                <w:rFonts w:ascii="Arial" w:cs="Arial" w:eastAsia="Arial" w:hAnsi="Arial"/>
                <w:sz w:val="18"/>
                <w:szCs w:val="18"/>
                <w:color w:val="auto"/>
              </w:rPr>
              <w:t>18,240,754</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(6) A shareholder proposal to provide each share an equal vote, as described in the proxy statement, was not approved.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0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For</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3"/>
              </w:rPr>
              <w:t>Against</w:t>
            </w:r>
          </w:p>
        </w:tc>
        <w:tc>
          <w:tcPr>
            <w:tcW w:w="31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3"/>
              </w:rPr>
              <w:t>Abstain</w:t>
            </w:r>
          </w:p>
        </w:tc>
        <w:tc>
          <w:tcPr>
            <w:tcW w:w="28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0"/>
              </w:rPr>
              <w:t>Broker Non-Votes</w:t>
            </w:r>
          </w:p>
        </w:tc>
      </w:tr>
      <w:tr>
        <w:trPr>
          <w:trHeight w:val="224"/>
        </w:trPr>
        <w:tc>
          <w:tcPr>
            <w:tcW w:w="20" w:type="dxa"/>
            <w:vAlign w:val="bottom"/>
          </w:tcPr>
          <w:p>
            <w:pPr>
              <w:spacing w:after="0"/>
              <w:rPr>
                <w:sz w:val="19"/>
                <w:szCs w:val="19"/>
                <w:color w:val="auto"/>
              </w:rPr>
            </w:pPr>
          </w:p>
        </w:tc>
        <w:tc>
          <w:tcPr>
            <w:tcW w:w="2440" w:type="dxa"/>
            <w:vAlign w:val="bottom"/>
            <w:gridSpan w:val="3"/>
          </w:tcPr>
          <w:p>
            <w:pPr>
              <w:jc w:val="right"/>
              <w:ind w:right="710"/>
              <w:spacing w:after="0"/>
              <w:rPr>
                <w:sz w:val="20"/>
                <w:szCs w:val="20"/>
                <w:color w:val="auto"/>
              </w:rPr>
            </w:pPr>
            <w:r>
              <w:rPr>
                <w:rFonts w:ascii="Arial" w:cs="Arial" w:eastAsia="Arial" w:hAnsi="Arial"/>
                <w:sz w:val="18"/>
                <w:szCs w:val="18"/>
                <w:color w:val="auto"/>
              </w:rPr>
              <w:t>123,446,126</w:t>
            </w:r>
          </w:p>
        </w:tc>
        <w:tc>
          <w:tcPr>
            <w:tcW w:w="540" w:type="dxa"/>
            <w:vAlign w:val="bottom"/>
          </w:tcPr>
          <w:p>
            <w:pPr>
              <w:spacing w:after="0"/>
              <w:rPr>
                <w:sz w:val="19"/>
                <w:szCs w:val="19"/>
                <w:color w:val="auto"/>
              </w:rPr>
            </w:pPr>
          </w:p>
        </w:tc>
        <w:tc>
          <w:tcPr>
            <w:tcW w:w="2420" w:type="dxa"/>
            <w:vAlign w:val="bottom"/>
          </w:tcPr>
          <w:p>
            <w:pPr>
              <w:jc w:val="right"/>
              <w:ind w:right="870"/>
              <w:spacing w:after="0"/>
              <w:rPr>
                <w:sz w:val="20"/>
                <w:szCs w:val="20"/>
                <w:color w:val="auto"/>
              </w:rPr>
            </w:pPr>
            <w:r>
              <w:rPr>
                <w:rFonts w:ascii="Arial" w:cs="Arial" w:eastAsia="Arial" w:hAnsi="Arial"/>
                <w:sz w:val="18"/>
                <w:szCs w:val="18"/>
                <w:color w:val="auto"/>
              </w:rPr>
              <w:t>233,831,459</w:t>
            </w:r>
          </w:p>
        </w:tc>
        <w:tc>
          <w:tcPr>
            <w:tcW w:w="3180" w:type="dxa"/>
            <w:vAlign w:val="bottom"/>
          </w:tcPr>
          <w:p>
            <w:pPr>
              <w:jc w:val="right"/>
              <w:ind w:right="1410"/>
              <w:spacing w:after="0"/>
              <w:rPr>
                <w:sz w:val="20"/>
                <w:szCs w:val="20"/>
                <w:color w:val="auto"/>
              </w:rPr>
            </w:pPr>
            <w:r>
              <w:rPr>
                <w:rFonts w:ascii="Arial" w:cs="Arial" w:eastAsia="Arial" w:hAnsi="Arial"/>
                <w:sz w:val="18"/>
                <w:szCs w:val="18"/>
                <w:color w:val="auto"/>
              </w:rPr>
              <w:t>1,359,500</w:t>
            </w:r>
          </w:p>
        </w:tc>
        <w:tc>
          <w:tcPr>
            <w:tcW w:w="2820" w:type="dxa"/>
            <w:vAlign w:val="bottom"/>
          </w:tcPr>
          <w:p>
            <w:pPr>
              <w:jc w:val="right"/>
              <w:ind w:right="1090"/>
              <w:spacing w:after="0"/>
              <w:rPr>
                <w:sz w:val="20"/>
                <w:szCs w:val="20"/>
                <w:color w:val="auto"/>
              </w:rPr>
            </w:pPr>
            <w:r>
              <w:rPr>
                <w:rFonts w:ascii="Arial" w:cs="Arial" w:eastAsia="Arial" w:hAnsi="Arial"/>
                <w:sz w:val="18"/>
                <w:szCs w:val="18"/>
                <w:color w:val="auto"/>
              </w:rPr>
              <w:t>18,240,754</w:t>
            </w:r>
          </w:p>
        </w:tc>
      </w:tr>
      <w:tr>
        <w:trPr>
          <w:trHeight w:val="364"/>
        </w:trPr>
        <w:tc>
          <w:tcPr>
            <w:tcW w:w="3000" w:type="dxa"/>
            <w:vAlign w:val="bottom"/>
            <w:gridSpan w:val="5"/>
          </w:tcPr>
          <w:p>
            <w:pPr>
              <w:spacing w:after="0"/>
              <w:rPr>
                <w:sz w:val="20"/>
                <w:szCs w:val="20"/>
                <w:color w:val="auto"/>
              </w:rPr>
            </w:pPr>
            <w:r>
              <w:rPr>
                <w:rFonts w:ascii="Arial" w:cs="Arial" w:eastAsia="Arial" w:hAnsi="Arial"/>
                <w:sz w:val="18"/>
                <w:szCs w:val="18"/>
                <w:b w:val="1"/>
                <w:bCs w:val="1"/>
                <w:color w:val="auto"/>
              </w:rPr>
              <w:t>Item 9.01(d). Exhibits.</w:t>
            </w:r>
          </w:p>
        </w:tc>
        <w:tc>
          <w:tcPr>
            <w:tcW w:w="2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8"/>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Number</w:t>
            </w:r>
          </w:p>
        </w:tc>
        <w:tc>
          <w:tcPr>
            <w:tcW w:w="4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38"/>
        </w:trPr>
        <w:tc>
          <w:tcPr>
            <w:tcW w:w="1180" w:type="dxa"/>
            <w:vAlign w:val="bottom"/>
            <w:gridSpan w:val="2"/>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w w:val="94"/>
              </w:rPr>
              <w:t>Comcast Corporation 2006 Cash Bonus Plan, as amended and restated effective February 18, 2015 (incorporated by reference to</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980" w:type="dxa"/>
            <w:vAlign w:val="bottom"/>
            <w:gridSpan w:val="4"/>
          </w:tcPr>
          <w:p>
            <w:pPr>
              <w:spacing w:after="0"/>
              <w:rPr>
                <w:sz w:val="20"/>
                <w:szCs w:val="20"/>
                <w:color w:val="auto"/>
              </w:rPr>
            </w:pPr>
            <w:r>
              <w:rPr>
                <w:rFonts w:ascii="Arial" w:cs="Arial" w:eastAsia="Arial" w:hAnsi="Arial"/>
                <w:sz w:val="18"/>
                <w:szCs w:val="18"/>
                <w:color w:val="auto"/>
              </w:rPr>
              <w:t>Appendix A to our Definitive Proxy Statement on Schedule 14A filed on April 10, 2015)</w:t>
            </w:r>
          </w:p>
        </w:tc>
        <w:tc>
          <w:tcPr>
            <w:tcW w:w="28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2" w:right="23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Arthur R. Block</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May 22, 2015</w:t>
      </w:r>
      <w:r>
        <w:rPr>
          <w:sz w:val="20"/>
          <w:szCs w:val="20"/>
          <w:color w:val="auto"/>
        </w:rPr>
        <w:tab/>
      </w:r>
      <w:r>
        <w:rPr>
          <w:rFonts w:ascii="Arial" w:cs="Arial" w:eastAsia="Arial" w:hAnsi="Arial"/>
          <w:sz w:val="16"/>
          <w:szCs w:val="16"/>
          <w:color w:val="auto"/>
        </w:rPr>
        <w:t>Name:Arthur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7"/>
          <w:szCs w:val="17"/>
          <w:color w:val="auto"/>
        </w:rPr>
        <w:t>Title: 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600"/>
      </w:cols>
      <w:pgMar w:left="240" w:top="66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2019-12-07T23:58:23Z</dcterms:created>
  <dcterms:modified xsi:type="dcterms:W3CDTF">2019-12-07T23:58:23Z</dcterms:modified>
</cp:coreProperties>
</file>