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19,315,900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19,315,900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200300200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ectPr>
          <w:pgSz w:w="11900" w:h="16838" w:orient="portrait"/>
          <w:cols w:equalWidth="0" w:num="1">
            <w:col w:w="10219"/>
          </w:cols>
          <w:pgMar w:left="240" w:top="717" w:right="1440" w:bottom="1440" w:gutter="0" w:footer="0" w:header="0"/>
        </w:sectPr>
      </w:pPr>
    </w:p>
    <w:bookmarkStart w:id="4" w:name="page5"/>
    <w:bookmarkEnd w:id="4"/>
    <w:p>
      <w:pPr>
        <w:spacing w:after="0" w:line="270"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19,315,900 shares or 6.2% of the 308,407,000 shares of Class A Special Common Stock believed to be outstanding as a result of acting as investment adviser to various investment companies registered under Section 8 of the Investment Company Act of 1940.</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includes 1,525,650 shares resulting from the assumed conversion of $79,000,000 principal amount of the 1.125% Convertible Notes, due 2007.</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925" w:right="1440" w:bottom="144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James P. Ryan</w:t>
      </w:r>
    </w:p>
    <w:p>
      <w:pPr>
        <w:ind w:left="7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72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9359"/>
          </w:cols>
          <w:pgMar w:left="1100" w:top="1122" w:right="1440" w:bottom="144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3160"/>
        <w:spacing w:after="0" w:line="238" w:lineRule="auto"/>
        <w:rPr>
          <w:sz w:val="20"/>
          <w:szCs w:val="20"/>
          <w:color w:val="auto"/>
        </w:rPr>
      </w:pPr>
      <w:r>
        <w:rPr>
          <w:rFonts w:ascii="Courier New" w:cs="Courier New" w:eastAsia="Courier New" w:hAnsi="Courier New"/>
          <w:sz w:val="18"/>
          <w:szCs w:val="18"/>
          <w:color w:val="auto"/>
        </w:rPr>
        <w:t>July 9, 1998</w:t>
      </w:r>
    </w:p>
    <w:p>
      <w:pPr>
        <w:spacing w:after="0" w:line="207" w:lineRule="exact"/>
        <w:rPr>
          <w:sz w:val="20"/>
          <w:szCs w:val="20"/>
          <w:color w:val="auto"/>
        </w:rPr>
      </w:pPr>
    </w:p>
    <w:p>
      <w:pPr>
        <w:ind w:right="2619" w:firstLine="316"/>
        <w:spacing w:after="0" w:line="275" w:lineRule="auto"/>
        <w:rPr>
          <w:sz w:val="20"/>
          <w:szCs w:val="20"/>
          <w:color w:val="auto"/>
        </w:rPr>
      </w:pPr>
      <w:r>
        <w:rPr>
          <w:rFonts w:ascii="Courier New" w:cs="Courier New" w:eastAsia="Courier New" w:hAnsi="Courier New"/>
          <w:sz w:val="16"/>
          <w:szCs w:val="16"/>
          <w:color w:val="auto"/>
        </w:rPr>
        <w:t>and Capital Research and Management Company ("CRMC") hereby agree to file a joint statement on Schedule 13G under the Securities Exchange Act of 1934 (the "Act") in connection with their beneficial ownership of Class A Special Common Stock issued by Comcast Corporation.</w:t>
      </w:r>
    </w:p>
    <w:p>
      <w:pPr>
        <w:spacing w:after="0" w:line="182" w:lineRule="exact"/>
        <w:rPr>
          <w:sz w:val="20"/>
          <w:szCs w:val="20"/>
          <w:color w:val="auto"/>
        </w:rPr>
      </w:pPr>
    </w:p>
    <w:p>
      <w:pPr>
        <w:ind w:right="3359" w:firstLine="316"/>
        <w:spacing w:after="0" w:line="235" w:lineRule="auto"/>
        <w:rPr>
          <w:sz w:val="20"/>
          <w:szCs w:val="20"/>
          <w:color w:val="auto"/>
        </w:rPr>
      </w:pPr>
      <w:r>
        <w:rPr>
          <w:rFonts w:ascii="Courier New" w:cs="Courier New" w:eastAsia="Courier New" w:hAnsi="Courier New"/>
          <w:sz w:val="18"/>
          <w:szCs w:val="18"/>
          <w:color w:val="auto"/>
        </w:rPr>
        <w:t>and CRMC state that they are each entitled to individually use Schedule 13G pursuant to Rule 13d-1(c) of the Act.</w:t>
      </w:r>
    </w:p>
    <w:p>
      <w:pPr>
        <w:spacing w:after="0" w:line="208" w:lineRule="exact"/>
        <w:rPr>
          <w:sz w:val="20"/>
          <w:szCs w:val="20"/>
          <w:color w:val="auto"/>
        </w:rPr>
      </w:pPr>
    </w:p>
    <w:p>
      <w:pPr>
        <w:ind w:right="2619" w:firstLine="316"/>
        <w:spacing w:after="0" w:line="237" w:lineRule="auto"/>
        <w:rPr>
          <w:sz w:val="20"/>
          <w:szCs w:val="20"/>
          <w:color w:val="auto"/>
        </w:rPr>
      </w:pPr>
      <w:r>
        <w:rPr>
          <w:rFonts w:ascii="Courier New" w:cs="Courier New" w:eastAsia="Courier New" w:hAnsi="Courier New"/>
          <w:sz w:val="18"/>
          <w:szCs w:val="18"/>
          <w:color w:val="auto"/>
        </w:rPr>
        <w:t>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lvl w:ilvl="1">
      <w:lvlJc w:val="left"/>
      <w:lvlText w:val="*"/>
      <w:numFmt w:val="bullet"/>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2019-12-12T06:32:18Z</dcterms:created>
  <dcterms:modified xsi:type="dcterms:W3CDTF">2019-12-12T06:32:18Z</dcterms:modified>
</cp:coreProperties>
</file>