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106"/>
        </w:trPr>
        <w:tc>
          <w:tcPr>
            <w:tcW w:w="20" w:type="dxa"/>
            <w:vAlign w:val="bottom"/>
          </w:tcPr>
          <w:p>
            <w:pPr>
              <w:spacing w:after="0"/>
              <w:rPr>
                <w:sz w:val="9"/>
                <w:szCs w:val="9"/>
                <w:color w:val="auto"/>
              </w:rPr>
            </w:pPr>
          </w:p>
        </w:tc>
        <w:tc>
          <w:tcPr>
            <w:tcW w:w="8040" w:type="dxa"/>
            <w:vAlign w:val="bottom"/>
            <w:tcBorders>
              <w:right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Borders>
              <w:right w:val="single" w:sz="8" w:color="auto"/>
            </w:tcBorders>
            <w:gridSpan w:val="2"/>
          </w:tcPr>
          <w:p>
            <w:pPr>
              <w:jc w:val="center"/>
              <w:ind w:right="440"/>
              <w:spacing w:after="0" w:line="106" w:lineRule="exact"/>
              <w:rPr>
                <w:sz w:val="20"/>
                <w:szCs w:val="20"/>
                <w:color w:val="auto"/>
              </w:rPr>
            </w:pPr>
            <w:r>
              <w:rPr>
                <w:rFonts w:ascii="Arial" w:cs="Arial" w:eastAsia="Arial" w:hAnsi="Arial"/>
                <w:sz w:val="12"/>
                <w:szCs w:val="12"/>
                <w:b w:val="1"/>
                <w:bCs w:val="1"/>
                <w:color w:val="auto"/>
              </w:rPr>
              <w:t>Proposed</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80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Maximum</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8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Title Of Each Class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Borders>
              <w:right w:val="single" w:sz="8" w:color="auto"/>
            </w:tcBorders>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Aggregate</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Amount Of</w:t>
            </w:r>
          </w:p>
        </w:tc>
      </w:tr>
      <w:tr>
        <w:trPr>
          <w:trHeight w:val="176"/>
        </w:trPr>
        <w:tc>
          <w:tcPr>
            <w:tcW w:w="20" w:type="dxa"/>
            <w:vAlign w:val="bottom"/>
          </w:tcPr>
          <w:p>
            <w:pPr>
              <w:spacing w:after="0"/>
              <w:rPr>
                <w:sz w:val="15"/>
                <w:szCs w:val="15"/>
                <w:color w:val="auto"/>
              </w:rPr>
            </w:pPr>
          </w:p>
        </w:tc>
        <w:tc>
          <w:tcPr>
            <w:tcW w:w="8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Offering Price</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Registration Fee</w:t>
            </w:r>
            <w:r>
              <w:rPr>
                <w:rFonts w:ascii="Arial" w:cs="Arial" w:eastAsia="Arial" w:hAnsi="Arial"/>
                <w:sz w:val="12"/>
                <w:szCs w:val="12"/>
                <w:b w:val="1"/>
                <w:bCs w:val="1"/>
                <w:color w:val="auto"/>
              </w:rPr>
              <w:t>(1)</w:t>
            </w:r>
          </w:p>
        </w:tc>
      </w:tr>
      <w:tr>
        <w:trPr>
          <w:trHeight w:val="195"/>
        </w:trPr>
        <w:tc>
          <w:tcPr>
            <w:tcW w:w="20" w:type="dxa"/>
            <w:vAlign w:val="bottom"/>
          </w:tcPr>
          <w:p>
            <w:pPr>
              <w:spacing w:after="0"/>
              <w:rPr>
                <w:sz w:val="16"/>
                <w:szCs w:val="16"/>
                <w:color w:val="auto"/>
              </w:rPr>
            </w:pPr>
          </w:p>
        </w:tc>
        <w:tc>
          <w:tcPr>
            <w:tcW w:w="8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3.150% Notes due 2028</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gridSpan w:val="2"/>
          </w:tcPr>
          <w:p>
            <w:pPr>
              <w:jc w:val="right"/>
              <w:ind w:right="340"/>
              <w:spacing w:after="0" w:line="195" w:lineRule="exact"/>
              <w:rPr>
                <w:sz w:val="20"/>
                <w:szCs w:val="20"/>
                <w:color w:val="auto"/>
              </w:rPr>
            </w:pPr>
            <w:r>
              <w:rPr>
                <w:rFonts w:ascii="Arial" w:cs="Arial" w:eastAsia="Arial" w:hAnsi="Arial"/>
                <w:sz w:val="18"/>
                <w:szCs w:val="18"/>
                <w:color w:val="auto"/>
                <w:w w:val="88"/>
              </w:rPr>
              <w:t>1,650,000,000</w:t>
            </w:r>
          </w:p>
        </w:tc>
        <w:tc>
          <w:tcPr>
            <w:tcW w:w="200" w:type="dxa"/>
            <w:vAlign w:val="bottom"/>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191,235</w:t>
            </w:r>
          </w:p>
        </w:tc>
        <w:tc>
          <w:tcPr>
            <w:tcW w:w="320" w:type="dxa"/>
            <w:vAlign w:val="bottom"/>
          </w:tcPr>
          <w:p>
            <w:pPr>
              <w:spacing w:after="0"/>
              <w:rPr>
                <w:sz w:val="16"/>
                <w:szCs w:val="16"/>
                <w:color w:val="auto"/>
              </w:rPr>
            </w:pPr>
          </w:p>
        </w:tc>
      </w:tr>
      <w:tr>
        <w:trPr>
          <w:trHeight w:val="230"/>
        </w:trPr>
        <w:tc>
          <w:tcPr>
            <w:tcW w:w="8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4.000% Notes due 2047</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850,000,000</w:t>
            </w:r>
          </w:p>
        </w:tc>
        <w:tc>
          <w:tcPr>
            <w:tcW w:w="3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98,515</w:t>
            </w:r>
          </w:p>
        </w:tc>
      </w:tr>
      <w:tr>
        <w:trPr>
          <w:trHeight w:val="223"/>
        </w:trPr>
        <w:tc>
          <w:tcPr>
            <w:tcW w:w="20" w:type="dxa"/>
            <w:vAlign w:val="bottom"/>
          </w:tcPr>
          <w:p>
            <w:pPr>
              <w:spacing w:after="0"/>
              <w:rPr>
                <w:sz w:val="19"/>
                <w:szCs w:val="19"/>
                <w:color w:val="auto"/>
              </w:rPr>
            </w:pPr>
          </w:p>
        </w:tc>
        <w:tc>
          <w:tcPr>
            <w:tcW w:w="804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2,500,000,000</w:t>
            </w:r>
          </w:p>
        </w:tc>
        <w:tc>
          <w:tcPr>
            <w:tcW w:w="340" w:type="dxa"/>
            <w:vAlign w:val="bottom"/>
            <w:tcBorders>
              <w:bottom w:val="single" w:sz="8" w:color="auto"/>
              <w:right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289,750</w:t>
            </w:r>
          </w:p>
        </w:tc>
        <w:tc>
          <w:tcPr>
            <w:tcW w:w="320" w:type="dxa"/>
            <w:vAlign w:val="bottom"/>
          </w:tcPr>
          <w:p>
            <w:pPr>
              <w:spacing w:after="0"/>
              <w:rPr>
                <w:sz w:val="19"/>
                <w:szCs w:val="19"/>
                <w:color w:val="auto"/>
              </w:rPr>
            </w:pPr>
          </w:p>
        </w:tc>
      </w:tr>
      <w:tr>
        <w:trPr>
          <w:trHeight w:val="20"/>
        </w:trPr>
        <w:tc>
          <w:tcPr>
            <w:tcW w:w="8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   Calculated in accordance with Rule 457(r) of the Securities Act of 1933, as amended.</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333-212719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July 28,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144145</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2940"/>
        <w:spacing w:after="0"/>
        <w:rPr>
          <w:sz w:val="20"/>
          <w:szCs w:val="20"/>
          <w:color w:val="auto"/>
        </w:rPr>
      </w:pPr>
      <w:r>
        <w:rPr>
          <w:rFonts w:ascii="Arial" w:cs="Arial" w:eastAsia="Arial" w:hAnsi="Arial"/>
          <w:sz w:val="32"/>
          <w:szCs w:val="32"/>
          <w:b w:val="1"/>
          <w:bCs w:val="1"/>
          <w:color w:val="auto"/>
        </w:rPr>
        <w:t>$1,650,000,000 3.150% Notes due 2028</w:t>
      </w:r>
    </w:p>
    <w:p>
      <w:pPr>
        <w:spacing w:after="0" w:line="33" w:lineRule="exact"/>
        <w:rPr>
          <w:sz w:val="20"/>
          <w:szCs w:val="20"/>
          <w:color w:val="auto"/>
        </w:rPr>
      </w:pPr>
    </w:p>
    <w:p>
      <w:pPr>
        <w:jc w:val="right"/>
        <w:ind w:right="2940"/>
        <w:spacing w:after="0"/>
        <w:rPr>
          <w:sz w:val="20"/>
          <w:szCs w:val="20"/>
          <w:color w:val="auto"/>
        </w:rPr>
      </w:pPr>
      <w:r>
        <w:rPr>
          <w:rFonts w:ascii="Arial" w:cs="Arial" w:eastAsia="Arial" w:hAnsi="Arial"/>
          <w:sz w:val="32"/>
          <w:szCs w:val="32"/>
          <w:b w:val="1"/>
          <w:bCs w:val="1"/>
          <w:color w:val="auto"/>
        </w:rPr>
        <w:t>$850,000,000 4.000% Notes due 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335915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Notes due 2028 will bear interest at a rate of 3.150% per year and will mature on February 15, 2028 and the Notes due 2047 will bear interest at a rate of 4.000% per year and will mature on August 15, 2047. We refer to the Notes due 2028 and the Notes due 2047 collectively as the “notes.” We will pay interest on the notes on February 15 and August 15 of each year, beginning February 15, 2018. We may redeem any of the notes at any time by paying the applicable Redemption Price described under the heading “Description of the Notes—Optional Redemption.”</w:t>
      </w:r>
    </w:p>
    <w:p>
      <w:pPr>
        <w:spacing w:after="0" w:line="14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4" w:lineRule="exact"/>
        <w:rPr>
          <w:sz w:val="20"/>
          <w:szCs w:val="20"/>
          <w:color w:val="auto"/>
        </w:rPr>
      </w:pPr>
    </w:p>
    <w:p>
      <w:pPr>
        <w:ind w:right="60" w:firstLine="456"/>
        <w:spacing w:after="0" w:line="243" w:lineRule="auto"/>
        <w:rPr>
          <w:sz w:val="20"/>
          <w:szCs w:val="20"/>
          <w:color w:val="auto"/>
        </w:rPr>
      </w:pPr>
      <w:r>
        <w:rPr>
          <w:rFonts w:ascii="Arial" w:cs="Arial" w:eastAsia="Arial" w:hAnsi="Arial"/>
          <w:sz w:val="22"/>
          <w:szCs w:val="22"/>
          <w:b w:val="1"/>
          <w:bCs w:val="1"/>
          <w:color w:val="auto"/>
        </w:rPr>
        <w:t>Investing in these securities involves certain risks. See “Item 1A—Risk Factors” beginning on page 25 of Comcast Corporation’s (“Comcast”) Annual Report on Form 10-K for the year ended December 31, 2016, which is incorporated by reference herein.</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Proceeds to Us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6"/>
              </w:rPr>
              <w:t>Price to Investors</w:t>
            </w:r>
          </w:p>
        </w:tc>
        <w:tc>
          <w:tcPr>
            <w:tcW w:w="700" w:type="dxa"/>
            <w:vAlign w:val="bottom"/>
            <w:vMerge w:val="restart"/>
          </w:tcPr>
          <w:p>
            <w:pPr>
              <w:spacing w:after="0"/>
              <w:rPr>
                <w:sz w:val="12"/>
                <w:szCs w:val="12"/>
                <w:color w:val="auto"/>
              </w:rPr>
            </w:pPr>
          </w:p>
        </w:tc>
        <w:tc>
          <w:tcPr>
            <w:tcW w:w="15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0"/>
              </w:rPr>
              <w:t>Underwriters’</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53"/>
        </w:trPr>
        <w:tc>
          <w:tcPr>
            <w:tcW w:w="4960" w:type="dxa"/>
            <w:vAlign w:val="bottom"/>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50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rPr>
              <w:t>Discount</w:t>
            </w:r>
          </w:p>
        </w:tc>
        <w:tc>
          <w:tcPr>
            <w:tcW w:w="13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79"/>
              </w:rPr>
              <w:t>Expenses</w:t>
            </w: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 due 2028</w:t>
            </w:r>
            <w:r>
              <w:rPr>
                <w:rFonts w:ascii="Arial" w:cs="Arial" w:eastAsia="Arial" w:hAnsi="Arial"/>
                <w:sz w:val="11"/>
                <w:szCs w:val="11"/>
                <w:color w:val="auto"/>
              </w:rPr>
              <w:t>(1)</w:t>
            </w:r>
          </w:p>
        </w:tc>
        <w:tc>
          <w:tcPr>
            <w:tcW w:w="1760" w:type="dxa"/>
            <w:vAlign w:val="bottom"/>
            <w:gridSpan w:val="2"/>
            <w:vMerge w:val="restart"/>
            <w:shd w:val="clear" w:color="auto" w:fill="CCEEFF"/>
          </w:tcPr>
          <w:p>
            <w:pPr>
              <w:jc w:val="right"/>
              <w:ind w:right="500"/>
              <w:spacing w:after="0"/>
              <w:rPr>
                <w:sz w:val="20"/>
                <w:szCs w:val="20"/>
                <w:color w:val="auto"/>
              </w:rPr>
            </w:pPr>
            <w:r>
              <w:rPr>
                <w:rFonts w:ascii="Arial" w:cs="Arial" w:eastAsia="Arial" w:hAnsi="Arial"/>
                <w:sz w:val="18"/>
                <w:szCs w:val="18"/>
                <w:color w:val="auto"/>
              </w:rPr>
              <w:t>99.937%</w:t>
            </w:r>
          </w:p>
        </w:tc>
        <w:tc>
          <w:tcPr>
            <w:tcW w:w="84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vMerge w:val="continue"/>
            <w:shd w:val="clear" w:color="auto" w:fill="CCEEFF"/>
          </w:tcPr>
          <w:p>
            <w:pPr>
              <w:spacing w:after="0"/>
              <w:rPr>
                <w:sz w:val="17"/>
                <w:szCs w:val="17"/>
                <w:color w:val="auto"/>
              </w:rPr>
            </w:pPr>
          </w:p>
        </w:tc>
        <w:tc>
          <w:tcPr>
            <w:tcW w:w="1760" w:type="dxa"/>
            <w:vAlign w:val="bottom"/>
            <w:gridSpan w:val="2"/>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0.400%</w:t>
            </w:r>
          </w:p>
        </w:tc>
        <w:tc>
          <w:tcPr>
            <w:tcW w:w="13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99.537%</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w w:val="87"/>
              </w:rPr>
              <w:t>$1,648,960,500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$6,600,000</w:t>
            </w:r>
          </w:p>
        </w:tc>
        <w:tc>
          <w:tcPr>
            <w:tcW w:w="1160" w:type="dxa"/>
            <w:vAlign w:val="bottom"/>
          </w:tcPr>
          <w:p>
            <w:pPr>
              <w:jc w:val="right"/>
              <w:spacing w:after="0"/>
              <w:rPr>
                <w:sz w:val="20"/>
                <w:szCs w:val="20"/>
                <w:color w:val="auto"/>
              </w:rPr>
            </w:pPr>
            <w:r>
              <w:rPr>
                <w:rFonts w:ascii="Arial" w:cs="Arial" w:eastAsia="Arial" w:hAnsi="Arial"/>
                <w:sz w:val="18"/>
                <w:szCs w:val="18"/>
                <w:color w:val="auto"/>
                <w:w w:val="91"/>
              </w:rPr>
              <w:t>$1,642,360,500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Per note due 2047</w:t>
            </w:r>
            <w:r>
              <w:rPr>
                <w:rFonts w:ascii="Arial" w:cs="Arial" w:eastAsia="Arial" w:hAnsi="Arial"/>
                <w:sz w:val="11"/>
                <w:szCs w:val="11"/>
                <w:color w:val="auto"/>
              </w:rPr>
              <w:t>(1)</w:t>
            </w:r>
          </w:p>
        </w:tc>
        <w:tc>
          <w:tcPr>
            <w:tcW w:w="17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99.808%</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0.750%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99.058%</w:t>
            </w:r>
          </w:p>
        </w:tc>
        <w:tc>
          <w:tcPr>
            <w:tcW w:w="0" w:type="dxa"/>
            <w:vAlign w:val="bottom"/>
          </w:tcPr>
          <w:p>
            <w:pPr>
              <w:spacing w:after="0"/>
              <w:rPr>
                <w:sz w:val="1"/>
                <w:szCs w:val="1"/>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$848,368,000</w:t>
            </w: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w w:val="90"/>
              </w:rPr>
              <w:t>$6,375,000</w:t>
            </w:r>
          </w:p>
        </w:tc>
        <w:tc>
          <w:tcPr>
            <w:tcW w:w="1160" w:type="dxa"/>
            <w:vAlign w:val="bottom"/>
          </w:tcPr>
          <w:p>
            <w:pPr>
              <w:jc w:val="right"/>
              <w:spacing w:after="0"/>
              <w:rPr>
                <w:sz w:val="20"/>
                <w:szCs w:val="20"/>
                <w:color w:val="auto"/>
              </w:rPr>
            </w:pPr>
            <w:r>
              <w:rPr>
                <w:rFonts w:ascii="Arial" w:cs="Arial" w:eastAsia="Arial" w:hAnsi="Arial"/>
                <w:sz w:val="18"/>
                <w:szCs w:val="18"/>
                <w:color w:val="auto"/>
              </w:rPr>
              <w:t>$841,993,000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August 7, 2017, if settlement occurs after that date.</w:t>
      </w:r>
    </w:p>
    <w:p>
      <w:pPr>
        <w:spacing w:after="0" w:line="192"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notes will be ready for delivery only through The Depository Trust Company and its participants, including Euroclear SA/NV (“Euroclear”) and Clearstream Banking SA (“Clearstream”), in book-entry form on or about August 7, 2017, which is the fourth business day following the date of this prospectus supplement. See “Underwriting.”</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281"/>
        </w:trPr>
        <w:tc>
          <w:tcPr>
            <w:tcW w:w="330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1080" w:type="dxa"/>
            <w:vAlign w:val="bottom"/>
          </w:tcPr>
          <w:p>
            <w:pPr>
              <w:spacing w:after="0"/>
              <w:rPr>
                <w:sz w:val="24"/>
                <w:szCs w:val="24"/>
                <w:color w:val="auto"/>
              </w:rPr>
            </w:pPr>
          </w:p>
        </w:tc>
        <w:tc>
          <w:tcPr>
            <w:tcW w:w="34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89"/>
              </w:rPr>
              <w:t>J.P. Morgan</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Mizuho Securities</w:t>
            </w:r>
          </w:p>
        </w:tc>
      </w:tr>
      <w:tr>
        <w:trPr>
          <w:trHeight w:val="365"/>
        </w:trPr>
        <w:tc>
          <w:tcPr>
            <w:tcW w:w="3300" w:type="dxa"/>
            <w:vAlign w:val="bottom"/>
          </w:tcPr>
          <w:p>
            <w:pPr>
              <w:spacing w:after="0"/>
              <w:rPr>
                <w:sz w:val="20"/>
                <w:szCs w:val="20"/>
                <w:color w:val="auto"/>
              </w:rPr>
            </w:pPr>
            <w:r>
              <w:rPr>
                <w:rFonts w:ascii="Arial" w:cs="Arial" w:eastAsia="Arial" w:hAnsi="Arial"/>
                <w:sz w:val="22"/>
                <w:szCs w:val="22"/>
                <w:b w:val="1"/>
                <w:bCs w:val="1"/>
                <w:color w:val="auto"/>
              </w:rPr>
              <w:t>Credit Suisse</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22"/>
                <w:szCs w:val="22"/>
                <w:b w:val="1"/>
                <w:bCs w:val="1"/>
                <w:color w:val="auto"/>
                <w:w w:val="93"/>
              </w:rPr>
              <w:t>RBC Capital Markets</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247"/>
        </w:trPr>
        <w:tc>
          <w:tcPr>
            <w:tcW w:w="3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3320" w:type="dxa"/>
            <w:vAlign w:val="bottom"/>
          </w:tcPr>
          <w:p>
            <w:pPr>
              <w:spacing w:after="0"/>
              <w:rPr>
                <w:sz w:val="21"/>
                <w:szCs w:val="21"/>
                <w:color w:val="auto"/>
              </w:rPr>
            </w:pPr>
          </w:p>
        </w:tc>
      </w:tr>
      <w:tr>
        <w:trPr>
          <w:trHeight w:val="289"/>
        </w:trPr>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gridSpan w:val="2"/>
          </w:tcPr>
          <w:p>
            <w:pPr>
              <w:ind w:left="700"/>
              <w:spacing w:after="0"/>
              <w:rPr>
                <w:sz w:val="20"/>
                <w:szCs w:val="20"/>
                <w:color w:val="auto"/>
              </w:rPr>
            </w:pPr>
            <w:r>
              <w:rPr>
                <w:rFonts w:ascii="Arial" w:cs="Arial" w:eastAsia="Arial" w:hAnsi="Arial"/>
                <w:sz w:val="18"/>
                <w:szCs w:val="18"/>
                <w:i w:val="1"/>
                <w:iCs w:val="1"/>
                <w:color w:val="auto"/>
              </w:rPr>
              <w:t>Co-Managers</w:t>
            </w:r>
          </w:p>
        </w:tc>
        <w:tc>
          <w:tcPr>
            <w:tcW w:w="3320" w:type="dxa"/>
            <w:vAlign w:val="bottom"/>
          </w:tcPr>
          <w:p>
            <w:pPr>
              <w:spacing w:after="0"/>
              <w:rPr>
                <w:sz w:val="24"/>
                <w:szCs w:val="24"/>
                <w:color w:val="auto"/>
              </w:rPr>
            </w:pPr>
          </w:p>
        </w:tc>
      </w:tr>
      <w:tr>
        <w:trPr>
          <w:trHeight w:val="458"/>
        </w:trPr>
        <w:tc>
          <w:tcPr>
            <w:tcW w:w="330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22"/>
                <w:szCs w:val="22"/>
                <w:b w:val="1"/>
                <w:bCs w:val="1"/>
                <w:color w:val="auto"/>
                <w:w w:val="93"/>
              </w:rPr>
              <w:t>BNP PARIBAS</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BofA Merrill Lynch</w:t>
            </w:r>
          </w:p>
        </w:tc>
      </w:tr>
      <w:tr>
        <w:trPr>
          <w:trHeight w:val="365"/>
        </w:trPr>
        <w:tc>
          <w:tcPr>
            <w:tcW w:w="3300" w:type="dxa"/>
            <w:vAlign w:val="bottom"/>
          </w:tcPr>
          <w:p>
            <w:pPr>
              <w:spacing w:after="0"/>
              <w:rPr>
                <w:sz w:val="20"/>
                <w:szCs w:val="20"/>
                <w:color w:val="auto"/>
              </w:rPr>
            </w:pPr>
            <w:r>
              <w:rPr>
                <w:rFonts w:ascii="Arial" w:cs="Arial" w:eastAsia="Arial" w:hAnsi="Arial"/>
                <w:sz w:val="22"/>
                <w:szCs w:val="22"/>
                <w:b w:val="1"/>
                <w:bCs w:val="1"/>
                <w:color w:val="auto"/>
              </w:rPr>
              <w:t>Deutsche Bank Securities</w:t>
            </w:r>
          </w:p>
        </w:tc>
        <w:tc>
          <w:tcPr>
            <w:tcW w:w="1080" w:type="dxa"/>
            <w:vAlign w:val="bottom"/>
          </w:tcPr>
          <w:p>
            <w:pPr>
              <w:spacing w:after="0"/>
              <w:rPr>
                <w:sz w:val="24"/>
                <w:szCs w:val="24"/>
                <w:color w:val="auto"/>
              </w:rPr>
            </w:pPr>
          </w:p>
        </w:tc>
        <w:tc>
          <w:tcPr>
            <w:tcW w:w="34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91"/>
              </w:rPr>
              <w:t>Goldman Sachs &amp; Co. LLC</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365"/>
        </w:trPr>
        <w:tc>
          <w:tcPr>
            <w:tcW w:w="3300" w:type="dxa"/>
            <w:vAlign w:val="bottom"/>
          </w:tcPr>
          <w:p>
            <w:pPr>
              <w:spacing w:after="0"/>
              <w:rPr>
                <w:sz w:val="20"/>
                <w:szCs w:val="20"/>
                <w:color w:val="auto"/>
              </w:rPr>
            </w:pPr>
            <w:r>
              <w:rPr>
                <w:rFonts w:ascii="Arial" w:cs="Arial" w:eastAsia="Arial" w:hAnsi="Arial"/>
                <w:sz w:val="22"/>
                <w:szCs w:val="22"/>
                <w:b w:val="1"/>
                <w:bCs w:val="1"/>
                <w:color w:val="auto"/>
              </w:rPr>
              <w:t>TD Securities</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85"/>
        </w:trPr>
        <w:tc>
          <w:tcPr>
            <w:tcW w:w="3300" w:type="dxa"/>
            <w:vAlign w:val="bottom"/>
          </w:tcPr>
          <w:p>
            <w:pPr>
              <w:spacing w:after="0"/>
              <w:rPr>
                <w:sz w:val="20"/>
                <w:szCs w:val="20"/>
                <w:color w:val="auto"/>
              </w:rPr>
            </w:pPr>
            <w:r>
              <w:rPr>
                <w:rFonts w:ascii="Arial" w:cs="Arial" w:eastAsia="Arial" w:hAnsi="Arial"/>
                <w:sz w:val="18"/>
                <w:szCs w:val="18"/>
                <w:b w:val="1"/>
                <w:bCs w:val="1"/>
                <w:color w:val="auto"/>
              </w:rPr>
              <w:t>Allen &amp; Company LLC</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COMMERZBANK</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DNB Markets</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Evercore ISI</w:t>
            </w:r>
          </w:p>
        </w:tc>
        <w:tc>
          <w:tcPr>
            <w:tcW w:w="1080" w:type="dxa"/>
            <w:vAlign w:val="bottom"/>
          </w:tcPr>
          <w:p>
            <w:pPr>
              <w:spacing w:after="0"/>
              <w:rPr>
                <w:sz w:val="24"/>
                <w:szCs w:val="24"/>
                <w:color w:val="auto"/>
              </w:rPr>
            </w:pPr>
          </w:p>
        </w:tc>
        <w:tc>
          <w:tcPr>
            <w:tcW w:w="34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4"/>
              </w:rPr>
              <w:t>PNC Capital Markets LLC</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ICBC Standard Bank</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Mischler Financial Group, Inc.</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Ramirez &amp; Co., Inc.</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7"/>
              </w:rPr>
              <w:t>CastleOak Securities, L.P.</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Drexel Hamilton</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Loop Capital Markets</w:t>
            </w:r>
          </w:p>
        </w:tc>
        <w:tc>
          <w:tcPr>
            <w:tcW w:w="456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89"/>
              </w:rPr>
              <w:t>Siebert Cisneros Shank &amp; Co., L.L.C.</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459" w:right="339"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The date of this prospectus supplement is August 1, 2017.</w:t>
      </w:r>
    </w:p>
    <w:p>
      <w:pPr>
        <w:sectPr>
          <w:pgSz w:w="11900" w:h="16838" w:orient="portrait"/>
          <w:cols w:equalWidth="0" w:num="1">
            <w:col w:w="11320"/>
          </w:cols>
          <w:pgMar w:left="240" w:top="459" w:right="339" w:bottom="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17"/>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420" w:type="dxa"/>
            <w:vAlign w:val="bottom"/>
            <w:tcBorders>
              <w:top w:val="single" w:sz="8" w:color="0000EE"/>
            </w:tcBorders>
          </w:tcPr>
          <w:p>
            <w:pPr>
              <w:spacing w:after="0"/>
              <w:rPr>
                <w:sz w:val="18"/>
                <w:szCs w:val="18"/>
                <w:color w:val="auto"/>
              </w:rPr>
            </w:pPr>
          </w:p>
        </w:tc>
        <w:tc>
          <w:tcPr>
            <w:tcW w:w="8140" w:type="dxa"/>
            <w:vAlign w:val="bottom"/>
            <w:gridSpan w:val="5"/>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Ratios of Earnings to Fixed Charges and of Earnings to Combined Fixed Charges and Preferred Dividends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the Notes</w:t>
              </w:r>
            </w:hyperlink>
          </w:p>
        </w:tc>
        <w:tc>
          <w:tcPr>
            <w:tcW w:w="34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Material U.S. Federal Income Tax Consequences for Non-U.S. Holders</w:t>
              </w:r>
            </w:hyperlink>
          </w:p>
        </w:tc>
        <w:tc>
          <w:tcPr>
            <w:tcW w:w="592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S-14</w:t>
            </w: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Legal Matters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Prospectus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980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Caution Concerning Forward-Looking Statements</w:t>
              </w:r>
            </w:hyperlink>
          </w:p>
        </w:tc>
        <w:tc>
          <w:tcPr>
            <w:tcW w:w="74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7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34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768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Capital Stock</w:t>
              </w:r>
            </w:hyperlink>
          </w:p>
        </w:tc>
        <w:tc>
          <w:tcPr>
            <w:tcW w:w="89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540" w:type="dxa"/>
            <w:vAlign w:val="bottom"/>
            <w:gridSpan w:val="1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9960" w:type="dxa"/>
            <w:vAlign w:val="bottom"/>
            <w:gridSpan w:val="1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Incorporation of Certain Documents by Reference</w:t>
              </w:r>
            </w:hyperlink>
          </w:p>
        </w:tc>
        <w:tc>
          <w:tcPr>
            <w:tcW w:w="74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have not, and the underwriters have not, authorized anyone to provide any information other than that contained or incorporated by reference in this prospectus supplement and the accompanying prospectus or the free writing prospectus prepared by or on behalf of us or to which we have referred you. We and the underwriters take no responsibility for, and can provide no assurance as to the reliability of, any other information that others may give you.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51"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2016, filed on February 3, 2017.</w:t>
      </w:r>
    </w:p>
    <w:p>
      <w:pPr>
        <w:spacing w:after="0" w:line="113"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2017 and June 30, 2017 filed on April 27, 2017 and July 27, 2017, respectively.</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Comcast’s Current Reports on Form 8-K and amendments thereto filed on January 10, 2017, January 27, 2017, February 15, 2017, February 23, 2017, March 14, 2017, March 20, 2017, May 8, 2017 (other than Item 7.01 thereto), May 12, 2017 and June 13, 2017.</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NBCUniversal’s Current Report on Form 8-K filed on May 3, 2017.</w:t>
      </w:r>
    </w:p>
    <w:p>
      <w:pPr>
        <w:spacing w:after="0" w:line="90" w:lineRule="exact"/>
        <w:rPr>
          <w:rFonts w:ascii="Arial" w:cs="Arial" w:eastAsia="Arial" w:hAnsi="Arial"/>
          <w:sz w:val="18"/>
          <w:szCs w:val="18"/>
          <w:color w:val="auto"/>
        </w:rPr>
      </w:pPr>
    </w:p>
    <w:p>
      <w:pPr>
        <w:ind w:left="900" w:right="30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sections of Comcast’s Definitive Proxy Statement on Schedule 14A for the 2017 annual meeting of shareholders filed on April 28, 2017 and incorporated by reference in Comcast’s Annual Report on Form 10-K for the year ended December 31, 2016.</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38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638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53" w:lineRule="exact"/>
        <w:rPr>
          <w:sz w:val="20"/>
          <w:szCs w:val="20"/>
          <w:color w:val="auto"/>
        </w:rPr>
      </w:pPr>
    </w:p>
    <w:p>
      <w:pPr>
        <w:ind w:left="1060" w:right="220" w:hanging="323"/>
        <w:spacing w:after="0" w:line="26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voice, and security and automation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1060" w:right="200" w:hanging="323"/>
        <w:spacing w:after="0" w:line="275"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38" w:lineRule="exact"/>
        <w:rPr>
          <w:rFonts w:ascii="Arial" w:cs="Arial" w:eastAsia="Arial" w:hAnsi="Arial"/>
          <w:sz w:val="18"/>
          <w:szCs w:val="18"/>
          <w:color w:val="auto"/>
        </w:rPr>
      </w:pPr>
    </w:p>
    <w:p>
      <w:pPr>
        <w:ind w:left="1060" w:right="320" w:hanging="323"/>
        <w:spacing w:after="0" w:line="334"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Broadcast Television: </w:t>
      </w:r>
      <w:r>
        <w:rPr>
          <w:rFonts w:ascii="Arial" w:cs="Arial" w:eastAsia="Arial" w:hAnsi="Arial"/>
          <w:sz w:val="16"/>
          <w:szCs w:val="16"/>
          <w:color w:val="auto"/>
        </w:rPr>
        <w:t>Consists primarily of the NBC and Telemundo broadcast networks, our NBC and Telemundo owned local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the NBCUniverso national cable network and our broadcast television studio production operations.</w:t>
      </w:r>
    </w:p>
    <w:p>
      <w:pPr>
        <w:spacing w:after="0" w:line="1" w:lineRule="exact"/>
        <w:rPr>
          <w:rFonts w:ascii="Arial" w:cs="Arial" w:eastAsia="Arial" w:hAnsi="Arial"/>
          <w:sz w:val="16"/>
          <w:szCs w:val="16"/>
          <w:color w:val="auto"/>
        </w:rPr>
      </w:pPr>
    </w:p>
    <w:p>
      <w:pPr>
        <w:ind w:left="1060" w:right="220" w:hanging="323"/>
        <w:spacing w:after="0" w:line="334"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Filmed Entertainment: </w:t>
      </w:r>
      <w:r>
        <w:rPr>
          <w:rFonts w:ascii="Arial" w:cs="Arial" w:eastAsia="Arial" w:hAnsi="Arial"/>
          <w:sz w:val="16"/>
          <w:szCs w:val="16"/>
          <w:color w:val="auto"/>
        </w:rPr>
        <w:t>Consists primarily of the operations of Universal Pictures, which produces, acquires, markets and distributes filmed</w:t>
      </w:r>
      <w:r>
        <w:rPr>
          <w:rFonts w:ascii="Arial" w:cs="Arial" w:eastAsia="Arial" w:hAnsi="Arial"/>
          <w:sz w:val="16"/>
          <w:szCs w:val="16"/>
          <w:b w:val="1"/>
          <w:bCs w:val="1"/>
          <w:color w:val="auto"/>
        </w:rPr>
        <w:t xml:space="preserve"> </w:t>
      </w:r>
      <w:r>
        <w:rPr>
          <w:rFonts w:ascii="Arial" w:cs="Arial" w:eastAsia="Arial" w:hAnsi="Arial"/>
          <w:sz w:val="16"/>
          <w:szCs w:val="16"/>
          <w:color w:val="auto"/>
        </w:rPr>
        <w:t>entertainment worldwide; our films are also produced under the Illumination, Focus Features and DreamWorks Animation names.</w:t>
      </w:r>
    </w:p>
    <w:p>
      <w:pPr>
        <w:spacing w:after="0" w:line="1" w:lineRule="exact"/>
        <w:rPr>
          <w:rFonts w:ascii="Arial" w:cs="Arial" w:eastAsia="Arial" w:hAnsi="Arial"/>
          <w:sz w:val="16"/>
          <w:szCs w:val="16"/>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Hollywood, California; and Osaka, Japan.</w:t>
      </w:r>
    </w:p>
    <w:p>
      <w:pPr>
        <w:spacing w:after="0" w:line="177" w:lineRule="exact"/>
        <w:rPr>
          <w:sz w:val="20"/>
          <w:szCs w:val="20"/>
          <w:color w:val="auto"/>
        </w:rPr>
      </w:pPr>
    </w:p>
    <w:p>
      <w:pPr>
        <w:ind w:left="200" w:right="560" w:firstLine="441"/>
        <w:spacing w:after="0" w:line="268"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32" w:lineRule="exact"/>
        <w:rPr>
          <w:sz w:val="20"/>
          <w:szCs w:val="20"/>
          <w:color w:val="auto"/>
        </w:rPr>
      </w:pPr>
    </w:p>
    <w:p>
      <w:pPr>
        <w:ind w:left="200" w:right="640" w:firstLine="441"/>
        <w:spacing w:after="0" w:line="268"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ind w:left="200" w:right="180" w:firstLine="441"/>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38" w:lineRule="exact"/>
        <w:rPr>
          <w:sz w:val="20"/>
          <w:szCs w:val="20"/>
          <w:color w:val="auto"/>
        </w:rPr>
      </w:pPr>
    </w:p>
    <w:p>
      <w:pPr>
        <w:ind w:left="200" w:right="380" w:hanging="4"/>
        <w:spacing w:after="0" w:line="261" w:lineRule="auto"/>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419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14192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1060" w:hanging="323"/>
        <w:spacing w:after="0" w:line="26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94"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80"/>
          </w:cols>
          <w:pgMar w:left="24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35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0"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$1,650,000,000 aggregate principal amount of 3.150% Notes due 2028.</w:t>
      </w:r>
    </w:p>
    <w:p>
      <w:pPr>
        <w:spacing w:after="0" w:line="200"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spacing w:after="0" w:line="60" w:lineRule="exact"/>
        <w:rPr>
          <w:sz w:val="20"/>
          <w:szCs w:val="20"/>
          <w:color w:val="auto"/>
        </w:rPr>
      </w:pPr>
    </w:p>
    <w:p>
      <w:pPr>
        <w:ind w:left="4380"/>
        <w:spacing w:after="0"/>
        <w:rPr>
          <w:sz w:val="20"/>
          <w:szCs w:val="20"/>
          <w:color w:val="auto"/>
        </w:rPr>
      </w:pPr>
      <w:r>
        <w:rPr>
          <w:rFonts w:ascii="Arial" w:cs="Arial" w:eastAsia="Arial" w:hAnsi="Arial"/>
          <w:sz w:val="15"/>
          <w:szCs w:val="15"/>
          <w:color w:val="auto"/>
        </w:rPr>
        <w:t>$850,000,000 aggregate principal amount of 4.000% Notes due 2047.</w:t>
      </w:r>
    </w:p>
    <w:p>
      <w:pPr>
        <w:sectPr>
          <w:pgSz w:w="11900" w:h="16838" w:orient="portrait"/>
          <w:cols w:equalWidth="0" w:num="1">
            <w:col w:w="11240"/>
          </w:cols>
          <w:pgMar w:left="240" w:top="459" w:right="419" w:bottom="1440" w:gutter="0" w:footer="0" w:header="0"/>
          <w:type w:val="continuous"/>
        </w:sectPr>
      </w:pPr>
    </w:p>
    <w:p>
      <w:pPr>
        <w:spacing w:after="0" w:line="2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Notes due 2028 will mature on February 15, 2028.</w:t>
      </w:r>
    </w:p>
    <w:p>
      <w:pPr>
        <w:spacing w:after="0" w:line="200"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spacing w:after="0" w:line="48"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The Notes due 2047 will mature on August 15, 2047.</w:t>
      </w:r>
    </w:p>
    <w:p>
      <w:pPr>
        <w:sectPr>
          <w:pgSz w:w="11900" w:h="16838" w:orient="portrait"/>
          <w:cols w:equalWidth="0" w:num="1">
            <w:col w:w="11240"/>
          </w:cols>
          <w:pgMar w:left="240" w:top="459" w:right="419" w:bottom="1440" w:gutter="0" w:footer="0" w:header="0"/>
          <w:type w:val="continuous"/>
        </w:sectPr>
      </w:pPr>
    </w:p>
    <w:p>
      <w:pPr>
        <w:spacing w:after="0" w:line="23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Interest</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Interest on the Notes due 2028 will accrue at the rate of 3.150% per year, payable semiannually in cash in arrears on February 15 and August 15, beginning February 15, 2018. Interest on the Notes due 2047 will accrue at the rate of 4.000% per year, payable semiannually in cash in arrears on February 15 and August 15, beginning February 15, 2018.</w:t>
      </w:r>
    </w:p>
    <w:p>
      <w:pPr>
        <w:spacing w:after="0" w:line="153"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72"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jc w:val="center"/>
        <w:ind w:right="3120"/>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Guarantees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147"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We may, at our option, redeem any series of notes, in whole or in part, at any time at the applicable Redemption Price determined as set forth under the heading “Description of the Notes —Optional Redemption.”</w:t>
      </w:r>
    </w:p>
    <w:p>
      <w:pPr>
        <w:spacing w:after="0" w:line="181"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00"/>
        <w:spacing w:after="0" w:line="291" w:lineRule="auto"/>
        <w:rPr>
          <w:sz w:val="20"/>
          <w:szCs w:val="20"/>
          <w:color w:val="auto"/>
        </w:rPr>
      </w:pPr>
      <w:r>
        <w:rPr>
          <w:rFonts w:ascii="Arial" w:cs="Arial" w:eastAsia="Arial" w:hAnsi="Arial"/>
          <w:sz w:val="16"/>
          <w:szCs w:val="16"/>
          <w:color w:val="auto"/>
        </w:rPr>
        <w:t>We intend to use the net proceeds from the offering, after deducting underwriters’ discount and expenses, for working capital and general corporate purposes, which may include redemption or repayment of our 6.300% notes due November 15, 2017 ($1 billion principal amount outstanding) and repayment of a portion of our outstanding commercial paper. As of August 1, 2017, our commercial paper had a weighted average annual interest rate of approximately 1.360% and a weighted average remaining maturity of approximately 7 days.</w:t>
      </w:r>
    </w:p>
    <w:p>
      <w:pPr>
        <w:spacing w:after="0" w:line="161"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Clearstream, and these beneficial interests may not be exchanged for certificated notes, except in limited circumstances. See “Description of the Notes—Book-Entry System” in this prospectus supplement.</w:t>
      </w:r>
    </w:p>
    <w:p>
      <w:pPr>
        <w:spacing w:after="0" w:line="200" w:lineRule="exact"/>
        <w:rPr>
          <w:sz w:val="20"/>
          <w:szCs w:val="20"/>
          <w:color w:val="auto"/>
        </w:rPr>
      </w:pPr>
    </w:p>
    <w:p>
      <w:pPr>
        <w:sectPr>
          <w:pgSz w:w="11900" w:h="16838" w:orient="portrait"/>
          <w:cols w:equalWidth="0" w:num="2">
            <w:col w:w="3660" w:space="720"/>
            <w:col w:w="6860"/>
          </w:cols>
          <w:pgMar w:left="240" w:top="459" w:right="4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11240"/>
          </w:cols>
          <w:pgMar w:left="240" w:top="459" w:right="41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use the net proceeds from the offering, after deducting underwriters’ discount and expenses, for working capital and general corporate purposes, which may include redemption or repayment of our 6.300% notes due November 15, 2017 ($1 billion principal amount outstanding) and repayment of a portion of our outstanding commercial paper. As of August 1, 2017, our commercial paper had a weighted average annual interest rate of approximately 1.360% and a weighted average remaining maturity of approximately 7 days.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FIXED 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For the Six Months</w:t>
            </w: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5"/>
        </w:trPr>
        <w:tc>
          <w:tcPr>
            <w:tcW w:w="2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Ended June 30,</w:t>
            </w: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56"/>
        </w:trPr>
        <w:tc>
          <w:tcPr>
            <w:tcW w:w="2420" w:type="dxa"/>
            <w:vAlign w:val="bottom"/>
            <w:tcBorders>
              <w:top w:val="single" w:sz="8" w:color="auto"/>
            </w:tcBorders>
          </w:tcPr>
          <w:p>
            <w:pPr>
              <w:jc w:val="right"/>
              <w:ind w:right="1007"/>
              <w:spacing w:after="0" w:line="156"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700" w:type="dxa"/>
            <w:vAlign w:val="bottom"/>
            <w:tcBorders>
              <w:top w:val="single" w:sz="8" w:color="auto"/>
            </w:tcBorders>
          </w:tcPr>
          <w:p>
            <w:pPr>
              <w:jc w:val="right"/>
              <w:ind w:right="642"/>
              <w:spacing w:after="0" w:line="156"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262"/>
              <w:spacing w:after="0" w:line="156" w:lineRule="exact"/>
              <w:rPr>
                <w:sz w:val="20"/>
                <w:szCs w:val="20"/>
                <w:color w:val="auto"/>
              </w:rPr>
            </w:pPr>
            <w:r>
              <w:rPr>
                <w:rFonts w:ascii="Arial" w:cs="Arial" w:eastAsia="Arial" w:hAnsi="Arial"/>
                <w:sz w:val="14"/>
                <w:szCs w:val="14"/>
                <w:b w:val="1"/>
                <w:bCs w:val="1"/>
                <w:color w:val="auto"/>
              </w:rPr>
              <w:t>2015</w:t>
            </w:r>
          </w:p>
        </w:tc>
        <w:tc>
          <w:tcPr>
            <w:tcW w:w="2200" w:type="dxa"/>
            <w:vAlign w:val="bottom"/>
            <w:tcBorders>
              <w:top w:val="single" w:sz="8" w:color="auto"/>
            </w:tcBorders>
            <w:gridSpan w:val="3"/>
          </w:tcPr>
          <w:p>
            <w:pPr>
              <w:jc w:val="right"/>
              <w:ind w:right="612"/>
              <w:spacing w:after="0" w:line="156"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tcPr>
          <w:p>
            <w:pPr>
              <w:jc w:val="right"/>
              <w:ind w:right="642"/>
              <w:spacing w:after="0" w:line="156"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right"/>
              <w:ind w:right="582"/>
              <w:spacing w:after="0" w:line="156" w:lineRule="exact"/>
              <w:rPr>
                <w:sz w:val="20"/>
                <w:szCs w:val="20"/>
                <w:color w:val="auto"/>
              </w:rPr>
            </w:pPr>
            <w:r>
              <w:rPr>
                <w:rFonts w:ascii="Arial" w:cs="Arial" w:eastAsia="Arial" w:hAnsi="Arial"/>
                <w:sz w:val="14"/>
                <w:szCs w:val="14"/>
                <w:b w:val="1"/>
                <w:bCs w:val="1"/>
                <w:color w:val="auto"/>
              </w:rPr>
              <w:t>2012</w:t>
            </w:r>
          </w:p>
        </w:tc>
      </w:tr>
      <w:tr>
        <w:trPr>
          <w:trHeight w:val="223"/>
        </w:trPr>
        <w:tc>
          <w:tcPr>
            <w:tcW w:w="2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5.42x</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5.26x</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left="302"/>
              <w:spacing w:after="0"/>
              <w:rPr>
                <w:sz w:val="20"/>
                <w:szCs w:val="20"/>
                <w:color w:val="auto"/>
              </w:rPr>
            </w:pPr>
            <w:r>
              <w:rPr>
                <w:rFonts w:ascii="Arial" w:cs="Arial" w:eastAsia="Arial" w:hAnsi="Arial"/>
                <w:sz w:val="18"/>
                <w:szCs w:val="18"/>
                <w:color w:val="auto"/>
                <w:w w:val="86"/>
              </w:rPr>
              <w:t>5.48x</w:t>
            </w: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5.22x</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4.85x</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4.82x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are offering $1,650,000,000 aggregate principal amount of our 3.150% Notes due 2028 and $850,000,000 aggregate principal amount of our 4.000% Notes due 2047. The Notes due 2028 and the Notes due 2047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guarantees described below;</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$2,500,000,000 comprised as follows:</w:t>
      </w:r>
    </w:p>
    <w:p>
      <w:pPr>
        <w:spacing w:after="0" w:line="90" w:lineRule="exact"/>
        <w:rPr>
          <w:rFonts w:ascii="Arial" w:cs="Arial" w:eastAsia="Arial" w:hAnsi="Arial"/>
          <w:sz w:val="18"/>
          <w:szCs w:val="18"/>
          <w:color w:val="auto"/>
        </w:rPr>
      </w:pPr>
    </w:p>
    <w:p>
      <w:pPr>
        <w:ind w:left="1480" w:right="460" w:hanging="446"/>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$1,650,000,000 initial aggregate principal amount of 3.150% Notes due 2028, maturing on February 15, 2028, with interest payable semiannually on each February 15 and August 15, beginning February 15, 2018, to holders of record on the preceding February 1 and August 1;</w:t>
      </w:r>
    </w:p>
    <w:p>
      <w:pPr>
        <w:spacing w:after="0" w:line="59" w:lineRule="exact"/>
        <w:rPr>
          <w:rFonts w:ascii="Arial" w:cs="Arial" w:eastAsia="Arial" w:hAnsi="Arial"/>
          <w:sz w:val="18"/>
          <w:szCs w:val="18"/>
          <w:color w:val="auto"/>
        </w:rPr>
      </w:pPr>
    </w:p>
    <w:p>
      <w:pPr>
        <w:ind w:left="1480" w:right="460" w:hanging="446"/>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$850,000,000 initial aggregate principal amount of 4.000% Notes due 2047, maturing on August 15, 2047, with interest payable semiannually on each February 15 and August 15, beginning February 15, 2018, to holders of record on the preceding February 1 and August 1;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$2,000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(i) the earlier of August 7, 2017 and the date of original issuance or (ii) from the most recent interest payment date to which interest has been paid, and will be payable semiannually on interest payment dates described for each year.</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will have the right at our option to redeem any of the notes of each series in whole or in part, at any time or from time to time prior to their maturity, on at least 30 days, but not more than 60 days, prior notice mailed to the registered address of each holder of notes, at the applicable Redemption Price.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“Redemption Price” means:</w:t>
      </w:r>
    </w:p>
    <w:p>
      <w:pPr>
        <w:spacing w:after="0" w:line="171" w:lineRule="exact"/>
        <w:rPr>
          <w:sz w:val="20"/>
          <w:szCs w:val="20"/>
          <w:color w:val="auto"/>
        </w:rPr>
      </w:pPr>
    </w:p>
    <w:p>
      <w:pPr>
        <w:ind w:right="40" w:firstLine="464"/>
        <w:spacing w:after="0" w:line="254"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2028, at any time prior to November 15, 2027 (three months prior to the maturity of the Notes due 2028) (the “2028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2028 Par Call Date, in each case discounted to the redemption date on a semiannual basis (assuming a 360-day year consisting of twelve 30-day months) at the Treasury Rate plus 15 basis points; provided that, if the Notes due 2028 are redeemed on or after the 2028 Par Call Date, the Redemption Price will equal 100% of the principal amount of such notes; and</w:t>
      </w:r>
    </w:p>
    <w:p>
      <w:pPr>
        <w:spacing w:after="0" w:line="144" w:lineRule="exact"/>
        <w:rPr>
          <w:rFonts w:ascii="Arial" w:cs="Arial" w:eastAsia="Arial" w:hAnsi="Arial"/>
          <w:sz w:val="18"/>
          <w:szCs w:val="18"/>
          <w:color w:val="auto"/>
        </w:rPr>
      </w:pPr>
    </w:p>
    <w:p>
      <w:pPr>
        <w:ind w:right="40" w:firstLine="464"/>
        <w:spacing w:after="0" w:line="254" w:lineRule="auto"/>
        <w:tabs>
          <w:tab w:leader="none" w:pos="705"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respect to the Notes due 2047, at any time prior to February 15, 2047 (six months prior to the maturity of the Notes due 2047) (the “2047 Par Call Date”), the greater of (i) 100% of the principal amount of such notes and (ii) the sum of the present values of the principal amount of such notes and the scheduled payments of interest thereon (exclusive of interest accrued to the date of redemption) from the redemption date to the 2047 Par Call Date, in each case discounted to the redemption date on a semiannual basis (assuming a 360-day year consisting of twelve 30-day months) at the Treasury Rate plus 20 basis points; provided that, if the Notes due 2047 are redeemed on or after the 2047 Par Call Date, the Redemption Price will equal 100% of the principal amount of such notes,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and unpaid interest thereon to the date of redemption.</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“Comparable Treasury Issue” means the United States Treasury security or securities selected by an Independent Investment Banker as having an actual or interpolated maturity comparable to the remaining term of the notes to be redeemed calculated as if the maturity date of such series of notes were the applicable Par Call Date (the “Remaining Life”) that would be utilized, at the time of selection and in accordance with customary financial practice, in pricing new issues of corporate debt securities of comparable maturity to the Remaining Life of such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“Reference Treasury Dealer” means each of Citigroup Global Markets Inc., J.P. Morgan Securities LLC and Mizuho Securities USA LLC, or their affiliates which are primary United States government securities dealers, and their respective successors; provided, however, that if any of the foregoing shall cease to be a primary United States government securities dealer in the United States (a “Primary Treasury Dealer”), we will substitute therefor another Primary Treasury Dealer.</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“Reference Treasury Dealer Quotation”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by such Reference Treasury Dealer at 3:30 pm New York time on the third business day preceding such redemption date.</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(provided that interests in notes represented by a Global Note will be selected for redemption by The Depository Trust Company in accordance with its standard procedures therefor). Additionally, we may at any time repurchase notes in the open market and may hold or surrender such notes to the trustee for cancellation.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Holders may hold interests in the notes outside the United States through Euroclear or Clearstream if they are participants in those systems, or indirectly through organizations which are 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DTC</w:t>
      </w:r>
    </w:p>
    <w:p>
      <w:pPr>
        <w:spacing w:after="0" w:line="9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18"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12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$2,000 principal amount and multiples of $1,000 in excess thereof if:</w:t>
      </w:r>
    </w:p>
    <w:p>
      <w:pPr>
        <w:spacing w:after="0" w:line="51" w:lineRule="exact"/>
        <w:rPr>
          <w:sz w:val="20"/>
          <w:szCs w:val="20"/>
          <w:color w:val="auto"/>
        </w:rPr>
      </w:pPr>
    </w:p>
    <w:p>
      <w:pPr>
        <w:ind w:left="900" w:right="54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51" w:lineRule="exact"/>
        <w:rPr>
          <w:sz w:val="20"/>
          <w:szCs w:val="20"/>
          <w:color w:val="auto"/>
        </w:rPr>
      </w:pPr>
    </w:p>
    <w:p>
      <w:pPr>
        <w:jc w:val="both"/>
        <w:ind w:left="900" w:right="4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applicable series of notes is sold for money;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or a former citizen or former resident of the United States. Such a holder is urged to consult his or her tax advisor regarding the U.S. federal income tax consequences of the sale, exchange or other disposition of a note.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Internal Revenue Service Form W-8BEN or W-8BEN-E, as appropriate, under penalties of perjury, that it is not a U.S. person.</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discussions below concerning backup withholding and FATCA,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Principal</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1"/>
              </w:rPr>
              <w:t>Amount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Underwriter</w:t>
            </w: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4"/>
              </w:rPr>
              <w:t>Notes Due 2028</w:t>
            </w:r>
          </w:p>
        </w:tc>
        <w:tc>
          <w:tcPr>
            <w:tcW w:w="480" w:type="dxa"/>
            <w:vAlign w:val="bottom"/>
          </w:tcPr>
          <w:p>
            <w:pPr>
              <w:spacing w:after="0"/>
              <w:rPr>
                <w:sz w:val="12"/>
                <w:szCs w:val="12"/>
                <w:color w:val="auto"/>
              </w:rPr>
            </w:pPr>
          </w:p>
        </w:tc>
        <w:tc>
          <w:tcPr>
            <w:tcW w:w="11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Notes Due 2047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83"/>
              </w:rPr>
              <w:t>To Be Purchased</w:t>
            </w:r>
          </w:p>
        </w:tc>
        <w:tc>
          <w:tcPr>
            <w:tcW w:w="480" w:type="dxa"/>
            <w:vAlign w:val="bottom"/>
          </w:tcPr>
          <w:p>
            <w:pPr>
              <w:spacing w:after="0"/>
              <w:rPr>
                <w:sz w:val="14"/>
                <w:szCs w:val="14"/>
                <w:color w:val="auto"/>
              </w:rPr>
            </w:pPr>
          </w:p>
        </w:tc>
        <w:tc>
          <w:tcPr>
            <w:tcW w:w="11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5"/>
              </w:rPr>
              <w:t>To Be Purchased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3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193,710,000</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99,790,000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193,710,000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99,790,000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193,710,000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99,790,000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132,000,000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68,000,000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68,000,000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132,000,000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68,000,000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Incorporated</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TD Securities (USA)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48,675,000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Allen &amp; Company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15,725,000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Commerz Markets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30,525,000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15,725,000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DNB Markets, Inc.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15,725,000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30,525,000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15,725,000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15,725,000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30,525,000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15,725,000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ICBC Standard Bank Plc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18,975,000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Mischler Financial Group, Inc.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Samuel A. Ramirez &amp; Company, Inc.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6,375,000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CastleOak Securities, L.P.</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Drexel Hamilton,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Cisneros Shank &amp; Co., L.L.C.</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The Williams Capital Group, L.P.</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6,270,000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1,650,000,000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850,000,000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to contribute to payments the several underwriters may be required to make in respect of those liabilities.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August 7, 2017,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the pricing will be required, by virtue of the fact that the notes initially will settle in T+4,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0.250% and 0.450% of the principal amount of the Notes due 2028 and the Notes due 2047, respectively. The underwriters may allow, and the dealers may reallow, a discount not in excess of 0.150% and 0.275% of the principal amount of the Notes due 2028 and the Notes due 2047, respectively, to other dealers. After the initial public offering, the public offering prices, concessions and discounts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$800,000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6.300% notes due November 15, 2017 and our outstanding commercial paper, and therefore, certain of the underwriters and/or their respective affiliates may indirectly receive a portion of the net proceeds from this offering.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Canada</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bonds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bonds must be made in accordance with an exemption from, or in a transaction not subject to, the prospectus requirements of applicable securities laws.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no offer of notes may be made to the public in that Relevant Member State other than:</w:t>
      </w:r>
    </w:p>
    <w:p>
      <w:pPr>
        <w:spacing w:after="0" w:line="59" w:lineRule="exact"/>
        <w:rPr>
          <w:sz w:val="20"/>
          <w:szCs w:val="20"/>
          <w:color w:val="auto"/>
        </w:rPr>
      </w:pPr>
    </w:p>
    <w:p>
      <w:pPr>
        <w:ind w:left="5540" w:right="4480" w:hanging="5086"/>
        <w:spacing w:after="0" w:line="440" w:lineRule="auto"/>
        <w:tabs>
          <w:tab w:leader="none" w:pos="89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S-16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8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as permitted under the Prospectus Directive, subject to obtaining the prior consent of the representative;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that no such offer of notes shall require the Company or the representative to publish a prospectus pursuant to Article 3 of the Prospectus Directive or supplement a prospectus pursuant to Article 16 of the Prospectus Directive.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supplement has been prepared on the basis that any offer of notes in any Relevant Member State will be made pursuant to an exemption under the Prospectus Directive from the requirement to publish a prospectus for offers of notes. Accordingly, any person making or intending to make an offer in that Relevant Member State of notes which are the subject of the offering contemplated in this prospectus supplement may only do so in circumstances in which no obligation arises for us or any of the underwriters to publish a prospectus pursuant to Article 3 of the Prospectus Directive in relation to such offer. Neither we nor the underwriters have authorized, nor do we or the underwriters authorize, the making of any offer of notes in circumstances in which an obligation arises for us or the underwriters to publish a prospectus for such offer.</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purpose of the above provisions, the expression “an offer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same may be varied in the Relevant Member State by any measure implementing the Prospectus Directive in the Relevant Member State,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that is:</w:t>
      </w:r>
    </w:p>
    <w:p>
      <w:pPr>
        <w:spacing w:after="0" w:line="90" w:lineRule="exact"/>
        <w:rPr>
          <w:sz w:val="20"/>
          <w:szCs w:val="20"/>
          <w:color w:val="auto"/>
        </w:rPr>
      </w:pPr>
    </w:p>
    <w:p>
      <w:pPr>
        <w:ind w:left="460" w:firstLine="443"/>
        <w:spacing w:after="0" w:line="268" w:lineRule="auto"/>
        <w:tabs>
          <w:tab w:leader="none" w:pos="11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Miscellaneous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One or more of the underwriters may be restricted in its US securities dealings under the Bank Holding Company Act and not be U.S.-registered broker-dealer(s). All sales of securities in the U.S. will be made by or through U.S.-registered broker-dealers.</w:t>
      </w:r>
    </w:p>
    <w:p>
      <w:pPr>
        <w:spacing w:after="0" w:line="132"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ICBC Standard Bank Plc may not underwrite, subscribe, agree to purchase or procure purchasers to purchase Notes that are offered or sold in the United States. Notwithstanding anything to the contrary in this Agreement, ICBC Standard Bank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to Investors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purchaser of the notes that is (1) an employee benefit plan subject to Title I of the Employee Retirement Income Security Act of 1974, as amended (“ERISA”), (2) a plan or account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62" w:lineRule="exact"/>
        <w:rPr>
          <w:sz w:val="20"/>
          <w:szCs w:val="20"/>
          <w:color w:val="auto"/>
        </w:rPr>
      </w:pPr>
    </w:p>
    <w:p>
      <w:pPr>
        <w:ind w:left="900" w:right="24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with at least $50 million of assets under management or control as specified in 29 CFR Section 2510.3-21(c)(1)(i) (excluding an IRA owner if the purchaser is an IRA);</w:t>
      </w:r>
    </w:p>
    <w:p>
      <w:pPr>
        <w:spacing w:after="0" w:line="4"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5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50" w:lineRule="exact"/>
        <w:rPr>
          <w:rFonts w:ascii="Arial" w:cs="Arial" w:eastAsia="Arial" w:hAnsi="Arial"/>
          <w:sz w:val="18"/>
          <w:szCs w:val="18"/>
          <w:color w:val="auto"/>
        </w:rPr>
      </w:pPr>
    </w:p>
    <w:p>
      <w:pPr>
        <w:ind w:left="900" w:right="8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4" w:lineRule="exact"/>
        <w:rPr>
          <w:rFonts w:ascii="Arial" w:cs="Arial" w:eastAsia="Arial" w:hAnsi="Arial"/>
          <w:sz w:val="16"/>
          <w:szCs w:val="16"/>
          <w:color w:val="auto"/>
        </w:rPr>
      </w:pPr>
    </w:p>
    <w:p>
      <w:pPr>
        <w:ind w:left="900" w:right="220" w:hanging="446"/>
        <w:spacing w:after="0" w:line="332"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4"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2"/>
          <w:szCs w:val="12"/>
          <w:color w:val="auto"/>
        </w:rPr>
        <w:t>LLP</w:t>
      </w:r>
      <w:r>
        <w:rPr>
          <w:rFonts w:ascii="Arial" w:cs="Arial" w:eastAsia="Arial" w:hAnsi="Arial"/>
          <w:sz w:val="16"/>
          <w:szCs w:val="16"/>
          <w:color w:val="auto"/>
        </w:rPr>
        <w:t>, New York, New York, is representing the underwriters.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2016,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2016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923925</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400" w:type="dxa"/>
            <w:vAlign w:val="bottom"/>
            <w:gridSpan w:val="2"/>
          </w:tcPr>
          <w:p>
            <w:pPr>
              <w:ind w:left="1620"/>
              <w:spacing w:after="0"/>
              <w:rPr>
                <w:sz w:val="20"/>
                <w:szCs w:val="20"/>
                <w:color w:val="auto"/>
              </w:rPr>
            </w:pPr>
            <w:r>
              <w:rPr>
                <w:rFonts w:ascii="Arial" w:cs="Arial" w:eastAsia="Arial" w:hAnsi="Arial"/>
                <w:sz w:val="18"/>
                <w:szCs w:val="18"/>
                <w:color w:val="auto"/>
                <w:w w:val="90"/>
              </w:rPr>
              <w:t>• 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Units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3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7">
              <w:r>
                <w:rPr>
                  <w:rFonts w:ascii="Arial" w:cs="Arial" w:eastAsia="Arial" w:hAnsi="Arial"/>
                  <w:sz w:val="18"/>
                  <w:szCs w:val="18"/>
                  <w:color w:val="0000EE"/>
                  <w:w w:val="86"/>
                </w:rPr>
                <w:t>The Companies</w:t>
              </w:r>
            </w:hyperlink>
          </w:p>
        </w:tc>
        <w:tc>
          <w:tcPr>
            <w:tcW w:w="996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60" w:type="dxa"/>
            <w:vAlign w:val="bottom"/>
            <w:gridSpan w:val="10"/>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Caution Concerning Forward-Looking Statements</w:t>
              </w:r>
            </w:hyperlink>
          </w:p>
        </w:tc>
        <w:tc>
          <w:tcPr>
            <w:tcW w:w="7540" w:type="dxa"/>
            <w:vAlign w:val="bottom"/>
            <w:gridSpan w:val="2"/>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9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Ratios of Earnings to Fixed Charges and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Description of Debt Securities and Guarantees</w:t>
              </w:r>
            </w:hyperlink>
          </w:p>
        </w:tc>
        <w:tc>
          <w:tcPr>
            <w:tcW w:w="3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Global Securities</w:t>
              </w:r>
            </w:hyperlink>
          </w:p>
        </w:tc>
        <w:tc>
          <w:tcPr>
            <w:tcW w:w="78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Description of Capital Stock</w:t>
              </w:r>
            </w:hyperlink>
          </w:p>
        </w:tc>
        <w:tc>
          <w:tcPr>
            <w:tcW w:w="90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Legal Matters</w:t>
              </w:r>
            </w:hyperlink>
          </w:p>
        </w:tc>
        <w:tc>
          <w:tcPr>
            <w:tcW w:w="96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Experts</w:t>
              </w:r>
            </w:hyperlink>
          </w:p>
        </w:tc>
        <w:tc>
          <w:tcPr>
            <w:tcW w:w="101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1">
              <w:r>
                <w:rPr>
                  <w:rFonts w:ascii="Arial" w:cs="Arial" w:eastAsia="Arial" w:hAnsi="Arial"/>
                  <w:sz w:val="18"/>
                  <w:szCs w:val="18"/>
                  <w:color w:val="0000EE"/>
                  <w:w w:val="88"/>
                </w:rPr>
                <w:t>Incorporation of Certain Documents by Reference</w:t>
              </w:r>
            </w:hyperlink>
          </w:p>
        </w:tc>
        <w:tc>
          <w:tcPr>
            <w:tcW w:w="75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1" w:lineRule="exact"/>
        <w:rPr>
          <w:sz w:val="20"/>
          <w:szCs w:val="20"/>
          <w:color w:val="auto"/>
        </w:rPr>
      </w:pPr>
    </w:p>
    <w:p>
      <w:pPr>
        <w:jc w:val="both"/>
        <w:ind w:left="900" w:right="220" w:hanging="325"/>
        <w:spacing w:after="0" w:line="26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studio production operations.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38" w:lineRule="exact"/>
        <w:rPr>
          <w:rFonts w:ascii="Arial" w:cs="Arial" w:eastAsia="Arial" w:hAnsi="Arial"/>
          <w:sz w:val="18"/>
          <w:szCs w:val="18"/>
          <w:color w:val="auto"/>
        </w:rPr>
      </w:pPr>
    </w:p>
    <w:p>
      <w:pPr>
        <w:ind w:left="900" w:right="62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51% interest in the Universal Studios theme park located in Osaka, Japan.</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Six Months Ended</w:t>
            </w:r>
          </w:p>
        </w:tc>
        <w:tc>
          <w:tcPr>
            <w:tcW w:w="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29"/>
        </w:trPr>
        <w:tc>
          <w:tcPr>
            <w:tcW w:w="1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 2016</w:t>
            </w:r>
          </w:p>
        </w:tc>
        <w:tc>
          <w:tcPr>
            <w:tcW w:w="46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2014</w:t>
            </w:r>
          </w:p>
        </w:tc>
        <w:tc>
          <w:tcPr>
            <w:tcW w:w="1880" w:type="dxa"/>
            <w:vAlign w:val="bottom"/>
            <w:gridSpan w:val="2"/>
          </w:tcPr>
          <w:p>
            <w:pPr>
              <w:jc w:val="right"/>
              <w:ind w:right="472"/>
              <w:spacing w:after="0" w:line="129"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1"/>
                <w:szCs w:val="11"/>
                <w:color w:val="auto"/>
              </w:rPr>
            </w:pPr>
          </w:p>
        </w:tc>
        <w:tc>
          <w:tcPr>
            <w:tcW w:w="140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1"/>
                <w:szCs w:val="11"/>
                <w:color w:val="auto"/>
              </w:rPr>
            </w:pPr>
          </w:p>
        </w:tc>
        <w:tc>
          <w:tcPr>
            <w:tcW w:w="1400" w:type="dxa"/>
            <w:vAlign w:val="bottom"/>
          </w:tcPr>
          <w:p>
            <w:pPr>
              <w:jc w:val="right"/>
              <w:ind w:right="502"/>
              <w:spacing w:after="0" w:line="129" w:lineRule="exact"/>
              <w:rPr>
                <w:sz w:val="20"/>
                <w:szCs w:val="20"/>
                <w:color w:val="auto"/>
              </w:rPr>
            </w:pPr>
            <w:r>
              <w:rPr>
                <w:rFonts w:ascii="Arial" w:cs="Arial" w:eastAsia="Arial" w:hAnsi="Arial"/>
                <w:sz w:val="14"/>
                <w:szCs w:val="14"/>
                <w:b w:val="1"/>
                <w:bCs w:val="1"/>
                <w:color w:val="auto"/>
              </w:rPr>
              <w:t>2011</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1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5.20x</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5.48x</w:t>
            </w: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4.85x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right="100" w:firstLine="464"/>
        <w:spacing w:after="0" w:line="268" w:lineRule="auto"/>
        <w:tabs>
          <w:tab w:leader="none" w:pos="754"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31"/>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31"/>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80"/>
        <w:spacing w:after="0" w:line="256"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900" w:right="26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6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900" w:right="140" w:hanging="325"/>
        <w:spacing w:after="0" w:line="335"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7"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2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transfer agent and registrar for our Class A common stock is Wells Fargo Shareowner Services, P.O. Box 64874, St. Paul, Minnesota 55164-0874. Its telephone number is (888) 883-8903.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700405</wp:posOffset>
            </wp:positionV>
            <wp:extent cx="1397635" cy="488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820"/>
        <w:spacing w:after="0"/>
        <w:tabs>
          <w:tab w:leader="none" w:pos="6020" w:val="left"/>
        </w:tabs>
        <w:rPr>
          <w:sz w:val="20"/>
          <w:szCs w:val="20"/>
          <w:color w:val="auto"/>
        </w:rPr>
      </w:pPr>
      <w:r>
        <w:rPr>
          <w:rFonts w:ascii="Arial" w:cs="Arial" w:eastAsia="Arial" w:hAnsi="Arial"/>
          <w:sz w:val="32"/>
          <w:szCs w:val="32"/>
          <w:b w:val="1"/>
          <w:bCs w:val="1"/>
          <w:color w:val="auto"/>
        </w:rPr>
        <w:t>$1,650,000,000</w:t>
      </w:r>
      <w:r>
        <w:rPr>
          <w:sz w:val="20"/>
          <w:szCs w:val="20"/>
          <w:color w:val="auto"/>
        </w:rPr>
        <w:tab/>
      </w:r>
      <w:r>
        <w:rPr>
          <w:rFonts w:ascii="Arial" w:cs="Arial" w:eastAsia="Arial" w:hAnsi="Arial"/>
          <w:sz w:val="29"/>
          <w:szCs w:val="29"/>
          <w:b w:val="1"/>
          <w:bCs w:val="1"/>
          <w:color w:val="auto"/>
        </w:rPr>
        <w:t>3.150% Notes due 2028</w:t>
      </w:r>
    </w:p>
    <w:p>
      <w:pPr>
        <w:spacing w:after="0" w:line="33" w:lineRule="exact"/>
        <w:rPr>
          <w:sz w:val="20"/>
          <w:szCs w:val="20"/>
          <w:color w:val="auto"/>
        </w:rPr>
      </w:pPr>
    </w:p>
    <w:p>
      <w:pPr>
        <w:jc w:val="right"/>
        <w:ind w:right="2820"/>
        <w:spacing w:after="0"/>
        <w:tabs>
          <w:tab w:leader="none" w:pos="6020" w:val="left"/>
        </w:tabs>
        <w:rPr>
          <w:sz w:val="20"/>
          <w:szCs w:val="20"/>
          <w:color w:val="auto"/>
        </w:rPr>
      </w:pPr>
      <w:r>
        <w:rPr>
          <w:rFonts w:ascii="Arial" w:cs="Arial" w:eastAsia="Arial" w:hAnsi="Arial"/>
          <w:sz w:val="32"/>
          <w:szCs w:val="32"/>
          <w:b w:val="1"/>
          <w:bCs w:val="1"/>
          <w:color w:val="auto"/>
        </w:rPr>
        <w:t>$850,000,000</w:t>
      </w:r>
      <w:r>
        <w:rPr>
          <w:sz w:val="20"/>
          <w:szCs w:val="20"/>
          <w:color w:val="auto"/>
        </w:rPr>
        <w:tab/>
      </w:r>
      <w:r>
        <w:rPr>
          <w:rFonts w:ascii="Arial" w:cs="Arial" w:eastAsia="Arial" w:hAnsi="Arial"/>
          <w:sz w:val="29"/>
          <w:szCs w:val="29"/>
          <w:b w:val="1"/>
          <w:bCs w:val="1"/>
          <w:color w:val="auto"/>
        </w:rPr>
        <w:t>4.000% Notes due 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549910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4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5"/>
              </w:rPr>
              <w:t>PROSPECTUS SUPPLEMENT</w:t>
            </w:r>
          </w:p>
        </w:tc>
        <w:tc>
          <w:tcPr>
            <w:tcW w:w="3320" w:type="dxa"/>
            <w:vAlign w:val="bottom"/>
          </w:tcPr>
          <w:p>
            <w:pPr>
              <w:spacing w:after="0"/>
              <w:rPr>
                <w:sz w:val="19"/>
                <w:szCs w:val="19"/>
                <w:color w:val="auto"/>
              </w:rPr>
            </w:pPr>
          </w:p>
        </w:tc>
      </w:tr>
      <w:tr>
        <w:trPr>
          <w:trHeight w:val="286"/>
        </w:trPr>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70"/>
        </w:trPr>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gridSpan w:val="2"/>
          </w:tcPr>
          <w:p>
            <w:pPr>
              <w:jc w:val="center"/>
              <w:ind w:right="1080"/>
              <w:spacing w:after="0"/>
              <w:rPr>
                <w:sz w:val="20"/>
                <w:szCs w:val="20"/>
                <w:color w:val="auto"/>
              </w:rPr>
            </w:pPr>
            <w:r>
              <w:rPr>
                <w:rFonts w:ascii="Arial" w:cs="Arial" w:eastAsia="Arial" w:hAnsi="Arial"/>
                <w:sz w:val="18"/>
                <w:szCs w:val="18"/>
                <w:i w:val="1"/>
                <w:iCs w:val="1"/>
                <w:color w:val="auto"/>
                <w:w w:val="89"/>
              </w:rPr>
              <w:t>Joint Book-Running Managers</w:t>
            </w:r>
          </w:p>
        </w:tc>
        <w:tc>
          <w:tcPr>
            <w:tcW w:w="3320" w:type="dxa"/>
            <w:vAlign w:val="bottom"/>
          </w:tcPr>
          <w:p>
            <w:pPr>
              <w:spacing w:after="0"/>
              <w:rPr>
                <w:sz w:val="24"/>
                <w:szCs w:val="24"/>
                <w:color w:val="auto"/>
              </w:rPr>
            </w:pPr>
          </w:p>
        </w:tc>
      </w:tr>
      <w:tr>
        <w:trPr>
          <w:trHeight w:val="458"/>
        </w:trPr>
        <w:tc>
          <w:tcPr>
            <w:tcW w:w="3300" w:type="dxa"/>
            <w:vAlign w:val="bottom"/>
          </w:tcPr>
          <w:p>
            <w:pPr>
              <w:spacing w:after="0"/>
              <w:rPr>
                <w:sz w:val="20"/>
                <w:szCs w:val="20"/>
                <w:color w:val="auto"/>
              </w:rPr>
            </w:pPr>
            <w:r>
              <w:rPr>
                <w:rFonts w:ascii="Arial" w:cs="Arial" w:eastAsia="Arial" w:hAnsi="Arial"/>
                <w:sz w:val="22"/>
                <w:szCs w:val="22"/>
                <w:b w:val="1"/>
                <w:bCs w:val="1"/>
                <w:color w:val="auto"/>
              </w:rPr>
              <w:t>Citigroup</w:t>
            </w:r>
          </w:p>
        </w:tc>
        <w:tc>
          <w:tcPr>
            <w:tcW w:w="1080" w:type="dxa"/>
            <w:vAlign w:val="bottom"/>
          </w:tcPr>
          <w:p>
            <w:pPr>
              <w:spacing w:after="0"/>
              <w:rPr>
                <w:sz w:val="24"/>
                <w:szCs w:val="24"/>
                <w:color w:val="auto"/>
              </w:rPr>
            </w:pPr>
          </w:p>
        </w:tc>
        <w:tc>
          <w:tcPr>
            <w:tcW w:w="34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89"/>
              </w:rPr>
              <w:t>J.P. Morgan</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Mizuho Securities</w:t>
            </w:r>
          </w:p>
        </w:tc>
      </w:tr>
      <w:tr>
        <w:trPr>
          <w:trHeight w:val="365"/>
        </w:trPr>
        <w:tc>
          <w:tcPr>
            <w:tcW w:w="3300" w:type="dxa"/>
            <w:vAlign w:val="bottom"/>
          </w:tcPr>
          <w:p>
            <w:pPr>
              <w:spacing w:after="0"/>
              <w:rPr>
                <w:sz w:val="20"/>
                <w:szCs w:val="20"/>
                <w:color w:val="auto"/>
              </w:rPr>
            </w:pPr>
            <w:r>
              <w:rPr>
                <w:rFonts w:ascii="Arial" w:cs="Arial" w:eastAsia="Arial" w:hAnsi="Arial"/>
                <w:sz w:val="22"/>
                <w:szCs w:val="22"/>
                <w:b w:val="1"/>
                <w:bCs w:val="1"/>
                <w:color w:val="auto"/>
              </w:rPr>
              <w:t>Credit Suisse</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22"/>
                <w:szCs w:val="22"/>
                <w:b w:val="1"/>
                <w:bCs w:val="1"/>
                <w:color w:val="auto"/>
                <w:w w:val="93"/>
              </w:rPr>
              <w:t>RBC Capital Markets</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382"/>
        </w:trPr>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370"/>
        </w:trPr>
        <w:tc>
          <w:tcPr>
            <w:tcW w:w="3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80" w:type="dxa"/>
            <w:vAlign w:val="bottom"/>
            <w:gridSpan w:val="2"/>
          </w:tcPr>
          <w:p>
            <w:pPr>
              <w:jc w:val="center"/>
              <w:ind w:right="1100"/>
              <w:spacing w:after="0"/>
              <w:rPr>
                <w:sz w:val="20"/>
                <w:szCs w:val="20"/>
                <w:color w:val="auto"/>
              </w:rPr>
            </w:pPr>
            <w:r>
              <w:rPr>
                <w:rFonts w:ascii="Arial" w:cs="Arial" w:eastAsia="Arial" w:hAnsi="Arial"/>
                <w:sz w:val="18"/>
                <w:szCs w:val="18"/>
                <w:i w:val="1"/>
                <w:iCs w:val="1"/>
                <w:color w:val="auto"/>
                <w:w w:val="89"/>
              </w:rPr>
              <w:t>Co-Managers</w:t>
            </w:r>
          </w:p>
        </w:tc>
        <w:tc>
          <w:tcPr>
            <w:tcW w:w="3320" w:type="dxa"/>
            <w:vAlign w:val="bottom"/>
          </w:tcPr>
          <w:p>
            <w:pPr>
              <w:spacing w:after="0"/>
              <w:rPr>
                <w:sz w:val="24"/>
                <w:szCs w:val="24"/>
                <w:color w:val="auto"/>
              </w:rPr>
            </w:pPr>
          </w:p>
        </w:tc>
      </w:tr>
      <w:tr>
        <w:trPr>
          <w:trHeight w:val="458"/>
        </w:trPr>
        <w:tc>
          <w:tcPr>
            <w:tcW w:w="3300" w:type="dxa"/>
            <w:vAlign w:val="bottom"/>
          </w:tcPr>
          <w:p>
            <w:pPr>
              <w:spacing w:after="0"/>
              <w:rPr>
                <w:sz w:val="20"/>
                <w:szCs w:val="20"/>
                <w:color w:val="auto"/>
              </w:rPr>
            </w:pPr>
            <w:r>
              <w:rPr>
                <w:rFonts w:ascii="Arial" w:cs="Arial" w:eastAsia="Arial" w:hAnsi="Arial"/>
                <w:sz w:val="22"/>
                <w:szCs w:val="22"/>
                <w:b w:val="1"/>
                <w:bCs w:val="1"/>
                <w:color w:val="auto"/>
              </w:rPr>
              <w:t>Barclays</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22"/>
                <w:szCs w:val="22"/>
                <w:b w:val="1"/>
                <w:bCs w:val="1"/>
                <w:color w:val="auto"/>
                <w:w w:val="93"/>
              </w:rPr>
              <w:t>BNP PARIBAS</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BofA Merrill Lynch</w:t>
            </w:r>
          </w:p>
        </w:tc>
      </w:tr>
      <w:tr>
        <w:trPr>
          <w:trHeight w:val="365"/>
        </w:trPr>
        <w:tc>
          <w:tcPr>
            <w:tcW w:w="3300" w:type="dxa"/>
            <w:vAlign w:val="bottom"/>
          </w:tcPr>
          <w:p>
            <w:pPr>
              <w:spacing w:after="0"/>
              <w:rPr>
                <w:sz w:val="20"/>
                <w:szCs w:val="20"/>
                <w:color w:val="auto"/>
              </w:rPr>
            </w:pPr>
            <w:r>
              <w:rPr>
                <w:rFonts w:ascii="Arial" w:cs="Arial" w:eastAsia="Arial" w:hAnsi="Arial"/>
                <w:sz w:val="22"/>
                <w:szCs w:val="22"/>
                <w:b w:val="1"/>
                <w:bCs w:val="1"/>
                <w:color w:val="auto"/>
              </w:rPr>
              <w:t>Deutsche Bank Securities</w:t>
            </w:r>
          </w:p>
        </w:tc>
        <w:tc>
          <w:tcPr>
            <w:tcW w:w="1080" w:type="dxa"/>
            <w:vAlign w:val="bottom"/>
          </w:tcPr>
          <w:p>
            <w:pPr>
              <w:spacing w:after="0"/>
              <w:rPr>
                <w:sz w:val="24"/>
                <w:szCs w:val="24"/>
                <w:color w:val="auto"/>
              </w:rPr>
            </w:pPr>
          </w:p>
        </w:tc>
        <w:tc>
          <w:tcPr>
            <w:tcW w:w="3480" w:type="dxa"/>
            <w:vAlign w:val="bottom"/>
            <w:gridSpan w:val="2"/>
          </w:tcPr>
          <w:p>
            <w:pPr>
              <w:jc w:val="center"/>
              <w:ind w:right="920"/>
              <w:spacing w:after="0"/>
              <w:rPr>
                <w:sz w:val="20"/>
                <w:szCs w:val="20"/>
                <w:color w:val="auto"/>
              </w:rPr>
            </w:pPr>
            <w:r>
              <w:rPr>
                <w:rFonts w:ascii="Arial" w:cs="Arial" w:eastAsia="Arial" w:hAnsi="Arial"/>
                <w:sz w:val="22"/>
                <w:szCs w:val="22"/>
                <w:b w:val="1"/>
                <w:bCs w:val="1"/>
                <w:color w:val="auto"/>
                <w:w w:val="91"/>
              </w:rPr>
              <w:t>Goldman Sachs &amp; Co. LLC</w:t>
            </w: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Morgan Stanley</w:t>
            </w:r>
          </w:p>
        </w:tc>
      </w:tr>
      <w:tr>
        <w:trPr>
          <w:trHeight w:val="365"/>
        </w:trPr>
        <w:tc>
          <w:tcPr>
            <w:tcW w:w="3300" w:type="dxa"/>
            <w:vAlign w:val="bottom"/>
          </w:tcPr>
          <w:p>
            <w:pPr>
              <w:spacing w:after="0"/>
              <w:rPr>
                <w:sz w:val="20"/>
                <w:szCs w:val="20"/>
                <w:color w:val="auto"/>
              </w:rPr>
            </w:pPr>
            <w:r>
              <w:rPr>
                <w:rFonts w:ascii="Arial" w:cs="Arial" w:eastAsia="Arial" w:hAnsi="Arial"/>
                <w:sz w:val="22"/>
                <w:szCs w:val="22"/>
                <w:b w:val="1"/>
                <w:bCs w:val="1"/>
                <w:color w:val="auto"/>
              </w:rPr>
              <w:t>TD Securities</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22"/>
                <w:szCs w:val="22"/>
                <w:b w:val="1"/>
                <w:bCs w:val="1"/>
                <w:color w:val="auto"/>
              </w:rPr>
              <w:t>Wells Fargo Securities</w:t>
            </w:r>
          </w:p>
        </w:tc>
      </w:tr>
      <w:tr>
        <w:trPr>
          <w:trHeight w:val="285"/>
        </w:trPr>
        <w:tc>
          <w:tcPr>
            <w:tcW w:w="3300" w:type="dxa"/>
            <w:vAlign w:val="bottom"/>
          </w:tcPr>
          <w:p>
            <w:pPr>
              <w:spacing w:after="0"/>
              <w:rPr>
                <w:sz w:val="20"/>
                <w:szCs w:val="20"/>
                <w:color w:val="auto"/>
              </w:rPr>
            </w:pPr>
            <w:r>
              <w:rPr>
                <w:rFonts w:ascii="Arial" w:cs="Arial" w:eastAsia="Arial" w:hAnsi="Arial"/>
                <w:sz w:val="18"/>
                <w:szCs w:val="18"/>
                <w:b w:val="1"/>
                <w:bCs w:val="1"/>
                <w:color w:val="auto"/>
              </w:rPr>
              <w:t>Allen &amp; Company LLC</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COMMERZBANK</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DNB Markets</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Evercore ISI</w:t>
            </w:r>
          </w:p>
        </w:tc>
        <w:tc>
          <w:tcPr>
            <w:tcW w:w="1080" w:type="dxa"/>
            <w:vAlign w:val="bottom"/>
          </w:tcPr>
          <w:p>
            <w:pPr>
              <w:spacing w:after="0"/>
              <w:rPr>
                <w:sz w:val="24"/>
                <w:szCs w:val="24"/>
                <w:color w:val="auto"/>
              </w:rPr>
            </w:pPr>
          </w:p>
        </w:tc>
        <w:tc>
          <w:tcPr>
            <w:tcW w:w="34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4"/>
              </w:rPr>
              <w:t>PNC Capital Markets LLC</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US Bancorp</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ICBC Standard Bank</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SOCIETE GENERALE</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Mischler Financial Group, Inc.</w:t>
            </w:r>
          </w:p>
        </w:tc>
        <w:tc>
          <w:tcPr>
            <w:tcW w:w="1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Ramirez &amp; Co., Inc.</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Academy Securities</w:t>
            </w:r>
          </w:p>
        </w:tc>
        <w:tc>
          <w:tcPr>
            <w:tcW w:w="1080" w:type="dxa"/>
            <w:vAlign w:val="bottom"/>
          </w:tcPr>
          <w:p>
            <w:pPr>
              <w:spacing w:after="0"/>
              <w:rPr>
                <w:sz w:val="24"/>
                <w:szCs w:val="24"/>
                <w:color w:val="auto"/>
              </w:rPr>
            </w:pPr>
          </w:p>
        </w:tc>
        <w:tc>
          <w:tcPr>
            <w:tcW w:w="34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7"/>
              </w:rPr>
              <w:t>CastleOak Securities, L.P.</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Drexel Hamilton</w:t>
            </w:r>
          </w:p>
        </w:tc>
      </w:tr>
      <w:tr>
        <w:trPr>
          <w:trHeight w:val="297"/>
        </w:trPr>
        <w:tc>
          <w:tcPr>
            <w:tcW w:w="3300" w:type="dxa"/>
            <w:vAlign w:val="bottom"/>
          </w:tcPr>
          <w:p>
            <w:pPr>
              <w:spacing w:after="0"/>
              <w:rPr>
                <w:sz w:val="20"/>
                <w:szCs w:val="20"/>
                <w:color w:val="auto"/>
              </w:rPr>
            </w:pPr>
            <w:r>
              <w:rPr>
                <w:rFonts w:ascii="Arial" w:cs="Arial" w:eastAsia="Arial" w:hAnsi="Arial"/>
                <w:sz w:val="18"/>
                <w:szCs w:val="18"/>
                <w:b w:val="1"/>
                <w:bCs w:val="1"/>
                <w:color w:val="auto"/>
              </w:rPr>
              <w:t>Loop Capital Markets</w:t>
            </w:r>
          </w:p>
        </w:tc>
        <w:tc>
          <w:tcPr>
            <w:tcW w:w="4560" w:type="dxa"/>
            <w:vAlign w:val="bottom"/>
            <w:gridSpan w:val="3"/>
          </w:tcPr>
          <w:p>
            <w:pPr>
              <w:jc w:val="center"/>
              <w:ind w:left="52"/>
              <w:spacing w:after="0"/>
              <w:rPr>
                <w:sz w:val="20"/>
                <w:szCs w:val="20"/>
                <w:color w:val="auto"/>
              </w:rPr>
            </w:pPr>
            <w:r>
              <w:rPr>
                <w:rFonts w:ascii="Arial" w:cs="Arial" w:eastAsia="Arial" w:hAnsi="Arial"/>
                <w:sz w:val="18"/>
                <w:szCs w:val="18"/>
                <w:b w:val="1"/>
                <w:bCs w:val="1"/>
                <w:color w:val="auto"/>
                <w:w w:val="89"/>
              </w:rPr>
              <w:t>Siebert Cisneros Shank &amp; Co., L.L.C.</w:t>
            </w:r>
          </w:p>
        </w:tc>
        <w:tc>
          <w:tcPr>
            <w:tcW w:w="3320" w:type="dxa"/>
            <w:vAlign w:val="bottom"/>
          </w:tcPr>
          <w:p>
            <w:pPr>
              <w:jc w:val="right"/>
              <w:spacing w:after="0"/>
              <w:rPr>
                <w:sz w:val="20"/>
                <w:szCs w:val="20"/>
                <w:color w:val="auto"/>
              </w:rPr>
            </w:pPr>
            <w:r>
              <w:rPr>
                <w:rFonts w:ascii="Arial" w:cs="Arial" w:eastAsia="Arial" w:hAnsi="Arial"/>
                <w:sz w:val="18"/>
                <w:szCs w:val="18"/>
                <w:b w:val="1"/>
                <w:bCs w:val="1"/>
                <w:color w:val="auto"/>
              </w:rPr>
              <w:t>The Williams Capital Group, L.P.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August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20"/>
      </w:cols>
      <w:pgMar w:left="240" w:top="45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decimal"/>
      <w:start w:val="215"/>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lowerLetter"/>
      <w:start w:val="3"/>
    </w:lvl>
  </w:abstractNum>
  <w:abstractNum w:abstractNumId="6">
    <w:nsid w:val="836C40E"/>
    <w:multiLevelType w:val="hybridMultilevel"/>
    <w:lvl w:ilvl="0">
      <w:lvlJc w:val="left"/>
      <w:lvlText w:val="•"/>
      <w:numFmt w:val="bullet"/>
      <w:start w:val="1"/>
    </w:lvl>
    <w:lvl w:ilvl="1">
      <w:lvlJc w:val="left"/>
      <w:lvlText w:val="•"/>
      <w:numFmt w:val="bullet"/>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lowerRoman"/>
      <w:start w:val="1"/>
    </w:lvl>
  </w:abstractNum>
  <w:abstractNum w:abstractNumId="14">
    <w:nsid w:val="22221A70"/>
    <w:multiLevelType w:val="hybridMultilevel"/>
    <w:lvl w:ilvl="0">
      <w:lvlJc w:val="left"/>
      <w:lvlText w:val="(%1)"/>
      <w:numFmt w:val="lowerRoman"/>
      <w:start w:val="2"/>
    </w:lvl>
  </w:abstractNum>
  <w:abstractNum w:abstractNumId="15">
    <w:nsid w:val="4516DDE9"/>
    <w:multiLevelType w:val="hybridMultilevel"/>
    <w:lvl w:ilvl="0">
      <w:lvlJc w:val="left"/>
      <w:lvlText w:val="(%1)"/>
      <w:numFmt w:val="lowerRoman"/>
      <w:start w:val="1"/>
    </w:lvl>
  </w:abstractNum>
  <w:abstractNum w:abstractNumId="16">
    <w:nsid w:val="3006C83E"/>
    <w:multiLevelType w:val="hybridMultilevel"/>
    <w:lvl w:ilvl="0">
      <w:lvlJc w:val="left"/>
      <w:lvlText w:val="(%1)"/>
      <w:numFmt w:val="lowerLetter"/>
      <w:start w:val="1"/>
    </w:lvl>
  </w:abstractNum>
  <w:abstractNum w:abstractNumId="17">
    <w:nsid w:val="614FD4A1"/>
    <w:multiLevelType w:val="hybridMultilevel"/>
    <w:lvl w:ilvl="0">
      <w:lvlJc w:val="left"/>
      <w:lvlText w:val="(%1)"/>
      <w:numFmt w:val="lowerRoman"/>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lowerLetter"/>
      <w:start w:val="3"/>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2"/>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Letter"/>
      <w:start w:val="1"/>
    </w:lvl>
  </w:abstractNum>
  <w:abstractNum w:abstractNumId="29">
    <w:nsid w:val="2D517796"/>
    <w:multiLevelType w:val="hybridMultilevel"/>
    <w:lvl w:ilvl="0">
      <w:lvlJc w:val="left"/>
      <w:lvlText w:val="(%1)"/>
      <w:numFmt w:val="lowerLetter"/>
      <w:start w:val="3"/>
    </w:lvl>
  </w:abstractNum>
  <w:abstractNum w:abstractNumId="30">
    <w:nsid w:val="580BD78F"/>
    <w:multiLevelType w:val="hybridMultilevel"/>
    <w:lvl w:ilvl="0">
      <w:lvlJc w:val="left"/>
      <w:lvlText w:val="%1"/>
      <w:numFmt w:val="lowerLetter"/>
      <w:start w:val="1"/>
    </w:lvl>
    <w:lvl w:ilvl="1">
      <w:lvlJc w:val="left"/>
      <w:lvlText w:val="(%2)"/>
      <w:numFmt w:val="lowerLetter"/>
      <w:start w:val="12"/>
    </w:lvl>
  </w:abstractNum>
  <w:abstractNum w:abstractNumId="31">
    <w:nsid w:val="153EA438"/>
    <w:multiLevelType w:val="hybridMultilevel"/>
    <w:lvl w:ilvl="0">
      <w:lvlJc w:val="left"/>
      <w:lvlText w:val="(%1)"/>
      <w:numFmt w:val="lowerLetter"/>
      <w:start w:val="61"/>
    </w:lvl>
    <w:lvl w:ilvl="1">
      <w:lvlJc w:val="left"/>
      <w:lvlText w:val="(%2)"/>
      <w:numFmt w:val="lowerLetter"/>
      <w:start w:val="19"/>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
      <w:numFmt w:val="bullet"/>
      <w:start w:val="1"/>
    </w:lvl>
    <w:lvl w:ilvl="1">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lvl w:ilvl="1">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2019-12-06T18:14:44Z</dcterms:created>
  <dcterms:modified xsi:type="dcterms:W3CDTF">2019-12-06T18:14:44Z</dcterms:modified>
</cp:coreProperties>
</file>