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220" w:type="dxa"/>
        <w:tblCellMar>
          <w:top w:w="0" w:type="dxa"/>
          <w:left w:w="0" w:type="dxa"/>
          <w:bottom w:w="0" w:type="dxa"/>
          <w:right w:w="0" w:type="dxa"/>
        </w:tblCellMar>
      </w:tblPr>
      <w:tr>
        <w:trPr>
          <w:trHeight w:val="180"/>
        </w:trPr>
        <w:tc>
          <w:tcPr>
            <w:tcW w:w="6840" w:type="dxa"/>
            <w:vAlign w:val="bottom"/>
            <w:tcBorders>
              <w:top w:val="single" w:sz="8" w:color="auto"/>
              <w:right w:val="single" w:sz="8" w:color="auto"/>
            </w:tcBorders>
          </w:tcPr>
          <w:p>
            <w:pPr>
              <w:spacing w:after="0"/>
              <w:rPr>
                <w:sz w:val="15"/>
                <w:szCs w:val="15"/>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Proposed Maximum</w:t>
            </w:r>
          </w:p>
        </w:tc>
        <w:tc>
          <w:tcPr>
            <w:tcW w:w="206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6840" w:type="dxa"/>
            <w:vAlign w:val="bottom"/>
            <w:tcBorders>
              <w:right w:val="single" w:sz="8" w:color="auto"/>
            </w:tcBorders>
            <w:vMerge w:val="restart"/>
          </w:tcPr>
          <w:p>
            <w:pPr>
              <w:ind w:left="19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40" w:type="dxa"/>
            <w:vAlign w:val="bottom"/>
            <w:tcBorders>
              <w:bottom w:val="single" w:sz="8" w:color="auto"/>
              <w:right w:val="single" w:sz="8" w:color="auto"/>
            </w:tcBorders>
            <w:vMerge w:val="continue"/>
          </w:tcPr>
          <w:p>
            <w:pPr>
              <w:spacing w:after="0"/>
              <w:rPr>
                <w:sz w:val="14"/>
                <w:szCs w:val="1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Registration Fee (1)</w:t>
            </w:r>
          </w:p>
        </w:tc>
        <w:tc>
          <w:tcPr>
            <w:tcW w:w="0" w:type="dxa"/>
            <w:vAlign w:val="bottom"/>
          </w:tcPr>
          <w:p>
            <w:pPr>
              <w:spacing w:after="0"/>
              <w:rPr>
                <w:sz w:val="1"/>
                <w:szCs w:val="1"/>
                <w:color w:val="auto"/>
              </w:rPr>
            </w:pPr>
          </w:p>
        </w:tc>
      </w:tr>
      <w:tr>
        <w:trPr>
          <w:trHeight w:val="237"/>
        </w:trPr>
        <w:tc>
          <w:tcPr>
            <w:tcW w:w="6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2.650% Notes due 2030</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$1,600,000,000</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$207,680</w:t>
            </w:r>
          </w:p>
        </w:tc>
        <w:tc>
          <w:tcPr>
            <w:tcW w:w="0" w:type="dxa"/>
            <w:vAlign w:val="bottom"/>
          </w:tcPr>
          <w:p>
            <w:pPr>
              <w:spacing w:after="0"/>
              <w:rPr>
                <w:sz w:val="1"/>
                <w:szCs w:val="1"/>
                <w:color w:val="auto"/>
              </w:rPr>
            </w:pPr>
          </w:p>
        </w:tc>
      </w:tr>
      <w:tr>
        <w:trPr>
          <w:trHeight w:val="27"/>
        </w:trPr>
        <w:tc>
          <w:tcPr>
            <w:tcW w:w="68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3.250% Notes due 2039</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$1,350,000,000</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$175,230</w:t>
            </w:r>
          </w:p>
        </w:tc>
        <w:tc>
          <w:tcPr>
            <w:tcW w:w="0" w:type="dxa"/>
            <w:vAlign w:val="bottom"/>
          </w:tcPr>
          <w:p>
            <w:pPr>
              <w:spacing w:after="0"/>
              <w:rPr>
                <w:sz w:val="1"/>
                <w:szCs w:val="1"/>
                <w:color w:val="auto"/>
              </w:rPr>
            </w:pPr>
          </w:p>
        </w:tc>
      </w:tr>
      <w:tr>
        <w:trPr>
          <w:trHeight w:val="27"/>
        </w:trPr>
        <w:tc>
          <w:tcPr>
            <w:tcW w:w="68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3.450% Notes due 2050</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$1,800,000,000</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$233,640</w:t>
            </w:r>
          </w:p>
        </w:tc>
        <w:tc>
          <w:tcPr>
            <w:tcW w:w="0" w:type="dxa"/>
            <w:vAlign w:val="bottom"/>
          </w:tcPr>
          <w:p>
            <w:pPr>
              <w:spacing w:after="0"/>
              <w:rPr>
                <w:sz w:val="1"/>
                <w:szCs w:val="1"/>
                <w:color w:val="auto"/>
              </w:rPr>
            </w:pPr>
          </w:p>
        </w:tc>
      </w:tr>
      <w:tr>
        <w:trPr>
          <w:trHeight w:val="27"/>
        </w:trPr>
        <w:tc>
          <w:tcPr>
            <w:tcW w:w="68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2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$4,750,000,000</w:t>
            </w:r>
          </w:p>
        </w:tc>
        <w:tc>
          <w:tcPr>
            <w:tcW w:w="2060" w:type="dxa"/>
            <w:vAlign w:val="bottom"/>
          </w:tcPr>
          <w:p>
            <w:pPr>
              <w:jc w:val="right"/>
              <w:ind w:right="16"/>
              <w:spacing w:after="0"/>
              <w:rPr>
                <w:sz w:val="20"/>
                <w:szCs w:val="20"/>
                <w:color w:val="auto"/>
              </w:rPr>
            </w:pPr>
            <w:r>
              <w:rPr>
                <w:rFonts w:ascii="Arial" w:cs="Arial" w:eastAsia="Arial" w:hAnsi="Arial"/>
                <w:sz w:val="18"/>
                <w:szCs w:val="18"/>
                <w:color w:val="auto"/>
              </w:rPr>
              <w:t>$616,550</w:t>
            </w:r>
          </w:p>
        </w:tc>
        <w:tc>
          <w:tcPr>
            <w:tcW w:w="0" w:type="dxa"/>
            <w:vAlign w:val="bottom"/>
          </w:tcPr>
          <w:p>
            <w:pPr>
              <w:spacing w:after="0"/>
              <w:rPr>
                <w:sz w:val="1"/>
                <w:szCs w:val="1"/>
                <w:color w:val="auto"/>
              </w:rPr>
            </w:pPr>
          </w:p>
        </w:tc>
      </w:tr>
      <w:tr>
        <w:trPr>
          <w:trHeight w:val="48"/>
        </w:trPr>
        <w:tc>
          <w:tcPr>
            <w:tcW w:w="684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740" w:hanging="428"/>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333-232941</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142875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$1,600,000,000 2.650% Notes due 2030</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$1,350,000,000 3.250% Notes due 2039</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$1,800,000,000 3.450%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6997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72"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The Notes due 2030 (the “Notes due 2030”) will bear interest at a rate of 2.650% per year and will mature on February 1, 2030, the Notes due 2039 (the “Notes due 2039”) will bear interest at a rate of 3.250% per year and will mature on November 1, 2039, and the Notes due 2050 (the “Notes due 2050”) will bear interest at a rate of 3.450% per year and will mature on February 1, 2050. We refer to the Notes due 2030, the Notes due 2039 and the Notes due 2050 collectively as the “notes.” We will pay interest on the Notes due 2030 and the Notes due 2050 on February 1 and August 1 of each year, beginning on February 1, 2020 and on the Notes due 2039 on May 1 and November 1 of each year, beginning on May 1, 2020. We may redeem any of the notes at any time by paying the applicable Redemption Price described under the heading “Description of the Notes—Optional Redemption.”</w:t>
      </w:r>
    </w:p>
    <w:p>
      <w:pPr>
        <w:spacing w:after="0" w:line="57"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69977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2" w:lineRule="exact"/>
        <w:rPr>
          <w:sz w:val="20"/>
          <w:szCs w:val="20"/>
          <w:color w:val="auto"/>
        </w:rPr>
      </w:pPr>
    </w:p>
    <w:p>
      <w:pPr>
        <w:ind w:left="200" w:right="160"/>
        <w:spacing w:after="0" w:line="313" w:lineRule="auto"/>
        <w:rPr>
          <w:sz w:val="20"/>
          <w:szCs w:val="20"/>
          <w:color w:val="auto"/>
        </w:rPr>
      </w:pPr>
      <w:r>
        <w:rPr>
          <w:rFonts w:ascii="Arial" w:cs="Arial" w:eastAsia="Arial" w:hAnsi="Arial"/>
          <w:sz w:val="17"/>
          <w:szCs w:val="17"/>
          <w:b w:val="1"/>
          <w:bCs w:val="1"/>
          <w:color w:val="auto"/>
        </w:rPr>
        <w:t>Investing in these securities involves certain risks. See “Item 1A—Risk Factors” beginning on page 21 of Comcast Corporation’s (“Comcast”) Annual Report on Form 10-K for the year ended December 31, 2018, which is incorporated by reference herein.</w:t>
      </w:r>
    </w:p>
    <w:p>
      <w:pPr>
        <w:spacing w:after="0" w:line="12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restart"/>
          </w:tcPr>
          <w:p>
            <w:pPr>
              <w:jc w:val="right"/>
              <w:ind w:right="980"/>
              <w:spacing w:after="0"/>
              <w:rPr>
                <w:sz w:val="20"/>
                <w:szCs w:val="20"/>
                <w:color w:val="auto"/>
              </w:rPr>
            </w:pPr>
            <w:r>
              <w:rPr>
                <w:rFonts w:ascii="Arial" w:cs="Arial" w:eastAsia="Arial" w:hAnsi="Arial"/>
                <w:sz w:val="14"/>
                <w:szCs w:val="14"/>
                <w:b w:val="1"/>
                <w:bCs w:val="1"/>
                <w:color w:val="auto"/>
              </w:rPr>
              <w:t>Price to</w:t>
            </w:r>
          </w:p>
        </w:tc>
        <w:tc>
          <w:tcPr>
            <w:tcW w:w="140" w:type="dxa"/>
            <w:vAlign w:val="bottom"/>
          </w:tcPr>
          <w:p>
            <w:pPr>
              <w:spacing w:after="0"/>
              <w:rPr>
                <w:sz w:val="14"/>
                <w:szCs w:val="14"/>
                <w:color w:val="auto"/>
              </w:rPr>
            </w:pPr>
          </w:p>
        </w:tc>
        <w:tc>
          <w:tcPr>
            <w:tcW w:w="16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9"/>
              </w:rPr>
              <w:t>Underwriters’</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Before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Investors</w:t>
            </w:r>
          </w:p>
        </w:tc>
        <w:tc>
          <w:tcPr>
            <w:tcW w:w="14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10"/>
        </w:trPr>
        <w:tc>
          <w:tcPr>
            <w:tcW w:w="4160" w:type="dxa"/>
            <w:vAlign w:val="bottom"/>
            <w:tcBorders>
              <w:top w:val="single" w:sz="8" w:color="D1FCFC"/>
            </w:tcBorders>
            <w:shd w:val="clear" w:color="auto" w:fill="D1FCFC"/>
          </w:tcPr>
          <w:p>
            <w:pPr>
              <w:spacing w:after="0"/>
              <w:rPr>
                <w:sz w:val="20"/>
                <w:szCs w:val="20"/>
                <w:color w:val="auto"/>
              </w:rPr>
            </w:pPr>
            <w:r>
              <w:rPr>
                <w:rFonts w:ascii="Arial" w:cs="Arial" w:eastAsia="Arial" w:hAnsi="Arial"/>
                <w:sz w:val="18"/>
                <w:szCs w:val="18"/>
                <w:color w:val="auto"/>
              </w:rPr>
              <w:t xml:space="preserve">Per note due 2030 </w:t>
            </w:r>
            <w:r>
              <w:rPr>
                <w:rFonts w:ascii="Arial" w:cs="Arial" w:eastAsia="Arial" w:hAnsi="Arial"/>
                <w:sz w:val="15"/>
                <w:szCs w:val="15"/>
                <w:color w:val="auto"/>
              </w:rPr>
              <w:t>(1)</w:t>
            </w:r>
          </w:p>
        </w:tc>
        <w:tc>
          <w:tcPr>
            <w:tcW w:w="160" w:type="dxa"/>
            <w:vAlign w:val="bottom"/>
            <w:tcBorders>
              <w:top w:val="single" w:sz="8" w:color="auto"/>
            </w:tcBorders>
            <w:shd w:val="clear" w:color="auto" w:fill="D1FCFC"/>
          </w:tcPr>
          <w:p>
            <w:pPr>
              <w:spacing w:after="0"/>
              <w:rPr>
                <w:sz w:val="18"/>
                <w:szCs w:val="18"/>
                <w:color w:val="auto"/>
              </w:rPr>
            </w:pPr>
          </w:p>
        </w:tc>
        <w:tc>
          <w:tcPr>
            <w:tcW w:w="110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99.851%</w:t>
            </w:r>
          </w:p>
        </w:tc>
        <w:tc>
          <w:tcPr>
            <w:tcW w:w="580" w:type="dxa"/>
            <w:vAlign w:val="bottom"/>
            <w:tcBorders>
              <w:top w:val="single" w:sz="8" w:color="D1FCFC"/>
            </w:tcBorders>
            <w:shd w:val="clear" w:color="auto" w:fill="D1FCFC"/>
          </w:tcPr>
          <w:p>
            <w:pPr>
              <w:spacing w:after="0"/>
              <w:rPr>
                <w:sz w:val="18"/>
                <w:szCs w:val="18"/>
                <w:color w:val="auto"/>
              </w:rPr>
            </w:pPr>
          </w:p>
        </w:tc>
        <w:tc>
          <w:tcPr>
            <w:tcW w:w="140" w:type="dxa"/>
            <w:vAlign w:val="bottom"/>
            <w:tcBorders>
              <w:top w:val="single" w:sz="8" w:color="auto"/>
            </w:tcBorders>
            <w:shd w:val="clear" w:color="auto" w:fill="D1FCFC"/>
          </w:tcPr>
          <w:p>
            <w:pPr>
              <w:spacing w:after="0"/>
              <w:rPr>
                <w:sz w:val="18"/>
                <w:szCs w:val="18"/>
                <w:color w:val="auto"/>
              </w:rPr>
            </w:pPr>
          </w:p>
        </w:tc>
        <w:tc>
          <w:tcPr>
            <w:tcW w:w="110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0.400%</w:t>
            </w:r>
          </w:p>
        </w:tc>
        <w:tc>
          <w:tcPr>
            <w:tcW w:w="580" w:type="dxa"/>
            <w:vAlign w:val="bottom"/>
            <w:tcBorders>
              <w:top w:val="single" w:sz="8" w:color="D1FCFC"/>
            </w:tcBorders>
            <w:shd w:val="clear" w:color="auto" w:fill="D1FCFC"/>
          </w:tcPr>
          <w:p>
            <w:pPr>
              <w:spacing w:after="0"/>
              <w:rPr>
                <w:sz w:val="18"/>
                <w:szCs w:val="18"/>
                <w:color w:val="auto"/>
              </w:rPr>
            </w:pPr>
          </w:p>
        </w:tc>
        <w:tc>
          <w:tcPr>
            <w:tcW w:w="160" w:type="dxa"/>
            <w:vAlign w:val="bottom"/>
            <w:tcBorders>
              <w:top w:val="single" w:sz="8" w:color="auto"/>
            </w:tcBorders>
            <w:shd w:val="clear" w:color="auto" w:fill="D1FCFC"/>
          </w:tcPr>
          <w:p>
            <w:pPr>
              <w:spacing w:after="0"/>
              <w:rPr>
                <w:sz w:val="18"/>
                <w:szCs w:val="18"/>
                <w:color w:val="auto"/>
              </w:rPr>
            </w:pPr>
          </w:p>
        </w:tc>
        <w:tc>
          <w:tcPr>
            <w:tcW w:w="1220" w:type="dxa"/>
            <w:vAlign w:val="bottom"/>
            <w:tcBorders>
              <w:top w:val="single" w:sz="8" w:color="auto"/>
            </w:tcBorders>
            <w:shd w:val="clear" w:color="auto" w:fill="D1FCFC"/>
          </w:tcPr>
          <w:p>
            <w:pPr>
              <w:jc w:val="right"/>
              <w:spacing w:after="0"/>
              <w:rPr>
                <w:sz w:val="20"/>
                <w:szCs w:val="20"/>
                <w:color w:val="auto"/>
              </w:rPr>
            </w:pPr>
            <w:r>
              <w:rPr>
                <w:rFonts w:ascii="Arial" w:cs="Arial" w:eastAsia="Arial" w:hAnsi="Arial"/>
                <w:sz w:val="18"/>
                <w:szCs w:val="18"/>
                <w:color w:val="auto"/>
              </w:rPr>
              <w:t>99.451%</w:t>
            </w:r>
          </w:p>
        </w:tc>
        <w:tc>
          <w:tcPr>
            <w:tcW w:w="60" w:type="dxa"/>
            <w:vAlign w:val="bottom"/>
            <w:tcBorders>
              <w:top w:val="single" w:sz="8" w:color="D1FCFC"/>
            </w:tcBorders>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1,597,616,000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6,400,000</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w w:val="99"/>
              </w:rPr>
              <w:t>1,591,216,000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D1FCFC"/>
          </w:tcPr>
          <w:p>
            <w:pPr>
              <w:spacing w:after="0"/>
              <w:rPr>
                <w:sz w:val="20"/>
                <w:szCs w:val="20"/>
                <w:color w:val="auto"/>
              </w:rPr>
            </w:pPr>
            <w:r>
              <w:rPr>
                <w:rFonts w:ascii="Arial" w:cs="Arial" w:eastAsia="Arial" w:hAnsi="Arial"/>
                <w:sz w:val="18"/>
                <w:szCs w:val="18"/>
                <w:color w:val="auto"/>
              </w:rPr>
              <w:t>Per note due 2039</w:t>
            </w:r>
            <w:r>
              <w:rPr>
                <w:rFonts w:ascii="Arial" w:cs="Arial" w:eastAsia="Arial" w:hAnsi="Arial"/>
                <w:sz w:val="15"/>
                <w:szCs w:val="15"/>
                <w:color w:val="auto"/>
              </w:rPr>
              <w:t>(1)</w:t>
            </w:r>
          </w:p>
        </w:tc>
        <w:tc>
          <w:tcPr>
            <w:tcW w:w="160" w:type="dxa"/>
            <w:vAlign w:val="bottom"/>
            <w:shd w:val="clear" w:color="auto" w:fill="D1FCFC"/>
          </w:tcPr>
          <w:p>
            <w:pPr>
              <w:spacing w:after="0"/>
              <w:rPr>
                <w:sz w:val="18"/>
                <w:szCs w:val="18"/>
                <w:color w:val="auto"/>
              </w:rPr>
            </w:pPr>
          </w:p>
        </w:tc>
        <w:tc>
          <w:tcPr>
            <w:tcW w:w="1680" w:type="dxa"/>
            <w:vAlign w:val="bottom"/>
            <w:gridSpan w:val="2"/>
            <w:shd w:val="clear" w:color="auto" w:fill="D1FCFC"/>
          </w:tcPr>
          <w:p>
            <w:pPr>
              <w:jc w:val="right"/>
              <w:ind w:right="580"/>
              <w:spacing w:after="0"/>
              <w:rPr>
                <w:sz w:val="20"/>
                <w:szCs w:val="20"/>
                <w:color w:val="auto"/>
              </w:rPr>
            </w:pPr>
            <w:r>
              <w:rPr>
                <w:rFonts w:ascii="Arial" w:cs="Arial" w:eastAsia="Arial" w:hAnsi="Arial"/>
                <w:sz w:val="18"/>
                <w:szCs w:val="18"/>
                <w:color w:val="auto"/>
              </w:rPr>
              <w:t>99.810%</w:t>
            </w:r>
          </w:p>
        </w:tc>
        <w:tc>
          <w:tcPr>
            <w:tcW w:w="140" w:type="dxa"/>
            <w:vAlign w:val="bottom"/>
            <w:shd w:val="clear" w:color="auto" w:fill="D1FCFC"/>
          </w:tcPr>
          <w:p>
            <w:pPr>
              <w:spacing w:after="0"/>
              <w:rPr>
                <w:sz w:val="18"/>
                <w:szCs w:val="18"/>
                <w:color w:val="auto"/>
              </w:rPr>
            </w:pPr>
          </w:p>
        </w:tc>
        <w:tc>
          <w:tcPr>
            <w:tcW w:w="1680" w:type="dxa"/>
            <w:vAlign w:val="bottom"/>
            <w:gridSpan w:val="2"/>
            <w:shd w:val="clear" w:color="auto" w:fill="D1FCFC"/>
          </w:tcPr>
          <w:p>
            <w:pPr>
              <w:jc w:val="right"/>
              <w:ind w:right="580"/>
              <w:spacing w:after="0"/>
              <w:rPr>
                <w:sz w:val="20"/>
                <w:szCs w:val="20"/>
                <w:color w:val="auto"/>
              </w:rPr>
            </w:pPr>
            <w:r>
              <w:rPr>
                <w:rFonts w:ascii="Arial" w:cs="Arial" w:eastAsia="Arial" w:hAnsi="Arial"/>
                <w:sz w:val="18"/>
                <w:szCs w:val="18"/>
                <w:color w:val="auto"/>
              </w:rPr>
              <w:t>0.600%</w:t>
            </w:r>
          </w:p>
        </w:tc>
        <w:tc>
          <w:tcPr>
            <w:tcW w:w="160" w:type="dxa"/>
            <w:vAlign w:val="bottom"/>
            <w:shd w:val="clear" w:color="auto" w:fill="D1FCFC"/>
          </w:tcPr>
          <w:p>
            <w:pPr>
              <w:spacing w:after="0"/>
              <w:rPr>
                <w:sz w:val="18"/>
                <w:szCs w:val="18"/>
                <w:color w:val="auto"/>
              </w:rPr>
            </w:pPr>
          </w:p>
        </w:tc>
        <w:tc>
          <w:tcPr>
            <w:tcW w:w="12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99.210%</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1,347,435,000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8,100,000</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w w:val="99"/>
              </w:rPr>
              <w:t>1,339,335,000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D1FCFC"/>
          </w:tcPr>
          <w:p>
            <w:pPr>
              <w:spacing w:after="0"/>
              <w:rPr>
                <w:sz w:val="20"/>
                <w:szCs w:val="20"/>
                <w:color w:val="auto"/>
              </w:rPr>
            </w:pPr>
            <w:r>
              <w:rPr>
                <w:rFonts w:ascii="Arial" w:cs="Arial" w:eastAsia="Arial" w:hAnsi="Arial"/>
                <w:sz w:val="18"/>
                <w:szCs w:val="18"/>
                <w:color w:val="auto"/>
              </w:rPr>
              <w:t>Per note due 2050</w:t>
            </w:r>
            <w:r>
              <w:rPr>
                <w:rFonts w:ascii="Arial" w:cs="Arial" w:eastAsia="Arial" w:hAnsi="Arial"/>
                <w:sz w:val="15"/>
                <w:szCs w:val="15"/>
                <w:color w:val="auto"/>
              </w:rPr>
              <w:t>(1)</w:t>
            </w:r>
          </w:p>
        </w:tc>
        <w:tc>
          <w:tcPr>
            <w:tcW w:w="160" w:type="dxa"/>
            <w:vAlign w:val="bottom"/>
            <w:shd w:val="clear" w:color="auto" w:fill="D1FCFC"/>
          </w:tcPr>
          <w:p>
            <w:pPr>
              <w:spacing w:after="0"/>
              <w:rPr>
                <w:sz w:val="18"/>
                <w:szCs w:val="18"/>
                <w:color w:val="auto"/>
              </w:rPr>
            </w:pPr>
          </w:p>
        </w:tc>
        <w:tc>
          <w:tcPr>
            <w:tcW w:w="1680" w:type="dxa"/>
            <w:vAlign w:val="bottom"/>
            <w:gridSpan w:val="2"/>
            <w:shd w:val="clear" w:color="auto" w:fill="D1FCFC"/>
          </w:tcPr>
          <w:p>
            <w:pPr>
              <w:jc w:val="right"/>
              <w:ind w:right="580"/>
              <w:spacing w:after="0"/>
              <w:rPr>
                <w:sz w:val="20"/>
                <w:szCs w:val="20"/>
                <w:color w:val="auto"/>
              </w:rPr>
            </w:pPr>
            <w:r>
              <w:rPr>
                <w:rFonts w:ascii="Arial" w:cs="Arial" w:eastAsia="Arial" w:hAnsi="Arial"/>
                <w:sz w:val="18"/>
                <w:szCs w:val="18"/>
                <w:color w:val="auto"/>
              </w:rPr>
              <w:t>99.761%</w:t>
            </w:r>
          </w:p>
        </w:tc>
        <w:tc>
          <w:tcPr>
            <w:tcW w:w="140" w:type="dxa"/>
            <w:vAlign w:val="bottom"/>
            <w:shd w:val="clear" w:color="auto" w:fill="D1FCFC"/>
          </w:tcPr>
          <w:p>
            <w:pPr>
              <w:spacing w:after="0"/>
              <w:rPr>
                <w:sz w:val="18"/>
                <w:szCs w:val="18"/>
                <w:color w:val="auto"/>
              </w:rPr>
            </w:pPr>
          </w:p>
        </w:tc>
        <w:tc>
          <w:tcPr>
            <w:tcW w:w="1680" w:type="dxa"/>
            <w:vAlign w:val="bottom"/>
            <w:gridSpan w:val="2"/>
            <w:shd w:val="clear" w:color="auto" w:fill="D1FCFC"/>
          </w:tcPr>
          <w:p>
            <w:pPr>
              <w:jc w:val="right"/>
              <w:ind w:right="580"/>
              <w:spacing w:after="0"/>
              <w:rPr>
                <w:sz w:val="20"/>
                <w:szCs w:val="20"/>
                <w:color w:val="auto"/>
              </w:rPr>
            </w:pPr>
            <w:r>
              <w:rPr>
                <w:rFonts w:ascii="Arial" w:cs="Arial" w:eastAsia="Arial" w:hAnsi="Arial"/>
                <w:sz w:val="18"/>
                <w:szCs w:val="18"/>
                <w:color w:val="auto"/>
              </w:rPr>
              <w:t>0.750%</w:t>
            </w:r>
          </w:p>
        </w:tc>
        <w:tc>
          <w:tcPr>
            <w:tcW w:w="160" w:type="dxa"/>
            <w:vAlign w:val="bottom"/>
            <w:shd w:val="clear" w:color="auto" w:fill="D1FCFC"/>
          </w:tcPr>
          <w:p>
            <w:pPr>
              <w:spacing w:after="0"/>
              <w:rPr>
                <w:sz w:val="18"/>
                <w:szCs w:val="18"/>
                <w:color w:val="auto"/>
              </w:rPr>
            </w:pPr>
          </w:p>
        </w:tc>
        <w:tc>
          <w:tcPr>
            <w:tcW w:w="12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99.011%</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1,795,698,000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13,500,000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w w:val="99"/>
              </w:rPr>
              <w:t>1,782,198,000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November 5, 2019, if settlement occurs after that date.</w:t>
      </w:r>
    </w:p>
    <w:p>
      <w:pPr>
        <w:spacing w:after="0" w:line="11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 w:lineRule="exact"/>
        <w:rPr>
          <w:sz w:val="20"/>
          <w:szCs w:val="20"/>
          <w:color w:val="auto"/>
        </w:rPr>
      </w:pPr>
    </w:p>
    <w:p>
      <w:pPr>
        <w:jc w:val="both"/>
        <w:ind w:left="200" w:right="160" w:firstLine="441"/>
        <w:spacing w:after="0" w:line="255"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November 5, 2019, which is the fifth business day following the date of this prospectus supplement. See “Underwriting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147320</wp:posOffset>
            </wp:positionV>
            <wp:extent cx="69977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Joint Book-Running Managers</w:t>
      </w:r>
    </w:p>
    <w:p>
      <w:pPr>
        <w:sectPr>
          <w:pgSz w:w="11900" w:h="16838" w:orient="portrait"/>
          <w:cols w:equalWidth="0" w:num="1">
            <w:col w:w="11220"/>
          </w:cols>
          <w:pgMar w:left="240" w:top="459" w:right="439" w:bottom="1440" w:gutter="0" w:footer="0" w:header="0"/>
        </w:sect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Mizuho Securities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SMBC Nikko</w:t>
      </w:r>
    </w:p>
    <w:p>
      <w:pPr>
        <w:spacing w:after="0" w:line="181" w:lineRule="exact"/>
        <w:rPr>
          <w:sz w:val="20"/>
          <w:szCs w:val="20"/>
          <w:color w:val="auto"/>
        </w:rPr>
      </w:pPr>
    </w:p>
    <w:p>
      <w:pPr>
        <w:sectPr>
          <w:pgSz w:w="11900" w:h="16838" w:orient="portrait"/>
          <w:cols w:equalWidth="0" w:num="3">
            <w:col w:w="4260" w:space="720"/>
            <w:col w:w="4380" w:space="720"/>
            <w:col w:w="11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Santander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TD Securities</w:t>
      </w:r>
    </w:p>
    <w:p>
      <w:pPr>
        <w:spacing w:after="0" w:line="200" w:lineRule="exact"/>
        <w:rPr>
          <w:sz w:val="20"/>
          <w:szCs w:val="20"/>
          <w:color w:val="auto"/>
        </w:rPr>
      </w:pPr>
    </w:p>
    <w:p>
      <w:pPr>
        <w:sectPr>
          <w:pgSz w:w="11900" w:h="16838" w:orient="portrait"/>
          <w:cols w:equalWidth="0" w:num="3">
            <w:col w:w="4520" w:space="720"/>
            <w:col w:w="4160" w:space="720"/>
            <w:col w:w="1100"/>
          </w:cols>
          <w:pgMar w:left="240" w:top="459" w:right="439" w:bottom="1440" w:gutter="0" w:footer="0" w:header="0"/>
          <w:type w:val="continuous"/>
        </w:sectPr>
      </w:pP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The date of this prospectus supplement is October 29, 2019.</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6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TABLE OF CONTENTS</w:t>
            </w: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05"/>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7"/>
              </w:rPr>
              <w:t>Prospectus Supplement</w:t>
            </w: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345"/>
        </w:trPr>
        <w:tc>
          <w:tcPr>
            <w:tcW w:w="200" w:type="dxa"/>
            <w:vAlign w:val="bottom"/>
          </w:tcPr>
          <w:p>
            <w:pPr>
              <w:spacing w:after="0"/>
              <w:rPr>
                <w:sz w:val="24"/>
                <w:szCs w:val="24"/>
                <w:color w:val="auto"/>
              </w:rPr>
            </w:pPr>
          </w:p>
        </w:tc>
        <w:tc>
          <w:tcPr>
            <w:tcW w:w="28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5680" w:type="dxa"/>
            <w:vAlign w:val="bottom"/>
            <w:gridSpan w:val="4"/>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0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6120" w:type="dxa"/>
            <w:vAlign w:val="bottom"/>
            <w:gridSpan w:val="5"/>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7380" w:type="dxa"/>
            <w:vAlign w:val="bottom"/>
            <w:gridSpan w:val="11"/>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200" w:type="dxa"/>
            <w:vAlign w:val="bottom"/>
          </w:tcPr>
          <w:p>
            <w:pPr>
              <w:spacing w:after="0"/>
              <w:rPr>
                <w:sz w:val="17"/>
                <w:szCs w:val="17"/>
                <w:color w:val="auto"/>
              </w:rPr>
            </w:pPr>
          </w:p>
        </w:tc>
        <w:tc>
          <w:tcPr>
            <w:tcW w:w="856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Notes</w:t>
              </w:r>
            </w:hyperlink>
          </w:p>
        </w:tc>
        <w:tc>
          <w:tcPr>
            <w:tcW w:w="2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Material U.S. Federal Income Tax Consequences for Non-U.S. Holders</w:t>
              </w:r>
            </w:hyperlink>
          </w:p>
        </w:tc>
        <w:tc>
          <w:tcPr>
            <w:tcW w:w="3420" w:type="dxa"/>
            <w:vAlign w:val="bottom"/>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200" w:type="dxa"/>
            <w:vAlign w:val="bottom"/>
          </w:tcPr>
          <w:p>
            <w:pPr>
              <w:spacing w:after="0"/>
              <w:rPr>
                <w:sz w:val="17"/>
                <w:szCs w:val="17"/>
                <w:color w:val="auto"/>
              </w:rPr>
            </w:pPr>
          </w:p>
        </w:tc>
        <w:tc>
          <w:tcPr>
            <w:tcW w:w="8560" w:type="dxa"/>
            <w:vAlign w:val="bottom"/>
            <w:gridSpan w:val="1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 xml:space="preserve">Underwriting </w:t>
              </w:r>
            </w:hyperlink>
            <w:r>
              <w:rPr>
                <w:rFonts w:ascii="Arial" w:cs="Arial" w:eastAsia="Arial" w:hAnsi="Arial"/>
                <w:sz w:val="18"/>
                <w:szCs w:val="18"/>
                <w:color w:val="000000"/>
              </w:rPr>
              <w:t>(Conflicts</w:t>
            </w:r>
            <w:r>
              <w:rPr>
                <w:rFonts w:ascii="Arial" w:cs="Arial" w:eastAsia="Arial" w:hAnsi="Arial"/>
                <w:sz w:val="18"/>
                <w:szCs w:val="18"/>
                <w:color w:val="0000EE"/>
              </w:rPr>
              <w:t xml:space="preserve"> </w:t>
            </w:r>
            <w:r>
              <w:rPr>
                <w:rFonts w:ascii="Arial" w:cs="Arial" w:eastAsia="Arial" w:hAnsi="Arial"/>
                <w:sz w:val="18"/>
                <w:szCs w:val="18"/>
                <w:color w:val="000000"/>
              </w:rPr>
              <w:t>of Interest)</w:t>
            </w:r>
          </w:p>
        </w:tc>
        <w:tc>
          <w:tcPr>
            <w:tcW w:w="2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190"/>
        </w:trPr>
        <w:tc>
          <w:tcPr>
            <w:tcW w:w="200" w:type="dxa"/>
            <w:vAlign w:val="bottom"/>
          </w:tcPr>
          <w:p>
            <w:pPr>
              <w:spacing w:after="0"/>
              <w:rPr>
                <w:sz w:val="16"/>
                <w:szCs w:val="16"/>
                <w:color w:val="auto"/>
              </w:rPr>
            </w:pPr>
          </w:p>
        </w:tc>
        <w:tc>
          <w:tcPr>
            <w:tcW w:w="8560" w:type="dxa"/>
            <w:vAlign w:val="bottom"/>
            <w:gridSpan w:val="17"/>
          </w:tcPr>
          <w:p>
            <w:pPr>
              <w:spacing w:after="0" w:line="190"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2100" w:type="dxa"/>
            <w:vAlign w:val="bottom"/>
          </w:tcPr>
          <w:p>
            <w:pPr>
              <w:spacing w:after="0"/>
              <w:rPr>
                <w:sz w:val="16"/>
                <w:szCs w:val="16"/>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190"/>
        </w:trPr>
        <w:tc>
          <w:tcPr>
            <w:tcW w:w="200" w:type="dxa"/>
            <w:vAlign w:val="bottom"/>
          </w:tcPr>
          <w:p>
            <w:pPr>
              <w:spacing w:after="0"/>
              <w:rPr>
                <w:sz w:val="16"/>
                <w:szCs w:val="16"/>
                <w:color w:val="auto"/>
              </w:rPr>
            </w:pPr>
          </w:p>
        </w:tc>
        <w:tc>
          <w:tcPr>
            <w:tcW w:w="8560" w:type="dxa"/>
            <w:vAlign w:val="bottom"/>
            <w:gridSpan w:val="17"/>
          </w:tcPr>
          <w:p>
            <w:pPr>
              <w:spacing w:after="0" w:line="190"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2100" w:type="dxa"/>
            <w:vAlign w:val="bottom"/>
          </w:tcPr>
          <w:p>
            <w:pPr>
              <w:spacing w:after="0"/>
              <w:rPr>
                <w:sz w:val="16"/>
                <w:szCs w:val="16"/>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37"/>
        </w:trPr>
        <w:tc>
          <w:tcPr>
            <w:tcW w:w="20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566"/>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2"/>
          </w:tcPr>
          <w:p>
            <w:pPr>
              <w:ind w:left="1400"/>
              <w:spacing w:after="0"/>
              <w:rPr>
                <w:sz w:val="20"/>
                <w:szCs w:val="20"/>
                <w:color w:val="auto"/>
              </w:rPr>
            </w:pPr>
            <w:r>
              <w:rPr>
                <w:rFonts w:ascii="Arial" w:cs="Arial" w:eastAsia="Arial" w:hAnsi="Arial"/>
                <w:sz w:val="18"/>
                <w:szCs w:val="18"/>
                <w:b w:val="1"/>
                <w:bCs w:val="1"/>
                <w:color w:val="auto"/>
              </w:rPr>
              <w:t>Prospectus</w:t>
            </w: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0"/>
        </w:trPr>
        <w:tc>
          <w:tcPr>
            <w:tcW w:w="200" w:type="dxa"/>
            <w:vAlign w:val="bottom"/>
          </w:tcPr>
          <w:p>
            <w:pPr>
              <w:spacing w:after="0"/>
              <w:rPr>
                <w:sz w:val="16"/>
                <w:szCs w:val="16"/>
                <w:color w:val="auto"/>
              </w:rPr>
            </w:pPr>
          </w:p>
        </w:tc>
        <w:tc>
          <w:tcPr>
            <w:tcW w:w="11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The Companies</w:t>
              </w:r>
            </w:hyperlink>
          </w:p>
        </w:tc>
        <w:tc>
          <w:tcPr>
            <w:tcW w:w="7420" w:type="dxa"/>
            <w:vAlign w:val="bottom"/>
            <w:gridSpan w:val="13"/>
          </w:tcPr>
          <w:p>
            <w:pPr>
              <w:spacing w:after="0"/>
              <w:rPr>
                <w:sz w:val="16"/>
                <w:szCs w:val="16"/>
                <w:color w:val="auto"/>
              </w:rPr>
            </w:pPr>
          </w:p>
        </w:tc>
        <w:tc>
          <w:tcPr>
            <w:tcW w:w="24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Caution Concerning Forward-Looking Statements</w:t>
              </w:r>
            </w:hyperlink>
          </w:p>
        </w:tc>
        <w:tc>
          <w:tcPr>
            <w:tcW w:w="4940" w:type="dxa"/>
            <w:vAlign w:val="bottom"/>
            <w:gridSpan w:val="2"/>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Use of Proceeds</w:t>
              </w:r>
            </w:hyperlink>
          </w:p>
        </w:tc>
        <w:tc>
          <w:tcPr>
            <w:tcW w:w="7380" w:type="dxa"/>
            <w:vAlign w:val="bottom"/>
            <w:gridSpan w:val="11"/>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Dividend Policy</w:t>
              </w:r>
            </w:hyperlink>
          </w:p>
        </w:tc>
        <w:tc>
          <w:tcPr>
            <w:tcW w:w="7380" w:type="dxa"/>
            <w:vAlign w:val="bottom"/>
            <w:gridSpan w:val="11"/>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56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5220" w:type="dxa"/>
            <w:vAlign w:val="bottom"/>
            <w:gridSpan w:val="3"/>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Description of Capital Stock</w:t>
              </w:r>
            </w:hyperlink>
          </w:p>
        </w:tc>
        <w:tc>
          <w:tcPr>
            <w:tcW w:w="6500" w:type="dxa"/>
            <w:vAlign w:val="bottom"/>
            <w:gridSpan w:val="6"/>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Plan of Distribution</w:t>
              </w:r>
            </w:hyperlink>
          </w:p>
        </w:tc>
        <w:tc>
          <w:tcPr>
            <w:tcW w:w="7120" w:type="dxa"/>
            <w:vAlign w:val="bottom"/>
            <w:gridSpan w:val="9"/>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856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Available Information</w:t>
              </w:r>
            </w:hyperlink>
          </w:p>
        </w:tc>
        <w:tc>
          <w:tcPr>
            <w:tcW w:w="6960" w:type="dxa"/>
            <w:vAlign w:val="bottom"/>
            <w:gridSpan w:val="8"/>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Incorporation of Certain Documents by Reference</w:t>
              </w:r>
            </w:hyperlink>
          </w:p>
        </w:tc>
        <w:tc>
          <w:tcPr>
            <w:tcW w:w="4940" w:type="dxa"/>
            <w:vAlign w:val="bottom"/>
            <w:gridSpan w:val="2"/>
          </w:tcPr>
          <w:p>
            <w:pPr>
              <w:spacing w:after="0"/>
              <w:rPr>
                <w:sz w:val="17"/>
                <w:szCs w:val="17"/>
                <w:color w:val="auto"/>
              </w:rPr>
            </w:pPr>
          </w:p>
        </w:tc>
        <w:tc>
          <w:tcPr>
            <w:tcW w:w="2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6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46"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248" w:lineRule="exact"/>
        <w:rPr>
          <w:rFonts w:ascii="Arial" w:cs="Arial" w:eastAsia="Arial" w:hAnsi="Arial"/>
          <w:sz w:val="16"/>
          <w:szCs w:val="16"/>
          <w:color w:val="auto"/>
        </w:rPr>
      </w:pPr>
    </w:p>
    <w:p>
      <w:pPr>
        <w:ind w:left="1060" w:right="42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March 31, 2019, June 30, 2019 and September 30, 2019, filed on </w:t>
      </w:r>
      <w:hyperlink r:id="rId17">
        <w:r>
          <w:rPr>
            <w:rFonts w:ascii="Arial" w:cs="Arial" w:eastAsia="Arial" w:hAnsi="Arial"/>
            <w:sz w:val="18"/>
            <w:szCs w:val="18"/>
            <w:u w:val="single" w:color="auto"/>
            <w:color w:val="0000EE"/>
          </w:rPr>
          <w:t>April 25, 2019</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July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October 24, 2019</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20">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23">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2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Schedule 14A for the 2019 annual meeting of shareholders incorporated by reference in Comcast’s Annual Report on Form 10-K for the year ended December 31, 2018.</w:t>
      </w:r>
    </w:p>
    <w:p>
      <w:pPr>
        <w:spacing w:after="0" w:line="130" w:lineRule="exact"/>
        <w:rPr>
          <w:rFonts w:ascii="Arial" w:cs="Arial" w:eastAsia="Arial" w:hAnsi="Arial"/>
          <w:sz w:val="18"/>
          <w:szCs w:val="18"/>
          <w:color w:val="auto"/>
        </w:rPr>
      </w:pPr>
    </w:p>
    <w:p>
      <w:pPr>
        <w:ind w:left="200"/>
        <w:spacing w:after="0" w:line="284"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5"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43" w:lineRule="exact"/>
        <w:rPr>
          <w:rFonts w:ascii="Arial" w:cs="Arial" w:eastAsia="Arial" w:hAnsi="Arial"/>
          <w:sz w:val="18"/>
          <w:szCs w:val="18"/>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80"/>
        <w:spacing w:after="0" w:line="288"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jc w:val="both"/>
        <w:ind w:left="1220" w:right="240" w:hanging="415"/>
        <w:spacing w:after="0" w:line="289" w:lineRule="auto"/>
        <w:tabs>
          <w:tab w:leader="none" w:pos="1220" w:val="left"/>
        </w:tabs>
        <w:numPr>
          <w:ilvl w:val="1"/>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Cable Communications: </w:t>
      </w:r>
      <w:r>
        <w:rPr>
          <w:rFonts w:ascii="Arial" w:cs="Arial" w:eastAsia="Arial" w:hAnsi="Arial"/>
          <w:sz w:val="17"/>
          <w:szCs w:val="17"/>
          <w:color w:val="auto"/>
        </w:rPr>
        <w:t>Consists of the operations of Comcast Cable, which is one of the nation’s largest providers of high-speed</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 video, voice, wireless, and security and automation services (“cable services”) to residential customers under the XFINITY brand; we also provide these and other services to business customers and sell advertising.</w:t>
      </w:r>
    </w:p>
    <w:p>
      <w:pPr>
        <w:spacing w:after="0" w:line="158" w:lineRule="exact"/>
        <w:rPr>
          <w:rFonts w:ascii="Arial" w:cs="Arial" w:eastAsia="Arial" w:hAnsi="Arial"/>
          <w:sz w:val="17"/>
          <w:szCs w:val="17"/>
          <w:color w:val="auto"/>
        </w:rPr>
      </w:pPr>
    </w:p>
    <w:p>
      <w:pPr>
        <w:ind w:left="1220" w:right="4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6" w:lineRule="exact"/>
        <w:rPr>
          <w:rFonts w:ascii="Arial" w:cs="Arial" w:eastAsia="Arial" w:hAnsi="Arial"/>
          <w:sz w:val="18"/>
          <w:szCs w:val="18"/>
          <w:color w:val="auto"/>
        </w:rPr>
      </w:pPr>
    </w:p>
    <w:p>
      <w:pPr>
        <w:ind w:left="1220" w:right="34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6" w:lineRule="exact"/>
        <w:rPr>
          <w:rFonts w:ascii="Arial" w:cs="Arial" w:eastAsia="Arial" w:hAnsi="Arial"/>
          <w:sz w:val="18"/>
          <w:szCs w:val="18"/>
          <w:color w:val="auto"/>
        </w:rPr>
      </w:pPr>
    </w:p>
    <w:p>
      <w:pPr>
        <w:ind w:left="1220" w:right="12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6" w:lineRule="exact"/>
        <w:rPr>
          <w:rFonts w:ascii="Arial" w:cs="Arial" w:eastAsia="Arial" w:hAnsi="Arial"/>
          <w:sz w:val="18"/>
          <w:szCs w:val="18"/>
          <w:color w:val="auto"/>
        </w:rPr>
      </w:pPr>
    </w:p>
    <w:p>
      <w:pPr>
        <w:ind w:left="1220" w:right="8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along with a consortium of Chinese state-owned companies, we are developing a Universal theme park and resort in Beijing, China.</w:t>
      </w:r>
    </w:p>
    <w:p>
      <w:pPr>
        <w:spacing w:after="0" w:line="176" w:lineRule="exact"/>
        <w:rPr>
          <w:rFonts w:ascii="Arial" w:cs="Arial" w:eastAsia="Arial" w:hAnsi="Arial"/>
          <w:sz w:val="18"/>
          <w:szCs w:val="18"/>
          <w:color w:val="auto"/>
        </w:rPr>
      </w:pPr>
    </w:p>
    <w:p>
      <w:pPr>
        <w:ind w:left="1220" w:hanging="415"/>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w:t>
      </w:r>
    </w:p>
    <w:p>
      <w:pPr>
        <w:spacing w:after="0" w:line="27" w:lineRule="exact"/>
        <w:rPr>
          <w:rFonts w:ascii="Arial" w:cs="Arial" w:eastAsia="Arial" w:hAnsi="Arial"/>
          <w:sz w:val="18"/>
          <w:szCs w:val="18"/>
          <w:color w:val="auto"/>
        </w:rPr>
      </w:pPr>
    </w:p>
    <w:p>
      <w:pPr>
        <w:ind w:left="1220" w:right="620"/>
        <w:spacing w:after="0" w:line="261" w:lineRule="auto"/>
        <w:rPr>
          <w:rFonts w:ascii="Arial" w:cs="Arial" w:eastAsia="Arial" w:hAnsi="Arial"/>
          <w:sz w:val="18"/>
          <w:szCs w:val="18"/>
          <w:color w:val="auto"/>
        </w:rPr>
      </w:pPr>
      <w:r>
        <w:rPr>
          <w:rFonts w:ascii="Arial" w:cs="Arial" w:eastAsia="Arial" w:hAnsi="Arial"/>
          <w:sz w:val="18"/>
          <w:szCs w:val="18"/>
          <w:color w:val="auto"/>
        </w:rPr>
        <w:t>a direct-to-consumer business, providing video, high-speed internet, voice and wireless phone services, and a content business, operating entertainment networks, the Sky News broadcast network and Sky Sports networks.</w:t>
      </w:r>
    </w:p>
    <w:p>
      <w:pPr>
        <w:spacing w:after="0" w:line="143" w:lineRule="exact"/>
        <w:rPr>
          <w:sz w:val="20"/>
          <w:szCs w:val="20"/>
          <w:color w:val="auto"/>
        </w:rPr>
      </w:pPr>
    </w:p>
    <w:p>
      <w:pPr>
        <w:ind w:left="380" w:right="80"/>
        <w:spacing w:after="0" w:line="264" w:lineRule="auto"/>
        <w:rPr>
          <w:sz w:val="20"/>
          <w:szCs w:val="20"/>
          <w:color w:val="auto"/>
        </w:rPr>
      </w:pPr>
      <w:r>
        <w:rPr>
          <w:rFonts w:ascii="Arial" w:cs="Arial" w:eastAsia="Arial" w:hAnsi="Arial"/>
          <w:sz w:val="18"/>
          <w:szCs w:val="18"/>
          <w:color w:val="auto"/>
        </w:rPr>
        <w:t>Our other business interests consist primarily of the operations of Comcast Spectator, which owns the Philadelphia Flyers and the Wells Fargo Center arena in Philadelphia, Pennsylvania. We are also pursuing other business initiatives, such as the development of Peacock, NBCUniversal’s direct-to-consumer streaming service.</w:t>
      </w:r>
    </w:p>
    <w:p>
      <w:pPr>
        <w:spacing w:after="0" w:line="154" w:lineRule="exact"/>
        <w:rPr>
          <w:sz w:val="20"/>
          <w:szCs w:val="20"/>
          <w:color w:val="auto"/>
        </w:rPr>
      </w:pPr>
    </w:p>
    <w:p>
      <w:pPr>
        <w:ind w:left="380" w:right="4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80" w:right="20" w:firstLine="6"/>
        <w:spacing w:after="0" w:line="261"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24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276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002145" cy="2276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220" w:right="1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Corporation.</w:t>
            </w:r>
          </w:p>
        </w:tc>
      </w:tr>
      <w:tr>
        <w:trPr>
          <w:trHeight w:val="446"/>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$1,600,000,000 aggregate principal amount of 2.650% Notes due 2030.</w:t>
            </w:r>
          </w:p>
        </w:tc>
      </w:tr>
      <w:tr>
        <w:trPr>
          <w:trHeight w:val="446"/>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$1,350,000,000 aggregate principal amount of 3.250% Notes due 2039.</w:t>
            </w:r>
          </w:p>
        </w:tc>
      </w:tr>
      <w:tr>
        <w:trPr>
          <w:trHeight w:val="432"/>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$1,800,000,000 aggregate principal amount of 3.450% Notes due 2050.</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2030 will mature on February 1, 2030.</w:t>
            </w:r>
          </w:p>
        </w:tc>
      </w:tr>
      <w:tr>
        <w:trPr>
          <w:trHeight w:val="446"/>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2039 will mature on November 1, 2039.</w:t>
            </w:r>
          </w:p>
        </w:tc>
      </w:tr>
      <w:tr>
        <w:trPr>
          <w:trHeight w:val="432"/>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due 2050 will mature on February 1, 2050.</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2030 will accrue at the rate of 2.650%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semiannually in cash in arrears on February 1 and August 1, beginning February 1, 2020.</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2039 will accrue at the rate of 3.250% per year, payable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semiannually in cash in arrears on May 1 and November 1, beginning May 1, 2020.</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Interest on the Notes due 2050 will accrue at the rate of 3.450% per year, payable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semiannually in cash in arrears on February 1 and August 1, beginning February 1, 2020.</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applicable Redemption Price determined as set forth under the heading “Description of the</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Notes—Optional Redemption.”</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We intend to use the net proceeds from the offering, after deducting underwriters’ discount</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and expenses, entirely for the refinancing of debt, including our 3.30% notes due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October 1, 2020 ($1.750 billion principal amount outstanding as of the date hereof), and a</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portion of our outstanding pre-payable term loans ($5.485 billion outstanding as of the date</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hereof, with a weighted average interest rate of 1.09% and maturities ranging from 2021 to</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2022).</w:t>
            </w:r>
          </w:p>
        </w:tc>
      </w:tr>
      <w:tr>
        <w:trPr>
          <w:trHeight w:val="41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30"/>
        </w:trPr>
        <w:tc>
          <w:tcPr>
            <w:tcW w:w="298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deposited with, or on behalf of, DTC and registered in</w:t>
            </w: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806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806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20" w:type="dxa"/>
            <w:vAlign w:val="bottom"/>
            <w:tcBorders>
              <w:top w:val="single" w:sz="8" w:color="auto"/>
              <w:left w:val="single" w:sz="8" w:color="auto"/>
            </w:tcBorders>
          </w:tcPr>
          <w:p>
            <w:pPr>
              <w:spacing w:after="0"/>
              <w:rPr>
                <w:sz w:val="24"/>
                <w:szCs w:val="24"/>
                <w:color w:val="auto"/>
              </w:rPr>
            </w:pPr>
          </w:p>
        </w:tc>
        <w:tc>
          <w:tcPr>
            <w:tcW w:w="812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color w:val="auto"/>
                <w:w w:val="94"/>
              </w:rPr>
              <w:t>the name of DTC or its nominees. Beneficial interests in any of the notes will be shown on,</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and transfers will be effected only through, records maintained by DTC or its nominee or</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indirectly through organizations that have accounts with DTC, including Euroclear and</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6"/>
              </w:rPr>
              <w:t>Clearstream, and these beneficial interests may not be exchanged for certificated notes,</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8"/>
              </w:rPr>
              <w:t>except in limited circumstances. See “Description of the Notes—Book-Entry System” in</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this prospectus supplement.</w:t>
            </w:r>
          </w:p>
        </w:tc>
      </w:tr>
      <w:tr>
        <w:trPr>
          <w:trHeight w:val="431"/>
        </w:trPr>
        <w:tc>
          <w:tcPr>
            <w:tcW w:w="29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Conflicts of Interest</w:t>
            </w: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Because affiliates of certain underwriters may receive at least 5% of the net proceeds from</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4"/>
              </w:rPr>
              <w:t>this offering, such underwriters could be deemed to have a “conflict of interest” under Rule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5121 (“Rule 5121”) of the Financial Industry Regulatory Authority, Inc. (“FINRA”).</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Accordingly, this offering is being made in compliance with the requirements of Rule</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5121. The appointment of a “qualified independent underwriter” is not required in</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5"/>
              </w:rPr>
              <w:t>connection with this offering because the notes are “investment grade rated” as defined in</w:t>
            </w:r>
          </w:p>
        </w:tc>
      </w:tr>
      <w:tr>
        <w:trPr>
          <w:trHeight w:val="216"/>
        </w:trPr>
        <w:tc>
          <w:tcPr>
            <w:tcW w:w="292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w w:val="99"/>
              </w:rPr>
              <w:t>Rule 5121. For additional information about these matters, see “Use of Proceeds” and</w:t>
            </w:r>
          </w:p>
        </w:tc>
      </w:tr>
      <w:tr>
        <w:trPr>
          <w:trHeight w:val="230"/>
        </w:trPr>
        <w:tc>
          <w:tcPr>
            <w:tcW w:w="2920" w:type="dxa"/>
            <w:vAlign w:val="bottom"/>
            <w:tcBorders>
              <w:left w:val="single" w:sz="8" w:color="auto"/>
            </w:tcBorders>
          </w:tcPr>
          <w:p>
            <w:pPr>
              <w:spacing w:after="0"/>
              <w:rPr>
                <w:sz w:val="20"/>
                <w:szCs w:val="20"/>
                <w:color w:val="auto"/>
              </w:rPr>
            </w:pPr>
          </w:p>
        </w:tc>
        <w:tc>
          <w:tcPr>
            <w:tcW w:w="812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“Underwriting (Conflicts of Interest).”</w:t>
            </w:r>
          </w:p>
        </w:tc>
      </w:tr>
      <w:tr>
        <w:trPr>
          <w:trHeight w:val="240"/>
        </w:trPr>
        <w:tc>
          <w:tcPr>
            <w:tcW w:w="2920" w:type="dxa"/>
            <w:vAlign w:val="bottom"/>
            <w:tcBorders>
              <w:left w:val="single" w:sz="8" w:color="auto"/>
              <w:bottom w:val="single" w:sz="8" w:color="auto"/>
            </w:tcBorders>
          </w:tcPr>
          <w:p>
            <w:pPr>
              <w:spacing w:after="0"/>
              <w:rPr>
                <w:sz w:val="20"/>
                <w:szCs w:val="20"/>
                <w:color w:val="auto"/>
              </w:rPr>
            </w:pPr>
          </w:p>
        </w:tc>
        <w:tc>
          <w:tcPr>
            <w:tcW w:w="8120" w:type="dxa"/>
            <w:vAlign w:val="bottom"/>
            <w:tcBorders>
              <w:bottom w:val="single" w:sz="8" w:color="auto"/>
              <w:right w:val="single" w:sz="8" w:color="auto"/>
            </w:tcBorders>
          </w:tcPr>
          <w:p>
            <w:pPr>
              <w:spacing w:after="0"/>
              <w:rPr>
                <w:sz w:val="20"/>
                <w:szCs w:val="20"/>
                <w:color w:val="auto"/>
              </w:rPr>
            </w:pPr>
          </w:p>
        </w:tc>
      </w:tr>
      <w:tr>
        <w:trPr>
          <w:trHeight w:val="604"/>
        </w:trPr>
        <w:tc>
          <w:tcPr>
            <w:tcW w:w="2920" w:type="dxa"/>
            <w:vAlign w:val="bottom"/>
          </w:tcPr>
          <w:p>
            <w:pPr>
              <w:spacing w:after="0"/>
              <w:rPr>
                <w:sz w:val="24"/>
                <w:szCs w:val="24"/>
                <w:color w:val="auto"/>
              </w:rPr>
            </w:pPr>
          </w:p>
        </w:tc>
        <w:tc>
          <w:tcPr>
            <w:tcW w:w="8120" w:type="dxa"/>
            <w:vAlign w:val="bottom"/>
          </w:tcPr>
          <w:p>
            <w:pPr>
              <w:ind w:left="2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entirely for the refinancing of debt, including our 3.30% notes due October 1, 2020 ($1.750 billion principal amount outstanding as of the date hereof), and a portion of our outstanding pre-payable term loans ($5.485 billion outstanding as of the date hereof, with a weighted average interest rate of 1.09% and maturities ranging from 2021 to 2022).</w:t>
      </w:r>
    </w:p>
    <w:p>
      <w:pPr>
        <w:spacing w:after="0" w:line="10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Certain affiliates of the underwriters may receive at least 5% of the net proceeds of this offering, after deducting underwriting discounts and commission and estimated offering expenses, as a result of our refinancing of debt. Because 5% or more of the net proceeds of this offering may be paid to an underwriter, which is considered a “conflict of interest” under FINRA Rule 5121, this offering will be made in accordance with the applicable requirements of Rule 5121 regarding the underwriting of securities of a company with a member that has a conflict of interest within the meaning of those rules. See “Underwriting (Conflicts of Interest).”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 xml:space="preserve">We are offering $1,600,000,000 aggregate principal amount of our 2.650% Notes due 2030, $1,350,000,000 aggregate principal amount of our 3.250% Notes due 2039 and $1,800,000,000 aggregate principal amount of our 3.450% Notes due 2050. The Notes due 2030, the Notes due 2039 and the Notes due 2050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39"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060" w:right="34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$4,750,000,000 comprised as follows:</w:t>
      </w:r>
    </w:p>
    <w:p>
      <w:pPr>
        <w:spacing w:after="0" w:line="225" w:lineRule="exact"/>
        <w:rPr>
          <w:rFonts w:ascii="Arial" w:cs="Arial" w:eastAsia="Arial" w:hAnsi="Arial"/>
          <w:sz w:val="18"/>
          <w:szCs w:val="18"/>
          <w:color w:val="auto"/>
        </w:rPr>
      </w:pPr>
    </w:p>
    <w:p>
      <w:pPr>
        <w:jc w:val="both"/>
        <w:ind w:left="1520" w:right="280" w:hanging="438"/>
        <w:spacing w:after="0" w:line="264" w:lineRule="auto"/>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$1,600,000,000 initial aggregate principal amount of 2.650% Notes due 2030, maturing on February 1, 2030, with interest payable semiannually on each February 1 and August 1, beginning February 1, 2020, to holders of record on the preceding January 15 and July 15;</w:t>
      </w:r>
    </w:p>
    <w:p>
      <w:pPr>
        <w:spacing w:after="0" w:line="181" w:lineRule="exact"/>
        <w:rPr>
          <w:rFonts w:ascii="Arial" w:cs="Arial" w:eastAsia="Arial" w:hAnsi="Arial"/>
          <w:sz w:val="18"/>
          <w:szCs w:val="18"/>
          <w:color w:val="auto"/>
        </w:rPr>
      </w:pPr>
    </w:p>
    <w:p>
      <w:pPr>
        <w:ind w:left="1520" w:hanging="438"/>
        <w:spacing w:after="0" w:line="342" w:lineRule="auto"/>
        <w:tabs>
          <w:tab w:leader="none" w:pos="1520" w:val="left"/>
        </w:tabs>
        <w:numPr>
          <w:ilvl w:val="1"/>
          <w:numId w:val="7"/>
        </w:numPr>
        <w:rPr>
          <w:rFonts w:ascii="Arial" w:cs="Arial" w:eastAsia="Arial" w:hAnsi="Arial"/>
          <w:sz w:val="16"/>
          <w:szCs w:val="16"/>
          <w:color w:val="auto"/>
        </w:rPr>
      </w:pPr>
      <w:r>
        <w:rPr>
          <w:rFonts w:ascii="Arial" w:cs="Arial" w:eastAsia="Arial" w:hAnsi="Arial"/>
          <w:sz w:val="16"/>
          <w:szCs w:val="16"/>
          <w:color w:val="auto"/>
        </w:rPr>
        <w:t>$1,350,000,000 initial aggregate principal amount of 3.250% Notes due 2039, maturing on November 1, 2039, with interest payable semiannually on each May 1 and November 1, beginning May 1, 2020, to holders of record on the preceding April 15 and October 15;</w:t>
      </w:r>
    </w:p>
    <w:p>
      <w:pPr>
        <w:spacing w:after="0" w:line="123" w:lineRule="exact"/>
        <w:rPr>
          <w:rFonts w:ascii="Arial" w:cs="Arial" w:eastAsia="Arial" w:hAnsi="Arial"/>
          <w:sz w:val="16"/>
          <w:szCs w:val="16"/>
          <w:color w:val="auto"/>
        </w:rPr>
      </w:pPr>
    </w:p>
    <w:p>
      <w:pPr>
        <w:jc w:val="both"/>
        <w:ind w:left="1520" w:right="280" w:hanging="438"/>
        <w:spacing w:after="0" w:line="264" w:lineRule="auto"/>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$1,800,000,000 initial aggregate principal amount of 3.450% Notes due 2050, maturing on February 1, 2050, with interest payable semiannually on each February 1 and August 1, beginning February 1, 2020, to holders of record on the preceding January 15 and July 15; and</w:t>
      </w:r>
    </w:p>
    <w:p>
      <w:pPr>
        <w:spacing w:after="0" w:line="181"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November 5, 2019 and the date of original issuance or (ii) from the most recent interest payment date to which interest has been paid, and will be payable semiannually on interest payment dates described for each year.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4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“Redemption Price” means:</w:t>
      </w:r>
    </w:p>
    <w:p>
      <w:pPr>
        <w:spacing w:after="0" w:line="185" w:lineRule="exact"/>
        <w:rPr>
          <w:sz w:val="20"/>
          <w:szCs w:val="20"/>
          <w:color w:val="auto"/>
        </w:rPr>
      </w:pPr>
    </w:p>
    <w:p>
      <w:pPr>
        <w:ind w:left="200" w:right="20" w:firstLine="4"/>
        <w:spacing w:after="0" w:line="255" w:lineRule="auto"/>
        <w:tabs>
          <w:tab w:leader="none" w:pos="44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2030, at any time prior to November 1, 2029 (three (3) months prior to the maturity of the Notes due 2030) (the “2030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2030 Par Call Date, in each case discounted to the redemption date on a semiannual basis (assuming a 360-day year consisting of twelve 30-day months) at the Treasury Rate plus 15 basis points; provided that, if the Notes due 2030 are redeemed on or after the 2030 Par Call Date, the Redemption Price will equal 100% of the principal amount of such notes;</w:t>
      </w:r>
    </w:p>
    <w:p>
      <w:pPr>
        <w:spacing w:after="0" w:line="152" w:lineRule="exact"/>
        <w:rPr>
          <w:rFonts w:ascii="Arial" w:cs="Arial" w:eastAsia="Arial" w:hAnsi="Arial"/>
          <w:sz w:val="18"/>
          <w:szCs w:val="18"/>
          <w:color w:val="auto"/>
        </w:rPr>
      </w:pPr>
    </w:p>
    <w:p>
      <w:pPr>
        <w:ind w:left="200" w:right="60" w:firstLine="4"/>
        <w:spacing w:after="0" w:line="255" w:lineRule="auto"/>
        <w:tabs>
          <w:tab w:leader="none" w:pos="4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2039, at any time prior to May 1, 2039 (six (6) months prior to the maturity of the Notes due 2039) (the “2039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2039 Par Call Date, in each case discounted to the redemption date on a semiannual basis (assuming a 360-day year consisting of twelve 30-day months) at the Treasury Rate plus 15 basis points; provided that, if the Notes due 2039 are redeemed on or after the 2039 Par Call Date, the Redemption Price will equal 100% of the principal amount of such notes; and</w:t>
      </w:r>
    </w:p>
    <w:p>
      <w:pPr>
        <w:spacing w:after="0" w:line="166" w:lineRule="exact"/>
        <w:rPr>
          <w:rFonts w:ascii="Arial" w:cs="Arial" w:eastAsia="Arial" w:hAnsi="Arial"/>
          <w:sz w:val="18"/>
          <w:szCs w:val="18"/>
          <w:color w:val="auto"/>
        </w:rPr>
      </w:pPr>
    </w:p>
    <w:p>
      <w:pPr>
        <w:ind w:left="200" w:firstLine="4"/>
        <w:spacing w:after="0" w:line="255" w:lineRule="auto"/>
        <w:tabs>
          <w:tab w:leader="none" w:pos="44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2050, at any time prior to August 1, 2049 (six (6) months prior to the maturity of the Notes due 2050) (the “2050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2050 Par Call Date, in each case discounted to the redemption date on a semiannual basis (assuming a 360-day year consisting of twelve 30-day months) at the Treasury Rate plus 20 basis points; provided that, if the Notes due 2050 are redeemed on or after the 2050 Par Call Date, the Redemption Price will equal 100% of the principal amount of such notes;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8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85"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1"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“Reference Treasury Dealer” means each of Mizuho Securities USA LLC, Morgan Stanley &amp; Co. LLC and a Primary Treasury Dealer (as defined below) selected by SMBC Nikko Securities America, Inc.,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4"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6"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4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Holders may hold interests in the notes outside the United States through Euroclear or Clearstream if they are participants in those systems, or indirectly through organizations which are participants in those systems.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DTC</w:t>
      </w:r>
    </w:p>
    <w:p>
      <w:pPr>
        <w:spacing w:after="0" w:line="185"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38"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3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3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43"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46"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85"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170" w:lineRule="exact"/>
        <w:rPr>
          <w:sz w:val="20"/>
          <w:szCs w:val="20"/>
          <w:color w:val="auto"/>
        </w:rPr>
      </w:pPr>
    </w:p>
    <w:p>
      <w:pPr>
        <w:ind w:left="106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9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54"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0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1060" w:right="220" w:hanging="424"/>
        <w:spacing w:after="0" w:line="286"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165" w:lineRule="exact"/>
        <w:rPr>
          <w:rFonts w:ascii="Arial" w:cs="Arial" w:eastAsia="Arial" w:hAnsi="Arial"/>
          <w:sz w:val="17"/>
          <w:szCs w:val="17"/>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8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3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5540" w:right="1840" w:hanging="4904"/>
        <w:spacing w:after="0" w:line="449" w:lineRule="auto"/>
        <w:tabs>
          <w:tab w:leader="none" w:pos="10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 S-11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98"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18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181" w:lineRule="exact"/>
        <w:rPr>
          <w:sz w:val="20"/>
          <w:szCs w:val="20"/>
          <w:color w:val="auto"/>
        </w:rPr>
      </w:pPr>
    </w:p>
    <w:p>
      <w:pPr>
        <w:ind w:left="106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98"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83"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20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2"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89"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57"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39"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02"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2"/>
              </w:rPr>
              <w:t>Notes Due 2030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Notes Due 2039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Notes Due 2050</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To Be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 Be Purchased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192,000,000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162,000,000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216,000,000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192,000,000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162,000,000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216,000,000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162,000,000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128,000,000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108,000,000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108,000,000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TD Securities (USA)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128,000,000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108,000,000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Barclays Capital Inc.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43,200,000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36,450,000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25,600,000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21,600,000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ICBC Standard Bank Plc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25,600,000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21,600,000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28,800,000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25,600,000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21,600,000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SG Americas Securities,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25,600,000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21,600,000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28,800,000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25,600,000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21,600,000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28,800,000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Academy Securities, Inc.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17,600,000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14,850,000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19,800,000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10,800,000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12,800,000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10,800,000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14,400,000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ING Financial Markets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10,800,000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CastleOak Securities, L.P.</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4,050,000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Mischler Financial Group, Inc.</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4,050,000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4,800,000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4,050,000</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1,600,000,000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1,350,000,000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1,800,000,000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November 5, 2019,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89" w:lineRule="exact"/>
        <w:rPr>
          <w:sz w:val="20"/>
          <w:szCs w:val="20"/>
          <w:color w:val="auto"/>
        </w:rPr>
      </w:pPr>
    </w:p>
    <w:p>
      <w:pPr>
        <w:ind w:left="200" w:right="120"/>
        <w:spacing w:after="0" w:line="276"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0.250%, 0.350% and 0.450% of the principal amount of the Notes due 2030, the Notes due 2039 and the Notes due 2050, respectively. The underwriters may allow, and the dealers may reallow, a discount not in excess of 0.150%, 0.250% and 0.300% of the principal amount of the Notes due 2030, the Notes due 2039 and the Notes due 2050, respectively, to other dealers. After the initial public offering, the public offering prices, concessions and discounts may be changed.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expenses of the offering, not including the underwriting discount, are estimated to be $1,000,000 and are payable by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Issue of Notes</w:t>
      </w:r>
    </w:p>
    <w:p>
      <w:pPr>
        <w:spacing w:after="0" w:line="18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37"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202"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14"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3.30% notes due October 1, 2020 and our outstanding pre-payable term loans, and therefore, certain of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Because affiliates of certain underwriters may receive at least 5% of the net proceeds from this offering, such underwriters could be deemed to have a “conflict of interest” under Rule 5121. Accordingly, this offering is being made in compliance with the requirements of Rule 5121. The appointment of a “qualified independent underwriter” is not required in connection with this offering because the notes are “investment grade rated” as defined in Rule 5121.</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4"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8"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w:t>
      </w:r>
    </w:p>
    <w:p>
      <w:pPr>
        <w:spacing w:after="0" w:line="2" w:lineRule="exact"/>
        <w:rPr>
          <w:sz w:val="20"/>
          <w:szCs w:val="20"/>
          <w:color w:val="auto"/>
        </w:rPr>
      </w:pPr>
    </w:p>
    <w:p>
      <w:pPr>
        <w:ind w:left="200" w:right="180" w:firstLine="4"/>
        <w:spacing w:after="0" w:line="269" w:lineRule="auto"/>
        <w:tabs>
          <w:tab w:leader="none" w:pos="5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Korea</w:t>
      </w:r>
    </w:p>
    <w:p>
      <w:pPr>
        <w:spacing w:after="0" w:line="19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43" w:lineRule="exact"/>
        <w:rPr>
          <w:sz w:val="20"/>
          <w:szCs w:val="20"/>
          <w:color w:val="auto"/>
        </w:rPr>
      </w:pPr>
    </w:p>
    <w:p>
      <w:pPr>
        <w:ind w:left="560" w:hanging="35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60" w:hanging="35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207" w:lineRule="exact"/>
        <w:rPr>
          <w:rFonts w:ascii="Arial" w:cs="Arial" w:eastAsia="Arial" w:hAnsi="Arial"/>
          <w:sz w:val="16"/>
          <w:szCs w:val="16"/>
          <w:color w:val="auto"/>
        </w:rPr>
      </w:pPr>
    </w:p>
    <w:p>
      <w:pPr>
        <w:ind w:left="560" w:hanging="35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85" w:lineRule="exact"/>
        <w:rPr>
          <w:sz w:val="20"/>
          <w:szCs w:val="20"/>
          <w:color w:val="auto"/>
        </w:rPr>
      </w:pPr>
    </w:p>
    <w:p>
      <w:pPr>
        <w:ind w:left="200" w:right="80" w:firstLine="4"/>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200" w:right="40" w:firstLine="4"/>
        <w:spacing w:after="0" w:line="259" w:lineRule="auto"/>
        <w:tabs>
          <w:tab w:leader="none" w:pos="5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60" w:lineRule="exact"/>
        <w:rPr>
          <w:sz w:val="20"/>
          <w:szCs w:val="20"/>
          <w:color w:val="auto"/>
        </w:rPr>
      </w:pPr>
    </w:p>
    <w:p>
      <w:pPr>
        <w:ind w:left="200" w:right="140" w:firstLine="4"/>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600" w:hanging="39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80" w:hanging="376"/>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98" w:lineRule="exact"/>
        <w:rPr>
          <w:rFonts w:ascii="Arial" w:cs="Arial" w:eastAsia="Arial" w:hAnsi="Arial"/>
          <w:sz w:val="18"/>
          <w:szCs w:val="18"/>
          <w:color w:val="auto"/>
        </w:rPr>
      </w:pPr>
    </w:p>
    <w:p>
      <w:pPr>
        <w:ind w:left="600" w:hanging="39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85"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200" w:right="100" w:firstLine="4"/>
        <w:spacing w:after="0" w:line="277" w:lineRule="auto"/>
        <w:tabs>
          <w:tab w:leader="none" w:pos="4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143" w:lineRule="exact"/>
        <w:rPr>
          <w:rFonts w:ascii="Arial" w:cs="Arial" w:eastAsia="Arial" w:hAnsi="Arial"/>
          <w:sz w:val="18"/>
          <w:szCs w:val="18"/>
          <w:color w:val="auto"/>
        </w:rPr>
      </w:pPr>
    </w:p>
    <w:p>
      <w:pPr>
        <w:ind w:left="200" w:right="240" w:firstLine="4"/>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
        <w:spacing w:after="0" w:line="277" w:lineRule="auto"/>
        <w:tabs>
          <w:tab w:leader="none" w:pos="4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9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13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ICBC Standard Bank Plc may not underwrite, subscribe, agree to purchase or procure purchasers to purchase Notes that are offered or sold in the United States. Notwithstanding anything to the contrary in this Agreement, ICBC Standard Bank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Investors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200" w:firstLine="4"/>
        <w:spacing w:after="0" w:line="252" w:lineRule="auto"/>
        <w:tabs>
          <w:tab w:leader="none" w:pos="4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2018,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2018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1"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The consolidated financial statements of Sky Limited (formerly Sky plc) as of and for the year ended June 30, 2018, incorporated by reference herein from Comcast Corporation’s Form 8-K/A filed on August 1, 2019,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0" w:right="36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20" w:type="dxa"/>
            <w:vAlign w:val="bottom"/>
            <w:gridSpan w:val="2"/>
          </w:tcPr>
          <w:p>
            <w:pPr>
              <w:jc w:val="right"/>
              <w:ind w:right="4438"/>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2940" w:type="dxa"/>
            <w:vAlign w:val="bottom"/>
            <w:gridSpan w:val="9"/>
            <w:vMerge w:val="restart"/>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2940" w:type="dxa"/>
            <w:vAlign w:val="bottom"/>
            <w:gridSpan w:val="9"/>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6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Caution Concerning Forward-Looking Statements</w:t>
              </w:r>
            </w:hyperlink>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540" w:type="dxa"/>
            <w:vAlign w:val="bottom"/>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2900" w:type="dxa"/>
            <w:vAlign w:val="bottom"/>
            <w:gridSpan w:val="7"/>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800" w:type="dxa"/>
            <w:vAlign w:val="bottom"/>
            <w:gridSpan w:val="2"/>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2060" w:type="dxa"/>
            <w:vAlign w:val="bottom"/>
            <w:gridSpan w:val="3"/>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3080" w:type="dxa"/>
            <w:vAlign w:val="bottom"/>
            <w:gridSpan w:val="10"/>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Available Information</w:t>
              </w:r>
            </w:hyperlink>
          </w:p>
        </w:tc>
        <w:tc>
          <w:tcPr>
            <w:tcW w:w="2500" w:type="dxa"/>
            <w:vAlign w:val="bottom"/>
            <w:gridSpan w:val="4"/>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Incorporation of Certain Documents by Reference</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200" w:right="80" w:firstLine="4"/>
        <w:spacing w:after="0" w:line="255"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7" w:lineRule="exact"/>
        <w:rPr>
          <w:rFonts w:ascii="Arial" w:cs="Arial" w:eastAsia="Arial" w:hAnsi="Arial"/>
          <w:sz w:val="18"/>
          <w:szCs w:val="18"/>
          <w:color w:val="auto"/>
        </w:rPr>
      </w:pPr>
    </w:p>
    <w:p>
      <w:pPr>
        <w:ind w:left="1180" w:right="200" w:hanging="436"/>
        <w:spacing w:after="0" w:line="262"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180" w:right="100" w:hanging="436"/>
        <w:spacing w:after="0" w:line="262"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180" w:right="260" w:hanging="436"/>
        <w:spacing w:after="0" w:line="262"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180" w:right="140" w:hanging="436"/>
        <w:spacing w:after="0" w:line="334" w:lineRule="auto"/>
        <w:tabs>
          <w:tab w:leader="none" w:pos="118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1" w:lineRule="exact"/>
        <w:rPr>
          <w:rFonts w:ascii="Arial" w:cs="Arial" w:eastAsia="Arial" w:hAnsi="Arial"/>
          <w:sz w:val="16"/>
          <w:szCs w:val="16"/>
          <w:color w:val="auto"/>
        </w:rPr>
      </w:pPr>
    </w:p>
    <w:p>
      <w:pPr>
        <w:ind w:left="1180" w:right="260" w:hanging="436"/>
        <w:spacing w:after="0" w:line="334" w:lineRule="auto"/>
        <w:tabs>
          <w:tab w:leader="none" w:pos="1180" w:val="left"/>
        </w:tabs>
        <w:numPr>
          <w:ilvl w:val="1"/>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spacing w:after="0" w:line="1" w:lineRule="exact"/>
        <w:rPr>
          <w:rFonts w:ascii="Arial" w:cs="Arial" w:eastAsia="Arial" w:hAnsi="Arial"/>
          <w:sz w:val="16"/>
          <w:szCs w:val="16"/>
          <w:color w:val="auto"/>
        </w:rPr>
      </w:pPr>
    </w:p>
    <w:p>
      <w:pPr>
        <w:ind w:left="1180" w:right="180" w:hanging="436"/>
        <w:spacing w:after="0" w:line="262"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hanging="436"/>
        <w:spacing w:after="0" w:line="268"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180" w:right="22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180" w:right="32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180" w:right="50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180" w:right="180" w:hanging="436"/>
        <w:spacing w:after="0" w:line="33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4" w:lineRule="exact"/>
        <w:rPr>
          <w:rFonts w:ascii="Arial" w:cs="Arial" w:eastAsia="Arial" w:hAnsi="Arial"/>
          <w:sz w:val="16"/>
          <w:szCs w:val="16"/>
          <w:color w:val="auto"/>
        </w:rPr>
      </w:pPr>
    </w:p>
    <w:p>
      <w:pPr>
        <w:ind w:left="118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180" w:right="34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180" w:right="54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180" w:right="44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180" w:right="36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180" w:right="760" w:hanging="436"/>
        <w:spacing w:after="0" w:line="26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180" w:hanging="436"/>
        <w:spacing w:after="0" w:line="33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459" w:right="7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180" w:right="100" w:hanging="436"/>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30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180" w:right="18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180" w:right="38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180" w:right="50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180" w:right="26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180" w:right="10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200" w:right="140" w:firstLine="444"/>
        <w:spacing w:after="0" w:line="268" w:lineRule="auto"/>
        <w:tabs>
          <w:tab w:leader="none" w:pos="8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firstLine="444"/>
        <w:spacing w:after="0" w:line="268" w:lineRule="auto"/>
        <w:tabs>
          <w:tab w:leader="none" w:pos="8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200" w:right="100" w:firstLine="444"/>
        <w:spacing w:after="0" w:line="268" w:lineRule="auto"/>
        <w:tabs>
          <w:tab w:leader="none" w:pos="8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8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7"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200" w:right="200" w:firstLine="441"/>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200" w:firstLine="4"/>
        <w:spacing w:after="0" w:line="261" w:lineRule="auto"/>
        <w:tabs>
          <w:tab w:leader="none" w:pos="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0" w:lineRule="exact"/>
        <w:rPr>
          <w:sz w:val="20"/>
          <w:szCs w:val="20"/>
          <w:color w:val="auto"/>
        </w:rPr>
      </w:pPr>
    </w:p>
    <w:p>
      <w:pPr>
        <w:ind w:left="200" w:right="240" w:firstLine="441"/>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6"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200" w:right="180" w:firstLine="444"/>
        <w:spacing w:after="0" w:line="259"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rFonts w:ascii="Arial" w:cs="Arial" w:eastAsia="Arial" w:hAnsi="Arial"/>
          <w:sz w:val="18"/>
          <w:szCs w:val="18"/>
          <w:color w:val="auto"/>
        </w:rPr>
      </w:pPr>
    </w:p>
    <w:p>
      <w:pPr>
        <w:ind w:left="200" w:right="60" w:firstLine="444"/>
        <w:spacing w:after="0" w:line="291" w:lineRule="auto"/>
        <w:tabs>
          <w:tab w:leader="none" w:pos="8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rFonts w:ascii="Arial" w:cs="Arial" w:eastAsia="Arial" w:hAnsi="Arial"/>
          <w:sz w:val="16"/>
          <w:szCs w:val="16"/>
          <w:color w:val="auto"/>
        </w:rPr>
      </w:pPr>
    </w:p>
    <w:p>
      <w:pPr>
        <w:ind w:left="200" w:right="840" w:firstLine="444"/>
        <w:spacing w:after="0" w:line="268"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860" w:hanging="216"/>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4"/>
        <w:spacing w:after="0" w:line="268" w:lineRule="auto"/>
        <w:tabs>
          <w:tab w:leader="none" w:pos="9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200" w:right="980" w:firstLine="441"/>
        <w:spacing w:after="0" w:line="332"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right="80" w:hanging="436"/>
        <w:spacing w:after="0" w:line="268"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180" w:right="180" w:hanging="436"/>
        <w:spacing w:after="0" w:line="25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160" w:hanging="436"/>
        <w:spacing w:after="0" w:line="306" w:lineRule="auto"/>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180" w:right="120" w:hanging="436"/>
        <w:spacing w:after="0" w:line="256"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400" w:firstLine="441"/>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180" w:right="100" w:hanging="436"/>
        <w:spacing w:after="0" w:line="259"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180" w:right="300" w:hanging="436"/>
        <w:spacing w:after="0" w:line="268"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180" w:right="140" w:hanging="436"/>
        <w:spacing w:after="0" w:line="259"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180" w:right="360" w:hanging="436"/>
        <w:spacing w:after="0" w:line="26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6"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180" w:right="540" w:hanging="436"/>
        <w:spacing w:after="0" w:line="268"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180" w:right="60" w:hanging="436"/>
        <w:spacing w:after="0" w:line="294"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180" w:right="260" w:hanging="436"/>
        <w:spacing w:after="0" w:line="268"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180" w:hanging="436"/>
        <w:spacing w:after="0" w:line="370" w:lineRule="auto"/>
        <w:tabs>
          <w:tab w:leader="none" w:pos="11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180" w:right="360" w:hanging="436"/>
        <w:spacing w:after="0" w:line="306"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180" w:right="100" w:hanging="436"/>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180" w:right="240" w:hanging="436"/>
        <w:spacing w:after="0" w:line="357" w:lineRule="auto"/>
        <w:tabs>
          <w:tab w:leader="none" w:pos="1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2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180" w:right="80" w:hanging="436"/>
        <w:spacing w:after="0" w:line="298" w:lineRule="auto"/>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180" w:right="100" w:hanging="436"/>
        <w:spacing w:after="0" w:line="256"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180" w:right="140" w:hanging="436"/>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jc w:val="both"/>
        <w:ind w:left="1180" w:right="240" w:hanging="436"/>
        <w:spacing w:after="0" w:line="259"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9"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180" w:right="240" w:hanging="436"/>
        <w:spacing w:after="0" w:line="268"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180" w:right="720" w:hanging="436"/>
        <w:spacing w:after="0" w:line="26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2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200" w:righ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180" w:hanging="436"/>
        <w:spacing w:after="0"/>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180" w:right="16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17">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17">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20">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23">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80" w:right="64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2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2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180" w:right="340" w:hanging="436"/>
        <w:spacing w:after="0" w:line="332"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78">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5" w:lineRule="exact"/>
        <w:rPr>
          <w:rFonts w:ascii="Arial" w:cs="Arial" w:eastAsia="Arial" w:hAnsi="Arial"/>
          <w:sz w:val="18"/>
          <w:szCs w:val="18"/>
          <w:color w:val="auto"/>
        </w:rPr>
      </w:pPr>
    </w:p>
    <w:p>
      <w:pPr>
        <w:ind w:left="200" w:firstLine="441"/>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$1,600,000,000 2.650% Notes due 2030</w:t>
      </w:r>
    </w:p>
    <w:p>
      <w:pPr>
        <w:spacing w:after="0" w:line="11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$1,350,000,000 3.250% Notes due 2039</w:t>
      </w:r>
    </w:p>
    <w:p>
      <w:pPr>
        <w:spacing w:after="0" w:line="11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$1,800,000,000 3.450%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1624330</wp:posOffset>
            </wp:positionV>
            <wp:extent cx="69977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99770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4960" w:val="left"/>
          <w:tab w:leader="none" w:pos="10060" w:val="left"/>
        </w:tabs>
        <w:rPr>
          <w:sz w:val="20"/>
          <w:szCs w:val="20"/>
          <w:color w:val="auto"/>
        </w:rPr>
      </w:pPr>
      <w:r>
        <w:rPr>
          <w:rFonts w:ascii="Arial" w:cs="Arial" w:eastAsia="Arial" w:hAnsi="Arial"/>
          <w:sz w:val="20"/>
          <w:szCs w:val="20"/>
          <w:b w:val="1"/>
          <w:bCs w:val="1"/>
          <w:color w:val="auto"/>
        </w:rPr>
        <w:t>Mizuho Securities</w:t>
      </w:r>
      <w:r>
        <w:rPr>
          <w:sz w:val="20"/>
          <w:szCs w:val="20"/>
          <w:color w:val="auto"/>
        </w:rPr>
        <w:tab/>
      </w:r>
      <w:r>
        <w:rPr>
          <w:rFonts w:ascii="Arial" w:cs="Arial" w:eastAsia="Arial" w:hAnsi="Arial"/>
          <w:sz w:val="20"/>
          <w:szCs w:val="20"/>
          <w:b w:val="1"/>
          <w:bCs w:val="1"/>
          <w:color w:val="auto"/>
        </w:rPr>
        <w:t>Morgan Stanley</w:t>
      </w:r>
      <w:r>
        <w:rPr>
          <w:sz w:val="20"/>
          <w:szCs w:val="20"/>
          <w:color w:val="auto"/>
        </w:rPr>
        <w:tab/>
      </w:r>
      <w:r>
        <w:rPr>
          <w:rFonts w:ascii="Arial" w:cs="Arial" w:eastAsia="Arial" w:hAnsi="Arial"/>
          <w:sz w:val="19"/>
          <w:szCs w:val="19"/>
          <w:b w:val="1"/>
          <w:bCs w:val="1"/>
          <w:color w:val="auto"/>
        </w:rPr>
        <w:t>SMBC Nikko</w:t>
      </w:r>
    </w:p>
    <w:p>
      <w:pPr>
        <w:spacing w:after="0" w:line="170" w:lineRule="exact"/>
        <w:rPr>
          <w:sz w:val="20"/>
          <w:szCs w:val="20"/>
          <w:color w:val="auto"/>
        </w:rPr>
      </w:pPr>
    </w:p>
    <w:p>
      <w:pPr>
        <w:ind w:left="200"/>
        <w:spacing w:after="0"/>
        <w:tabs>
          <w:tab w:leader="none" w:pos="5220" w:val="left"/>
          <w:tab w:leader="none" w:pos="10100" w:val="left"/>
        </w:tabs>
        <w:rPr>
          <w:sz w:val="20"/>
          <w:szCs w:val="20"/>
          <w:color w:val="auto"/>
        </w:rPr>
      </w:pPr>
      <w:r>
        <w:rPr>
          <w:rFonts w:ascii="Arial" w:cs="Arial" w:eastAsia="Arial" w:hAnsi="Arial"/>
          <w:sz w:val="19"/>
          <w:szCs w:val="19"/>
          <w:b w:val="1"/>
          <w:bCs w:val="1"/>
          <w:color w:val="auto"/>
        </w:rPr>
        <w:t>Goldman Sachs &amp; Co. LLC</w:t>
      </w:r>
      <w:r>
        <w:rPr>
          <w:sz w:val="20"/>
          <w:szCs w:val="20"/>
          <w:color w:val="auto"/>
        </w:rPr>
        <w:tab/>
      </w:r>
      <w:r>
        <w:rPr>
          <w:rFonts w:ascii="Arial" w:cs="Arial" w:eastAsia="Arial" w:hAnsi="Arial"/>
          <w:sz w:val="19"/>
          <w:szCs w:val="19"/>
          <w:b w:val="1"/>
          <w:bCs w:val="1"/>
          <w:color w:val="auto"/>
        </w:rPr>
        <w:t>Santander</w:t>
      </w:r>
      <w:r>
        <w:rPr>
          <w:sz w:val="20"/>
          <w:szCs w:val="20"/>
          <w:color w:val="auto"/>
        </w:rPr>
        <w:tab/>
      </w:r>
      <w:r>
        <w:rPr>
          <w:rFonts w:ascii="Arial" w:cs="Arial" w:eastAsia="Arial" w:hAnsi="Arial"/>
          <w:sz w:val="17"/>
          <w:szCs w:val="17"/>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556895</wp:posOffset>
            </wp:positionV>
            <wp:extent cx="2735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October 29, 2019</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3"/>
    </w:lvl>
    <w:lvl w:ilvl="1">
      <w:lvlJc w:val="left"/>
      <w:lvlText w:val="•"/>
      <w:numFmt w:val="bullet"/>
      <w:start w:val="1"/>
    </w:lvl>
  </w:abstractNum>
  <w:abstractNum w:abstractNumId="4">
    <w:nsid w:val="54E49EB4"/>
    <w:multiLevelType w:val="hybridMultilevel"/>
    <w:lvl w:ilvl="0">
      <w:lvlJc w:val="left"/>
      <w:lvlText w:val="(%1)"/>
      <w:numFmt w:val="decimal"/>
      <w:start w:val="215"/>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lvl w:ilvl="1">
      <w:lvlJc w:val="left"/>
      <w:lvlText w:val="•"/>
      <w:numFmt w:val="bullet"/>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3"/>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decimal"/>
      <w:start w:val="1"/>
    </w:lvl>
    <w:lvl w:ilvl="1">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2"/>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3"/>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jpe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jpe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16" Type="http://schemas.openxmlformats.org/officeDocument/2006/relationships/hyperlink" Target="http://www.sec.gov/Archives/edgar/data/902739/000116669119000005/cmcsa-12312018x10k.htm" TargetMode="External"/><Relationship Id="rId17" Type="http://schemas.openxmlformats.org/officeDocument/2006/relationships/hyperlink" Target="http://www.sec.gov/Archives/edgar/data/902739/000116669119000010/cmcsa-3312019x10q.htm" TargetMode="External"/><Relationship Id="rId18" Type="http://schemas.openxmlformats.org/officeDocument/2006/relationships/hyperlink" Target="http://www.sec.gov/Archives/edgar/data/902739/000116669119000015/cmcsa-6302019x10q.htm" TargetMode="External"/><Relationship Id="rId19" Type="http://schemas.openxmlformats.org/officeDocument/2006/relationships/hyperlink" Target="http://www.sec.gov/Archives/edgar/data/902739/000116669119000020/cmcsa-9302019x10q.htm" TargetMode="External"/><Relationship Id="rId20" Type="http://schemas.openxmlformats.org/officeDocument/2006/relationships/hyperlink" Target="http://www.sec.gov/Archives/edgar/data/902739/000095010319006331/dp106765_8k.htm" TargetMode="External"/><Relationship Id="rId21" Type="http://schemas.openxmlformats.org/officeDocument/2006/relationships/hyperlink" Target="http://www.sec.gov/Archives/edgar/data/1166691/000095010319007912/dp108319_8k.htm" TargetMode="External"/><Relationship Id="rId22" Type="http://schemas.openxmlformats.org/officeDocument/2006/relationships/hyperlink" Target="http://www.sec.gov/Archives/edgar/data/902739/000095010319008213/dp108508_8k.htm" TargetMode="External"/><Relationship Id="rId23" Type="http://schemas.openxmlformats.org/officeDocument/2006/relationships/hyperlink" Target="http://www.sec.gov/Archives/edgar/data/1166691/000119312519210443/d736987d8ka.htm" TargetMode="External"/><Relationship Id="rId24" Type="http://schemas.openxmlformats.org/officeDocument/2006/relationships/hyperlink" Target="http://www.sec.gov/Archives/edgar/data/1166691/000119312519121456/d696198ddef14a.htm" TargetMode="External"/><Relationship Id="rId78"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2019-12-04T22:01:29Z</dcterms:created>
  <dcterms:modified xsi:type="dcterms:W3CDTF">2019-12-04T22:01:29Z</dcterms:modified>
</cp:coreProperties>
</file>