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13d-2(b)</w:t>
      </w:r>
    </w:p>
    <w:p>
      <w:pPr>
        <w:ind w:left="31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Internet Capital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46059C106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35"/>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360" w:type="dxa"/>
            <w:vAlign w:val="bottom"/>
          </w:tcPr>
          <w:p>
            <w:pPr>
              <w:ind w:left="900"/>
              <w:spacing w:after="0"/>
              <w:rPr>
                <w:sz w:val="20"/>
                <w:szCs w:val="20"/>
                <w:color w:val="auto"/>
              </w:rPr>
            </w:pPr>
            <w:r>
              <w:rPr>
                <w:rFonts w:ascii="Courier New" w:cs="Courier New" w:eastAsia="Courier New" w:hAnsi="Courier New"/>
                <w:sz w:val="18"/>
                <w:szCs w:val="18"/>
                <w:color w:val="auto"/>
              </w:rPr>
              <w:t>13g</w:t>
            </w:r>
          </w:p>
        </w:tc>
        <w:tc>
          <w:tcPr>
            <w:tcW w:w="316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46059C106</w:t>
            </w:r>
          </w:p>
        </w:tc>
        <w:tc>
          <w:tcPr>
            <w:tcW w:w="23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13G</w:t>
            </w: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1 of 1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17"/>
                <w:szCs w:val="17"/>
                <w:color w:val="auto"/>
              </w:rPr>
            </w:pP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73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23-1709202</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right"/>
        <w:ind w:left="320"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 ]</w:t>
      </w:r>
    </w:p>
    <w:p>
      <w:pPr>
        <w:spacing w:after="0" w:line="208"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sectPr>
      </w:pPr>
    </w:p>
    <w:bookmarkStart w:id="1" w:name="page2"/>
    <w:bookmarkEnd w:id="1"/>
    <w:p>
      <w:pPr>
        <w:ind w:left="852" w:right="5579" w:hanging="536"/>
        <w:spacing w:after="0" w:line="470" w:lineRule="auto"/>
        <w:tabs>
          <w:tab w:leader="none" w:pos="85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6,310,659 (See Item 4(a))</w:t>
            </w:r>
          </w:p>
        </w:tc>
      </w:tr>
      <w:tr>
        <w:trPr>
          <w:trHeight w:val="405"/>
        </w:trPr>
        <w:tc>
          <w:tcPr>
            <w:tcW w:w="2200" w:type="dxa"/>
            <w:vAlign w:val="bottom"/>
          </w:tcPr>
          <w:p>
            <w:pPr>
              <w:spacing w:after="0"/>
              <w:rPr>
                <w:sz w:val="24"/>
                <w:szCs w:val="24"/>
                <w:color w:val="auto"/>
              </w:rPr>
            </w:pPr>
          </w:p>
        </w:tc>
        <w:tc>
          <w:tcPr>
            <w:tcW w:w="612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 SHARES</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9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BY EACH REPORTING</w:t>
            </w:r>
          </w:p>
        </w:tc>
        <w:tc>
          <w:tcPr>
            <w:tcW w:w="3320" w:type="dxa"/>
            <w:vAlign w:val="bottom"/>
            <w:gridSpan w:val="2"/>
          </w:tcPr>
          <w:p>
            <w:pPr>
              <w:ind w:left="320"/>
              <w:spacing w:after="0"/>
              <w:rPr>
                <w:sz w:val="20"/>
                <w:szCs w:val="20"/>
                <w:color w:val="auto"/>
              </w:rPr>
            </w:pPr>
            <w:r>
              <w:rPr>
                <w:rFonts w:ascii="Courier New" w:cs="Courier New" w:eastAsia="Courier New" w:hAnsi="Courier New"/>
                <w:sz w:val="12"/>
                <w:szCs w:val="12"/>
                <w:color w:val="auto"/>
                <w:w w:val="75"/>
              </w:rPr>
              <w:t>-------------------------------------------------------</w:t>
            </w:r>
          </w:p>
        </w:tc>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22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PERSON WITH</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SOLE DISPOSITIVE POWER</w:t>
            </w:r>
          </w:p>
        </w:tc>
        <w:tc>
          <w:tcPr>
            <w:tcW w:w="160" w:type="dxa"/>
            <w:vAlign w:val="bottom"/>
          </w:tcPr>
          <w:p>
            <w:pPr>
              <w:spacing w:after="0"/>
              <w:rPr>
                <w:sz w:val="17"/>
                <w:szCs w:val="17"/>
                <w:color w:val="auto"/>
              </w:rPr>
            </w:pP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6,310,659 (See Item 4(a))</w:t>
            </w:r>
          </w:p>
        </w:tc>
      </w:tr>
      <w:tr>
        <w:trPr>
          <w:trHeight w:val="405"/>
        </w:trPr>
        <w:tc>
          <w:tcPr>
            <w:tcW w:w="2200" w:type="dxa"/>
            <w:vAlign w:val="bottom"/>
          </w:tcPr>
          <w:p>
            <w:pPr>
              <w:spacing w:after="0"/>
              <w:rPr>
                <w:sz w:val="24"/>
                <w:szCs w:val="24"/>
                <w:color w:val="auto"/>
              </w:rPr>
            </w:pPr>
          </w:p>
        </w:tc>
        <w:tc>
          <w:tcPr>
            <w:tcW w:w="6120" w:type="dxa"/>
            <w:vAlign w:val="bottom"/>
            <w:gridSpan w:val="4"/>
          </w:tcPr>
          <w:p>
            <w:pPr>
              <w:ind w:left="3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00" w:type="dxa"/>
            <w:vAlign w:val="bottom"/>
          </w:tcPr>
          <w:p>
            <w:pPr>
              <w:spacing w:after="0"/>
              <w:rPr>
                <w:sz w:val="17"/>
                <w:szCs w:val="17"/>
                <w:color w:val="auto"/>
              </w:rPr>
            </w:pP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039" w:hanging="536"/>
        <w:spacing w:after="0" w:line="470"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6,310,659</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852"/>
        <w:spacing w:after="0"/>
        <w:tabs>
          <w:tab w:leader="none" w:pos="8092"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2.19%</w:t>
      </w:r>
    </w:p>
    <w:p>
      <w:pPr>
        <w:spacing w:after="0" w:line="206"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6739" w:hanging="641"/>
        <w:spacing w:after="0" w:line="470"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Internet Capital Group,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435 Devon Park Drive, Building 800,</w:t>
      </w:r>
    </w:p>
    <w:p>
      <w:pPr>
        <w:ind w:left="540"/>
        <w:spacing w:after="0" w:line="238" w:lineRule="auto"/>
        <w:rPr>
          <w:sz w:val="20"/>
          <w:szCs w:val="20"/>
          <w:color w:val="auto"/>
        </w:rPr>
      </w:pPr>
      <w:r>
        <w:rPr>
          <w:rFonts w:ascii="Courier New" w:cs="Courier New" w:eastAsia="Courier New" w:hAnsi="Courier New"/>
          <w:sz w:val="18"/>
          <w:szCs w:val="18"/>
          <w:color w:val="auto"/>
        </w:rPr>
        <w:t>Wayne, Pennsylvania 19087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statement is being filed on behalf of Comcast Corporation ("Comcast"). Sural LLC ("Sural") owns approximately 86.7% of the voting power of Comcast's voting common stock. In 2001, Sural Corporation merged with and into Sural. Sural was the surviving entity in the merger. The President of Comcast, Brian L. Roberts, is the managing member of Sural and holds approximately 72% of its outstanding units of membership interests. Item 2(b). Address of Principal Business Office or, if None, Residence:</w:t>
      </w:r>
    </w:p>
    <w:p>
      <w:pPr>
        <w:spacing w:after="0" w:line="211"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Comcast is 1500 Market Street, Philadelphia, PA 19102-2148.</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Sural is 1105 North Market Street, Suite 1219, Wilmington, DE 19801.</w:t>
      </w:r>
    </w:p>
    <w:p>
      <w:pPr>
        <w:spacing w:after="0" w:line="208"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business address of Brian L. Roberts is 1500 Market Street, Philadelphia, PA 19102-2148.</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was organized in the state of Pennsylvania.</w:t>
      </w:r>
    </w:p>
    <w:p>
      <w:pPr>
        <w:ind w:left="540"/>
        <w:spacing w:after="0" w:line="238" w:lineRule="auto"/>
        <w:rPr>
          <w:sz w:val="20"/>
          <w:szCs w:val="20"/>
          <w:color w:val="auto"/>
        </w:rPr>
      </w:pPr>
      <w:r>
        <w:rPr>
          <w:rFonts w:ascii="Courier New" w:cs="Courier New" w:eastAsia="Courier New" w:hAnsi="Courier New"/>
          <w:sz w:val="18"/>
          <w:szCs w:val="18"/>
          <w:color w:val="auto"/>
        </w:rPr>
        <w:t>Sural was organized in the state of Delaware.</w:t>
      </w:r>
    </w:p>
    <w:p>
      <w:pPr>
        <w:ind w:left="540"/>
        <w:spacing w:after="0"/>
        <w:rPr>
          <w:sz w:val="20"/>
          <w:szCs w:val="20"/>
          <w:color w:val="auto"/>
        </w:rPr>
      </w:pPr>
      <w:r>
        <w:rPr>
          <w:rFonts w:ascii="Courier New" w:cs="Courier New" w:eastAsia="Courier New" w:hAnsi="Courier New"/>
          <w:sz w:val="18"/>
          <w:szCs w:val="18"/>
          <w:color w:val="auto"/>
        </w:rPr>
        <w:t>Brian L. Roberts is a citizen of the United States.</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Common Stock, par value $.001 per share ("Common Stock") Item 2(e). CUSIP Number: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46059C106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480" w:right="199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177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1779" w:hanging="945"/>
        <w:spacing w:after="0" w:line="235" w:lineRule="auto"/>
        <w:tabs>
          <w:tab w:leader="none" w:pos="10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ectPr>
          <w:pgSz w:w="11900" w:h="16838" w:orient="portrait"/>
          <w:cols w:equalWidth="0" w:num="1">
            <w:col w:w="10219"/>
          </w:cols>
          <w:pgMar w:left="240" w:top="919" w:right="1440" w:bottom="1440" w:gutter="0" w:footer="0" w:header="0"/>
        </w:sectPr>
      </w:pPr>
    </w:p>
    <w:bookmarkStart w:id="3" w:name="page4"/>
    <w:bookmarkEnd w:id="3"/>
    <w:p>
      <w:pPr>
        <w:ind w:left="1480" w:right="2099" w:hanging="945"/>
        <w:spacing w:after="0" w:line="235"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10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If this statement is filed pursuant to Rule 13d-1(c), check this box. [ ]</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Comcast may be deemed to be the beneficial owner of 6,310,659 shares of Common Stock consisting of (i) 5,893,993 shares of Common Stock deemed to be owned by Comcast ICG, Inc. ("Comcast ICG") and (ii) 416,666 shares of Common Stock deemed to be owned by Comcast Investment Holdings, Inc. ("Comcast Holdings"). Each of Comcast ICG and Comcast Holdings is a direct wholly owned subsidiary of Comcast.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ICG may be deemed to be the beneficial owner of 5,893,993 shares of Common Stock as a result of its direct ownership of stock of the ICG Subsidiaries (as defined below) and its direct ownership of currently exercisable warrants and options to purchase 550,660 shares of Common Stock. Comcast ICG is a direct wholly owned subsidiary of Comcast. In 2001, Comcast Online Communications, Inc., which formerly owned stock of ICG, merged with and into Comcast. Comcast was the surviving entity in the merger.</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Each of Comcast ICG Holdings 2, Inc., Comcast ICG Holdings 3, Inc. and Comcast ICG Holdings 4, Inc. (collectively, the "ICG Subsidiaries") may be deemed to be the beneficial owner of shares of Common Stock. Comcast ICG Holdings 2, Inc., may be deemed to be the beneficial owner of 1,948,333 shares of Common Stock as a result of its direct ownership of 1,948,333 shares of Common Stock. Comcast ICG Holdings 3, Inc. may be deemed to be the beneficial owner of 2,048,333 shares of Common Stock as a result of its direct ownership of 2,048,333 shares of Common Stock. Comcast ICG Holdings 4, Inc. may be deemed to be beneficial owner of 1,346,667 shares as a result of its direct ownership of 1,346,667 shares of common stock. The ICG Subsidiaries collectively may be deemed to be the beneficial owners of 5,343,333 shares of Common Stock. Each of the ICG Subsidiaries was organized in the state of Delaware. Comcast ICG is the sole shareholder of each of the ICG Subsidiaries.</w:t>
      </w:r>
    </w:p>
    <w:p>
      <w:pPr>
        <w:spacing w:after="0" w:line="38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Comcast Holdings may be deemed to be the beneficial owner of the 416,666 shares of Common Stock deemed to be owned by Comcast CICG, L.P. ("CICG") as described below.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CICG may be deemed to be the beneficial owner of 416,666 shares of Common Stock as a result of its direct ownership of 416,666 shares of Common Stock. In 2001, Comcast Interactive Capital, L.P. distributed these 416,666 shares to CICG. Comcast CICG GP, Inc. ("GP") and Comcast CICG LP, Inc. ("LP"), each wholly owned subsidiaries of Comcast, together with certain executive officers of Comcast, hold 100% of the interests in CICG. Comcast Holdings holds a 100% interest in both GP and LP.</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Sural may be deemed to be the beneficial owner of the 6,310,659 shares of Common Stock deemed to be owned by Comcast referred to above. Sural owns approximately 86.7% of the voting power of Comcast's voting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 may be deemed to be the beneficial owner of the 6,310,659 shares of Common Stock deemed to be owned by Comcast referred to above. Brian L. Roberts is the managing member of Sural and holds approximately 72% of its outstanding units of membership interests.</w:t>
      </w:r>
    </w:p>
    <w:p>
      <w:pPr>
        <w:spacing w:after="0" w:line="202"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2.19% (See Item 4(a))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1999" w:hanging="533"/>
        <w:spacing w:after="0" w:line="235"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6,310,659 (See Item 4(a))</w:t>
      </w:r>
    </w:p>
    <w:p>
      <w:pPr>
        <w:sectPr>
          <w:pgSz w:w="11900" w:h="16838" w:orient="portrait"/>
          <w:cols w:equalWidth="0" w:num="1">
            <w:col w:w="10219"/>
          </w:cols>
          <w:pgMar w:left="240" w:top="925" w:right="1440" w:bottom="363" w:gutter="0" w:footer="0" w:header="0"/>
        </w:sectPr>
      </w:pPr>
    </w:p>
    <w:bookmarkStart w:id="4" w:name="page5"/>
    <w:bookmarkEnd w:id="4"/>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6" w:lineRule="exact"/>
        <w:rPr>
          <w:rFonts w:ascii="Courier New" w:cs="Courier New" w:eastAsia="Courier New" w:hAnsi="Courier New"/>
          <w:sz w:val="18"/>
          <w:szCs w:val="18"/>
          <w:color w:val="auto"/>
        </w:rPr>
      </w:pPr>
    </w:p>
    <w:p>
      <w:pPr>
        <w:ind w:left="1700" w:right="2839" w:hanging="744"/>
        <w:spacing w:after="0" w:line="235"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6,310,659 See Item 4(a))</w:t>
      </w:r>
    </w:p>
    <w:p>
      <w:pPr>
        <w:spacing w:after="0" w:line="208"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5.</w:t>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February 14, 2002</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Arthur R. Block, Senior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lvl w:ilvl="1">
      <w:lvlJc w:val="left"/>
      <w:lvlText w:val="[%2]"/>
      <w:numFmt w:val="upperLetter"/>
      <w:start w:val="2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2."/>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3"/>
    </w:lvl>
  </w:abstractNum>
  <w:abstractNum w:abstractNumId="9">
    <w:nsid w:val="7FDCC233"/>
    <w:multiLevelType w:val="hybridMultilevel"/>
    <w:lvl w:ilvl="0">
      <w:lvlJc w:val="left"/>
      <w:lvlText w:val="-"/>
      <w:numFmt w:val="bullet"/>
      <w:start w:val="1"/>
    </w:lvl>
    <w:lvl w:ilvl="1">
      <w:lvlJc w:val="left"/>
      <w:lvlText w:val="%2."/>
      <w:numFmt w:val="decimal"/>
      <w:start w:val="4"/>
    </w:lvl>
  </w:abstractNum>
  <w:abstractNum w:abstractNumId="10">
    <w:nsid w:val="1BEFD79F"/>
    <w:multiLevelType w:val="hybridMultilevel"/>
    <w:lvl w:ilvl="0">
      <w:lvlJc w:val="left"/>
      <w:lvlText w:val="-"/>
      <w:numFmt w:val="bullet"/>
      <w:start w:val="1"/>
    </w:lvl>
    <w:lvl w:ilvl="1">
      <w:lvlJc w:val="left"/>
      <w:lvlText w:val="%2."/>
      <w:numFmt w:val="decimal"/>
      <w:start w:val="9"/>
    </w:lvl>
  </w:abstractNum>
  <w:abstractNum w:abstractNumId="11">
    <w:nsid w:val="41A7C4C9"/>
    <w:multiLevelType w:val="hybridMultilevel"/>
    <w:lvl w:ilvl="0">
      <w:lvlJc w:val="left"/>
      <w:lvlText w:val="-"/>
      <w:numFmt w:val="bullet"/>
      <w:start w:val="1"/>
    </w:lvl>
    <w:lvl w:ilvl="1">
      <w:lvlJc w:val="left"/>
      <w:lvlText w:val="%2."/>
      <w:numFmt w:val="decimal"/>
      <w:start w:val="10"/>
    </w:lvl>
  </w:abstractNum>
  <w:abstractNum w:abstractNumId="12">
    <w:nsid w:val="6B68079A"/>
    <w:multiLevelType w:val="hybridMultilevel"/>
    <w:lvl w:ilvl="0">
      <w:lvlJc w:val="left"/>
      <w:lvlText w:val="-"/>
      <w:numFmt w:val="bullet"/>
      <w:start w:val="1"/>
    </w:lvl>
    <w:lvl w:ilvl="1">
      <w:lvlJc w:val="left"/>
      <w:lvlText w:val="%2."/>
      <w:numFmt w:val="decimal"/>
      <w:start w:val="11"/>
    </w:lvl>
  </w:abstractNum>
  <w:abstractNum w:abstractNumId="13">
    <w:nsid w:val="4E6AFB66"/>
    <w:multiLevelType w:val="hybridMultilevel"/>
    <w:lvl w:ilvl="0">
      <w:lvlJc w:val="left"/>
      <w:lvlText w:val="-"/>
      <w:numFmt w:val="bullet"/>
      <w:start w:val="1"/>
    </w:lvl>
    <w:lvl w:ilvl="1">
      <w:lvlJc w:val="left"/>
      <w:lvlText w:val="%2."/>
      <w:numFmt w:val="decimal"/>
      <w:start w:val="1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8"/>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2019-12-16T11:37:47Z</dcterms:created>
  <dcterms:modified xsi:type="dcterms:W3CDTF">2019-12-16T11:37:47Z</dcterms:modified>
</cp:coreProperties>
</file>