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11-K</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ANNUAL REPORT</w:t>
      </w:r>
    </w:p>
    <w:p>
      <w:pPr>
        <w:spacing w:after="0" w:line="166" w:lineRule="exact"/>
        <w:rPr>
          <w:sz w:val="24"/>
          <w:szCs w:val="24"/>
          <w:color w:val="auto"/>
        </w:rPr>
      </w:pPr>
    </w:p>
    <w:p>
      <w:pPr>
        <w:jc w:val="right"/>
        <w:ind w:right="5339"/>
        <w:spacing w:after="0"/>
        <w:rPr>
          <w:sz w:val="20"/>
          <w:szCs w:val="20"/>
          <w:color w:val="auto"/>
        </w:rPr>
      </w:pPr>
      <w:r>
        <w:rPr>
          <w:rFonts w:ascii="Courier New" w:cs="Courier New" w:eastAsia="Courier New" w:hAnsi="Courier New"/>
          <w:sz w:val="15"/>
          <w:szCs w:val="15"/>
          <w:color w:val="auto"/>
        </w:rPr>
        <w:t>Pursuant to Section 15(d) of the</w:t>
      </w:r>
    </w:p>
    <w:p>
      <w:pPr>
        <w:jc w:val="right"/>
        <w:ind w:right="53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ind w:left="2460"/>
        <w:spacing w:after="0" w:line="237" w:lineRule="auto"/>
        <w:rPr>
          <w:sz w:val="20"/>
          <w:szCs w:val="20"/>
          <w:color w:val="auto"/>
        </w:rPr>
      </w:pPr>
      <w:r>
        <w:rPr>
          <w:rFonts w:ascii="Courier New" w:cs="Courier New" w:eastAsia="Courier New" w:hAnsi="Courier New"/>
          <w:sz w:val="15"/>
          <w:szCs w:val="15"/>
          <w:color w:val="auto"/>
        </w:rPr>
        <w:t>[GRAPHIC OMITTED - LOGO]</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440" w:right="33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1997.</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 TRANSITION REPORT PURSUANT TO SECTION 15(d) OF THE SECURITIES EXCHANGE ACT</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OF 1934.</w:t>
      </w:r>
    </w:p>
    <w:p>
      <w:pPr>
        <w:ind w:left="440"/>
        <w:spacing w:after="0" w:line="237" w:lineRule="auto"/>
        <w:rPr>
          <w:sz w:val="20"/>
          <w:szCs w:val="20"/>
          <w:color w:val="auto"/>
        </w:rPr>
      </w:pPr>
      <w:r>
        <w:rPr>
          <w:rFonts w:ascii="Courier New" w:cs="Courier New" w:eastAsia="Courier New" w:hAnsi="Courier New"/>
          <w:sz w:val="15"/>
          <w:szCs w:val="15"/>
          <w:color w:val="auto"/>
        </w:rPr>
        <w:t>For the transition period from _________ to ________</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0-6983</w:t>
      </w:r>
    </w:p>
    <w:p>
      <w:pPr>
        <w:spacing w:after="0" w:line="173" w:lineRule="exact"/>
        <w:rPr>
          <w:sz w:val="24"/>
          <w:szCs w:val="24"/>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THE COMCAST CORPORATION RETIREMENT-INVESTMENT PLAN</w:t>
      </w:r>
    </w:p>
    <w:p>
      <w:pPr>
        <w:spacing w:after="0" w:line="173" w:lineRule="exact"/>
        <w:rPr>
          <w:sz w:val="24"/>
          <w:szCs w:val="24"/>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Comcast Corporation</w:t>
      </w:r>
    </w:p>
    <w:p>
      <w:pPr>
        <w:ind w:left="440"/>
        <w:spacing w:after="0" w:line="237" w:lineRule="auto"/>
        <w:rPr>
          <w:sz w:val="20"/>
          <w:szCs w:val="20"/>
          <w:color w:val="auto"/>
        </w:rPr>
      </w:pPr>
      <w:r>
        <w:rPr>
          <w:rFonts w:ascii="Courier New" w:cs="Courier New" w:eastAsia="Courier New" w:hAnsi="Courier New"/>
          <w:sz w:val="15"/>
          <w:szCs w:val="15"/>
          <w:color w:val="auto"/>
        </w:rPr>
        <w:t>1500 Market Street</w:t>
      </w:r>
    </w:p>
    <w:p>
      <w:pPr>
        <w:ind w:left="440"/>
        <w:spacing w:after="0" w:line="238" w:lineRule="auto"/>
        <w:rPr>
          <w:sz w:val="20"/>
          <w:szCs w:val="20"/>
          <w:color w:val="auto"/>
        </w:rPr>
      </w:pPr>
      <w:r>
        <w:rPr>
          <w:rFonts w:ascii="Courier New" w:cs="Courier New" w:eastAsia="Courier New" w:hAnsi="Courier New"/>
          <w:sz w:val="15"/>
          <w:szCs w:val="15"/>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 RETIREMENT-</w:t>
      </w:r>
    </w:p>
    <w:p>
      <w:pPr>
        <w:ind w:left="2640"/>
        <w:spacing w:after="0" w:line="237" w:lineRule="auto"/>
        <w:rPr>
          <w:sz w:val="20"/>
          <w:szCs w:val="20"/>
          <w:color w:val="auto"/>
        </w:rPr>
      </w:pPr>
      <w:r>
        <w:rPr>
          <w:rFonts w:ascii="Courier New" w:cs="Courier New" w:eastAsia="Courier New" w:hAnsi="Courier New"/>
          <w:sz w:val="15"/>
          <w:szCs w:val="15"/>
          <w:color w:val="auto"/>
        </w:rPr>
        <w:t>INVESTMENT PLAN</w:t>
      </w:r>
    </w:p>
    <w:p>
      <w:pPr>
        <w:spacing w:after="0" w:line="167"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Financial Statements as of December 31, 1997 and</w:t>
      </w:r>
    </w:p>
    <w:p>
      <w:pPr>
        <w:spacing w:after="0" w:line="5"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1996 and for each of the Three Years in the Period</w:t>
      </w:r>
    </w:p>
    <w:p>
      <w:pPr>
        <w:spacing w:after="0" w:line="10"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Ended December 31, 1997; Supplemental Schedules as</w:t>
      </w:r>
    </w:p>
    <w:p>
      <w:pPr>
        <w:spacing w:after="0" w:line="3"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of and for the Year Ended December 31, 1997; and</w:t>
      </w:r>
    </w:p>
    <w:p>
      <w:pPr>
        <w:ind w:left="2640"/>
        <w:spacing w:after="0" w:line="237" w:lineRule="auto"/>
        <w:rPr>
          <w:sz w:val="20"/>
          <w:szCs w:val="20"/>
          <w:color w:val="auto"/>
        </w:rPr>
      </w:pPr>
      <w:r>
        <w:rPr>
          <w:rFonts w:ascii="Courier New" w:cs="Courier New" w:eastAsia="Courier New" w:hAnsi="Courier New"/>
          <w:sz w:val="15"/>
          <w:szCs w:val="15"/>
          <w:color w:val="auto"/>
        </w:rPr>
        <w:t>Independent Auditors' Report</w:t>
      </w:r>
    </w:p>
    <w:p>
      <w:pPr>
        <w:sectPr>
          <w:pgSz w:w="11900" w:h="16838" w:orient="portrait"/>
          <w:cols w:equalWidth="0" w:num="1">
            <w:col w:w="10239"/>
          </w:cols>
          <w:pgMar w:left="220" w:top="393"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636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FINANCIAL</w:t>
            </w:r>
          </w:p>
        </w:tc>
        <w:tc>
          <w:tcPr>
            <w:tcW w:w="552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640" w:type="dxa"/>
            <w:vAlign w:val="bottom"/>
          </w:tcPr>
          <w:p>
            <w:pPr>
              <w:spacing w:after="0"/>
              <w:rPr>
                <w:sz w:val="24"/>
                <w:szCs w:val="24"/>
                <w:color w:val="auto"/>
              </w:rPr>
            </w:pPr>
          </w:p>
        </w:tc>
      </w:tr>
      <w:tr>
        <w:trPr>
          <w:trHeight w:val="336"/>
        </w:trPr>
        <w:tc>
          <w:tcPr>
            <w:tcW w:w="6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Statement of Net Assets Available for Benefits With Fund</w:t>
            </w:r>
          </w:p>
        </w:tc>
        <w:tc>
          <w:tcPr>
            <w:tcW w:w="6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5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Information as of December 31, 1997 and 1996</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6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Statement of Changes in Net Assets Available for Benefits With</w:t>
            </w:r>
          </w:p>
        </w:tc>
        <w:tc>
          <w:tcPr>
            <w:tcW w:w="6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5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Fund Information for the Years Ended December 31, 1997, 1996</w:t>
            </w:r>
          </w:p>
        </w:tc>
        <w:tc>
          <w:tcPr>
            <w:tcW w:w="6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5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1995</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336"/>
        </w:trPr>
        <w:tc>
          <w:tcPr>
            <w:tcW w:w="6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w:t>
            </w:r>
          </w:p>
        </w:tc>
      </w:tr>
      <w:tr>
        <w:trPr>
          <w:trHeight w:val="336"/>
        </w:trPr>
        <w:tc>
          <w:tcPr>
            <w:tcW w:w="636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SCHEDULES:</w:t>
            </w:r>
          </w:p>
        </w:tc>
        <w:tc>
          <w:tcPr>
            <w:tcW w:w="640" w:type="dxa"/>
            <w:vAlign w:val="bottom"/>
          </w:tcPr>
          <w:p>
            <w:pPr>
              <w:spacing w:after="0"/>
              <w:rPr>
                <w:sz w:val="24"/>
                <w:szCs w:val="24"/>
                <w:color w:val="auto"/>
              </w:rPr>
            </w:pPr>
          </w:p>
        </w:tc>
      </w:tr>
      <w:tr>
        <w:trPr>
          <w:trHeight w:val="336"/>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Line</w:t>
            </w:r>
          </w:p>
        </w:tc>
        <w:tc>
          <w:tcPr>
            <w:tcW w:w="5520" w:type="dxa"/>
            <w:vAlign w:val="bottom"/>
          </w:tcPr>
          <w:p>
            <w:pPr>
              <w:ind w:left="40"/>
              <w:spacing w:after="0"/>
              <w:rPr>
                <w:sz w:val="20"/>
                <w:szCs w:val="20"/>
                <w:color w:val="auto"/>
              </w:rPr>
            </w:pPr>
            <w:r>
              <w:rPr>
                <w:rFonts w:ascii="Courier New" w:cs="Courier New" w:eastAsia="Courier New" w:hAnsi="Courier New"/>
                <w:sz w:val="15"/>
                <w:szCs w:val="15"/>
                <w:color w:val="auto"/>
              </w:rPr>
              <w:t>27a - Schedule of Assets Held for Investment Purposes as of</w:t>
            </w:r>
          </w:p>
        </w:tc>
        <w:tc>
          <w:tcPr>
            <w:tcW w:w="6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5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December 31, 1997</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Line</w:t>
            </w:r>
          </w:p>
        </w:tc>
        <w:tc>
          <w:tcPr>
            <w:tcW w:w="5520" w:type="dxa"/>
            <w:vAlign w:val="bottom"/>
          </w:tcPr>
          <w:p>
            <w:pPr>
              <w:ind w:left="40"/>
              <w:spacing w:after="0"/>
              <w:rPr>
                <w:sz w:val="20"/>
                <w:szCs w:val="20"/>
                <w:color w:val="auto"/>
              </w:rPr>
            </w:pPr>
            <w:r>
              <w:rPr>
                <w:rFonts w:ascii="Courier New" w:cs="Courier New" w:eastAsia="Courier New" w:hAnsi="Courier New"/>
                <w:sz w:val="15"/>
                <w:szCs w:val="15"/>
                <w:color w:val="auto"/>
              </w:rPr>
              <w:t>27d - Schedule of Reportable Transactions for the Year Ended</w:t>
            </w:r>
          </w:p>
        </w:tc>
        <w:tc>
          <w:tcPr>
            <w:tcW w:w="64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5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December 31, 1997</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0239"/>
          </w:cols>
          <w:pgMar w:left="220" w:top="6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37" w:lineRule="auto"/>
        <w:rPr>
          <w:sz w:val="20"/>
          <w:szCs w:val="20"/>
          <w:color w:val="auto"/>
        </w:rPr>
      </w:pPr>
      <w:r>
        <w:rPr>
          <w:rFonts w:ascii="Courier New" w:cs="Courier New" w:eastAsia="Courier New" w:hAnsi="Courier New"/>
          <w:sz w:val="15"/>
          <w:szCs w:val="15"/>
          <w:color w:val="auto"/>
        </w:rPr>
        <w:t>Comcast Corporation Retirement-Investment Plan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statement of net assets available for benefits with fund information of the Comcast Corporation Retirement-Investment Plan (the "Plan") as of December 31, 1997 and 1996, and the related statement of changes in net assets available for benefits with fund information for each of the three years in the period ended December 31, 1997. These financial statements are the responsibility of the Plan's management. Our responsibility is to express an opinion on these financial statements based on our audits.</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available for benefits of the Comcast Corporation Retirement-Investment Plan as of December 31, 1997 and 1996, and the related changes in net assets available for benefits for each of the three years in the period ended December 31, 1997 in conformity with generally accepted accounting principles.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Our audits were conducted for the purpose of forming an opinion on the basic financial statements taken as a whole. The supplemental information by fund in the statement of net assets available for benefits with fund information and the statement of changes in net assets available for benefits with fund information is presented for the purpose of additional analysis of the basic financial statements rather than to present information regarding the net assets available for benefits and changes in net assets available for benefits of each fund. The supplemental schedules on pages 12 and 13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information by fund and supplemental schedules are the responsibility of the Plan's management. The supplemental information by fund and supplemental schedules have been subjected to the auditing procedures applied in the audits of the basic financial statements and, in our opinion, are fairly stated in all material respects when considered in relation to the basic financial statements taken as a whole.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June 19, 1998</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3"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STATEMENT OF NET ASSETS AVAILABLE FOR BENEFITS WITH FUND INFORMATION DECEMBER 31, 1997 AND 1996</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Mutual Funds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25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Dodge</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Fidelity</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5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and Cox</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Blue Chip</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PBHG</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Ivy</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Total</w:t>
            </w:r>
          </w:p>
        </w:tc>
      </w:tr>
      <w:tr>
        <w:trPr>
          <w:trHeight w:val="168"/>
        </w:trPr>
        <w:tc>
          <w:tcPr>
            <w:tcW w:w="2500" w:type="dxa"/>
            <w:vAlign w:val="bottom"/>
          </w:tcPr>
          <w:p>
            <w:pPr>
              <w:spacing w:after="0"/>
              <w:rPr>
                <w:sz w:val="14"/>
                <w:szCs w:val="14"/>
                <w:color w:val="auto"/>
              </w:rPr>
            </w:pP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Growth</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Growth</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International</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Mutual</w:t>
            </w:r>
          </w:p>
        </w:tc>
      </w:tr>
      <w:tr>
        <w:trPr>
          <w:trHeight w:val="168"/>
        </w:trPr>
        <w:tc>
          <w:tcPr>
            <w:tcW w:w="2500" w:type="dxa"/>
            <w:vAlign w:val="bottom"/>
          </w:tcPr>
          <w:p>
            <w:pPr>
              <w:spacing w:after="0"/>
              <w:rPr>
                <w:sz w:val="14"/>
                <w:szCs w:val="14"/>
                <w:color w:val="auto"/>
              </w:rPr>
            </w:pP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Fund</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Fund</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Fund</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Fund</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Funds</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at fair or</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contract value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$20,218,907</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$39,071,781</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$ 5,695,881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$ 5,688,630</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$70,675,199</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participants</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$20,218,907</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$39,071,781</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$ 5,695,881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$ 5,688,630</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$70,675,199</w:t>
            </w:r>
          </w:p>
        </w:tc>
      </w:tr>
      <w:tr>
        <w:trPr>
          <w:trHeight w:val="168"/>
        </w:trPr>
        <w:tc>
          <w:tcPr>
            <w:tcW w:w="25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at fair or</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contract value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$13,520,611</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$26,443,398</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$ 3,483,526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$ 2,303,811</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$45,751,346</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participants</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$13,520,611</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$26,443,398</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$ 3,483,526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$ 2,303,811</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$45,751,346</w:t>
            </w:r>
          </w:p>
        </w:tc>
      </w:tr>
      <w:tr>
        <w:trPr>
          <w:trHeight w:val="168"/>
        </w:trPr>
        <w:tc>
          <w:tcPr>
            <w:tcW w:w="25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239"/>
          </w:cols>
          <w:pgMar w:left="220" w:top="449"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ind w:left="580"/>
              <w:spacing w:after="0"/>
              <w:rPr>
                <w:sz w:val="20"/>
                <w:szCs w:val="20"/>
                <w:color w:val="auto"/>
              </w:rPr>
            </w:pPr>
            <w:r>
              <w:rPr>
                <w:rFonts w:ascii="Courier New" w:cs="Courier New" w:eastAsia="Courier New" w:hAnsi="Courier New"/>
                <w:sz w:val="15"/>
                <w:szCs w:val="15"/>
                <w:color w:val="auto"/>
              </w:rPr>
              <w:t>Stable</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Comcast</w:t>
            </w:r>
          </w:p>
        </w:tc>
        <w:tc>
          <w:tcPr>
            <w:tcW w:w="15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Value</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Investment</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Participant</w:t>
            </w:r>
          </w:p>
        </w:tc>
        <w:tc>
          <w:tcPr>
            <w:tcW w:w="122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 Fund</w:t>
            </w:r>
          </w:p>
        </w:tc>
        <w:tc>
          <w:tcPr>
            <w:tcW w:w="15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Fund</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Funds</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Loan Fund</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at fair or</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contract value</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$ 37,694,328</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$ 29,194,986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$137,564,513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$137,564,513</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1,450,289</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5,079,040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6,529,329</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6,529,329</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participants</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6,174,371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6,174,371</w:t>
            </w:r>
          </w:p>
        </w:tc>
      </w:tr>
      <w:tr>
        <w:trPr>
          <w:trHeight w:val="168"/>
        </w:trPr>
        <w:tc>
          <w:tcPr>
            <w:tcW w:w="2500" w:type="dxa"/>
            <w:vAlign w:val="bottom"/>
          </w:tcPr>
          <w:p>
            <w:pPr>
              <w:spacing w:after="0"/>
              <w:rPr>
                <w:sz w:val="14"/>
                <w:szCs w:val="14"/>
                <w:color w:val="auto"/>
              </w:rPr>
            </w:pP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$ 39,144,617</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$ 34,274,026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$144,093,842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6,174,371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$150,268,213</w:t>
            </w:r>
          </w:p>
        </w:tc>
      </w:tr>
      <w:tr>
        <w:trPr>
          <w:trHeight w:val="168"/>
        </w:trPr>
        <w:tc>
          <w:tcPr>
            <w:tcW w:w="2500" w:type="dxa"/>
            <w:vAlign w:val="bottom"/>
          </w:tcPr>
          <w:p>
            <w:pPr>
              <w:spacing w:after="0"/>
              <w:rPr>
                <w:sz w:val="14"/>
                <w:szCs w:val="14"/>
                <w:color w:val="auto"/>
              </w:rPr>
            </w:pP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at fair or</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contract value</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$ 19,858,161</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$ 22,336,491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$ 87,945,998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$ 87,945,998</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3,692,819</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8,868,582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12,561,401</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12,561,401</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participants</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4,658,990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4,658,990</w:t>
            </w:r>
          </w:p>
        </w:tc>
      </w:tr>
      <w:tr>
        <w:trPr>
          <w:trHeight w:val="168"/>
        </w:trPr>
        <w:tc>
          <w:tcPr>
            <w:tcW w:w="2500" w:type="dxa"/>
            <w:vAlign w:val="bottom"/>
          </w:tcPr>
          <w:p>
            <w:pPr>
              <w:spacing w:after="0"/>
              <w:rPr>
                <w:sz w:val="14"/>
                <w:szCs w:val="14"/>
                <w:color w:val="auto"/>
              </w:rPr>
            </w:pP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$ 23,550,980</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$ 31,205,073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$100,507,399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4,658,990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$105,166,389</w:t>
            </w:r>
          </w:p>
        </w:tc>
      </w:tr>
      <w:tr>
        <w:trPr>
          <w:trHeight w:val="168"/>
        </w:trPr>
        <w:tc>
          <w:tcPr>
            <w:tcW w:w="2500" w:type="dxa"/>
            <w:vAlign w:val="bottom"/>
          </w:tcPr>
          <w:p>
            <w:pPr>
              <w:spacing w:after="0"/>
              <w:rPr>
                <w:sz w:val="14"/>
                <w:szCs w:val="14"/>
                <w:color w:val="auto"/>
              </w:rPr>
            </w:pP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95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3" w:lineRule="exact"/>
        <w:rPr>
          <w:sz w:val="20"/>
          <w:szCs w:val="20"/>
          <w:color w:val="auto"/>
        </w:rPr>
      </w:pPr>
    </w:p>
    <w:p>
      <w:pPr>
        <w:ind w:right="4280"/>
        <w:spacing w:after="0" w:line="234"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Mutual Funds</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Dodge</w:t>
            </w: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Fidelity</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and Cox</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Blue Chip</w:t>
            </w:r>
          </w:p>
        </w:tc>
        <w:tc>
          <w:tcPr>
            <w:tcW w:w="440" w:type="dxa"/>
            <w:vAlign w:val="bottom"/>
          </w:tcPr>
          <w:p>
            <w:pPr>
              <w:spacing w:after="0"/>
              <w:rPr>
                <w:sz w:val="14"/>
                <w:szCs w:val="14"/>
                <w:color w:val="auto"/>
              </w:rPr>
            </w:pPr>
          </w:p>
        </w:tc>
        <w:tc>
          <w:tcPr>
            <w:tcW w:w="118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9"/>
              </w:rPr>
              <w:t>PBHG</w:t>
            </w:r>
          </w:p>
        </w:tc>
        <w:tc>
          <w:tcPr>
            <w:tcW w:w="420" w:type="dxa"/>
            <w:vAlign w:val="bottom"/>
          </w:tcPr>
          <w:p>
            <w:pPr>
              <w:spacing w:after="0"/>
              <w:rPr>
                <w:sz w:val="14"/>
                <w:szCs w:val="14"/>
                <w:color w:val="auto"/>
              </w:rPr>
            </w:pP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Ivy</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Balanced</w:t>
            </w:r>
          </w:p>
        </w:tc>
        <w:tc>
          <w:tcPr>
            <w:tcW w:w="15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Growth</w:t>
            </w:r>
          </w:p>
        </w:tc>
        <w:tc>
          <w:tcPr>
            <w:tcW w:w="440" w:type="dxa"/>
            <w:vAlign w:val="bottom"/>
          </w:tcPr>
          <w:p>
            <w:pPr>
              <w:spacing w:after="0"/>
              <w:rPr>
                <w:sz w:val="14"/>
                <w:szCs w:val="14"/>
                <w:color w:val="auto"/>
              </w:rPr>
            </w:pPr>
          </w:p>
        </w:tc>
        <w:tc>
          <w:tcPr>
            <w:tcW w:w="118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International</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Mutual</w:t>
            </w:r>
          </w:p>
        </w:tc>
      </w:tr>
      <w:tr>
        <w:trPr>
          <w:trHeight w:val="168"/>
        </w:trPr>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Fund</w:t>
            </w:r>
          </w:p>
        </w:tc>
        <w:tc>
          <w:tcPr>
            <w:tcW w:w="15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Fund</w:t>
            </w:r>
          </w:p>
        </w:tc>
        <w:tc>
          <w:tcPr>
            <w:tcW w:w="440" w:type="dxa"/>
            <w:vAlign w:val="bottom"/>
          </w:tcPr>
          <w:p>
            <w:pPr>
              <w:spacing w:after="0"/>
              <w:rPr>
                <w:sz w:val="14"/>
                <w:szCs w:val="14"/>
                <w:color w:val="auto"/>
              </w:rPr>
            </w:pPr>
          </w:p>
        </w:tc>
        <w:tc>
          <w:tcPr>
            <w:tcW w:w="118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9"/>
              </w:rPr>
              <w:t>Fund</w:t>
            </w:r>
          </w:p>
        </w:tc>
        <w:tc>
          <w:tcPr>
            <w:tcW w:w="420" w:type="dxa"/>
            <w:vAlign w:val="bottom"/>
          </w:tcPr>
          <w:p>
            <w:pPr>
              <w:spacing w:after="0"/>
              <w:rPr>
                <w:sz w:val="14"/>
                <w:szCs w:val="14"/>
                <w:color w:val="auto"/>
              </w:rPr>
            </w:pP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Fund</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Funds</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1,792,883</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5,929,901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(67,073)</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274,312</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7,930,023</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1,532,461</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1,884,234</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133,488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3,550,183</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3,325,344</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7,814,135</w:t>
            </w:r>
          </w:p>
        </w:tc>
        <w:tc>
          <w:tcPr>
            <w:tcW w:w="4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(67,073)</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407,800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11,480,206</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3,121,095</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5,240,073</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1,535,385</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2,047,378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11,943,931</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Employer</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898,586</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1,649,103</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390,842</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423,160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3,361,691</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4,019,681</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6,889,176</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1,926,227</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2,470,538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15,305,622</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7,345,025</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14,703,311</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1,859,154</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2,878,338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26,785,828</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997,293</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2,370,839</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352,551</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340,298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4,060,981</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997,293</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2,370,839</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352,551</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340,298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4,060,981</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6,347,732</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12,332,472</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1,506,603</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2,538,040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22,724,847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251,296</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508,748</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83,815</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98,235</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942,094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(538,711)</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(988,514)</w:t>
            </w:r>
          </w:p>
        </w:tc>
        <w:tc>
          <w:tcPr>
            <w:tcW w:w="4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(185,809)</w:t>
            </w:r>
          </w:p>
        </w:tc>
        <w:tc>
          <w:tcPr>
            <w:tcW w:w="42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(231,170)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(1,944,204)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637,979</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775,677</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807,746</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979,714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3,201,116</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6,698,296</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12,628,383</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2,212,355</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3,384,819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24,923,853</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13,520,611</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26,443,398</w:t>
            </w:r>
          </w:p>
        </w:tc>
        <w:tc>
          <w:tcPr>
            <w:tcW w:w="4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3,483,526</w:t>
            </w:r>
          </w:p>
        </w:tc>
        <w:tc>
          <w:tcPr>
            <w:tcW w:w="4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2,303,811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45,751,346</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20,218,907</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$ 39,071,781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5,695,881</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5,688,630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$ 70,675,199</w:t>
            </w:r>
          </w:p>
        </w:tc>
      </w:tr>
      <w:tr>
        <w:trPr>
          <w:trHeight w:val="168"/>
        </w:trPr>
        <w:tc>
          <w:tcPr>
            <w:tcW w:w="35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200"/>
          </w:cols>
          <w:pgMar w:left="220" w:top="449" w:right="47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Stable</w:t>
            </w: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Comcast</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Value</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Investment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Participant</w:t>
            </w:r>
          </w:p>
        </w:tc>
        <w:tc>
          <w:tcPr>
            <w:tcW w:w="13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Stock Fund</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Fund</w:t>
            </w: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Funds</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Loan Fund</w:t>
            </w:r>
          </w:p>
        </w:tc>
        <w:tc>
          <w:tcPr>
            <w:tcW w:w="13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16,106,341</w:t>
            </w:r>
          </w:p>
        </w:tc>
        <w:tc>
          <w:tcPr>
            <w:tcW w:w="16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24,036,364</w:t>
            </w:r>
          </w:p>
        </w:tc>
        <w:tc>
          <w:tcPr>
            <w:tcW w:w="16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24,036,364</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272,014</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2,071,125</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5,893,322</w:t>
            </w:r>
          </w:p>
        </w:tc>
        <w:tc>
          <w:tcPr>
            <w:tcW w:w="16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5,893,322</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16,378,355</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2,071,125</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29,929,686</w:t>
            </w:r>
          </w:p>
        </w:tc>
        <w:tc>
          <w:tcPr>
            <w:tcW w:w="16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29,929,686</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w:t>
            </w: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2,990,886</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3,450,752</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18,385,569</w:t>
            </w:r>
          </w:p>
        </w:tc>
        <w:tc>
          <w:tcPr>
            <w:tcW w:w="16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18,385,569</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Employer</w:t>
            </w: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1,352,577</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1,048,735</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5,763,003</w:t>
            </w:r>
          </w:p>
        </w:tc>
        <w:tc>
          <w:tcPr>
            <w:tcW w:w="16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5,763,003</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4,343,463</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4,499,487</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24,148,572</w:t>
            </w:r>
          </w:p>
        </w:tc>
        <w:tc>
          <w:tcPr>
            <w:tcW w:w="16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24,148,572</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20,721,818</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6,570,612</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54,078,258</w:t>
            </w:r>
          </w:p>
        </w:tc>
        <w:tc>
          <w:tcPr>
            <w:tcW w:w="16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54,078,258</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1,865,843</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2,705,193</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8,632,017</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344,417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8,976,434</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1,865,843</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2,705,193</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8,632,017</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344,417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8,976,434</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18,855,975</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3,865,419</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45,446,241</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(344,417)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45,101,824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398,924</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653,884</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1,994,902</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(1,994,902)</w:t>
            </w:r>
          </w:p>
        </w:tc>
        <w:tc>
          <w:tcPr>
            <w:tcW w:w="134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3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(910,792)</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(999,704)</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(3,854,700)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3,854,700</w:t>
            </w:r>
          </w:p>
        </w:tc>
        <w:tc>
          <w:tcPr>
            <w:tcW w:w="134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3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(2,750,470)</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(450,646)</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w:t>
            </w: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15,593,637</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3,068,953</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43,586,443</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1,515,381</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45,101,824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23,550,980</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31,205,073</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100,507,399</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4,658,990</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105,166,389</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39,144,617</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34,274,026</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$ 144,093,842</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6,174,371</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$ 150,268,213</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953"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3" w:lineRule="exact"/>
        <w:rPr>
          <w:sz w:val="20"/>
          <w:szCs w:val="20"/>
          <w:color w:val="auto"/>
        </w:rPr>
      </w:pPr>
    </w:p>
    <w:p>
      <w:pPr>
        <w:ind w:right="4460"/>
        <w:spacing w:after="0" w:line="234"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1996</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Mutual Funds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Dodge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4"/>
              </w:rPr>
              <w:t>Fidelity</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and Cox</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Blue Chip</w:t>
            </w:r>
          </w:p>
        </w:tc>
        <w:tc>
          <w:tcPr>
            <w:tcW w:w="220" w:type="dxa"/>
            <w:vAlign w:val="bottom"/>
          </w:tcPr>
          <w:p>
            <w:pPr>
              <w:spacing w:after="0"/>
              <w:rPr>
                <w:sz w:val="14"/>
                <w:szCs w:val="14"/>
                <w:color w:val="auto"/>
              </w:rPr>
            </w:pP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Crabbe</w:t>
            </w:r>
          </w:p>
        </w:tc>
        <w:tc>
          <w:tcPr>
            <w:tcW w:w="12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PBHG</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Ivy</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Balanced</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Growth</w:t>
            </w:r>
          </w:p>
        </w:tc>
        <w:tc>
          <w:tcPr>
            <w:tcW w:w="220" w:type="dxa"/>
            <w:vAlign w:val="bottom"/>
          </w:tcPr>
          <w:p>
            <w:pPr>
              <w:spacing w:after="0"/>
              <w:rPr>
                <w:sz w:val="14"/>
                <w:szCs w:val="14"/>
                <w:color w:val="auto"/>
              </w:rPr>
            </w:pP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Huson</w:t>
            </w:r>
          </w:p>
        </w:tc>
        <w:tc>
          <w:tcPr>
            <w:tcW w:w="12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International</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Mutual</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Fund</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Fund</w:t>
            </w:r>
          </w:p>
        </w:tc>
        <w:tc>
          <w:tcPr>
            <w:tcW w:w="220" w:type="dxa"/>
            <w:vAlign w:val="bottom"/>
          </w:tcPr>
          <w:p>
            <w:pPr>
              <w:spacing w:after="0"/>
              <w:rPr>
                <w:sz w:val="14"/>
                <w:szCs w:val="14"/>
                <w:color w:val="auto"/>
              </w:rPr>
            </w:pP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Fund</w:t>
            </w:r>
          </w:p>
        </w:tc>
        <w:tc>
          <w:tcPr>
            <w:tcW w:w="12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Fund</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Fund</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Funds</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1,123,805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$ 1,608,398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63,591</w:t>
            </w:r>
          </w:p>
        </w:tc>
        <w:tc>
          <w:tcPr>
            <w:tcW w:w="124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162,970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2,958,764</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570,737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1,799,338</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108,042</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2,478,117</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1,694,542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3,407,736</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171,633</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162,970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5,436,881</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1,776,306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3,555,790</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470,359</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490,235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6,292,690</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Employer</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678,511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1,351,871</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144,218</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146,388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2,320,988</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2,454,817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4,907,661</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614,577</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636,623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8,613,678</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4,149,359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8,315,397</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786,210</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799,593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14,050,559</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1,129,067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1,977,471</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409,861</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49,756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3,566,155</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1,129,067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1,977,471</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409,861</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49,756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3,566,155</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3,020,292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6,337,926</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376,349</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749,837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10,484,404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195,087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402,499</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43,019</w:t>
            </w:r>
          </w:p>
        </w:tc>
        <w:tc>
          <w:tcPr>
            <w:tcW w:w="124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48,267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688,872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(456,997)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(973,427)</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(256,393)</w:t>
            </w:r>
          </w:p>
        </w:tc>
        <w:tc>
          <w:tcPr>
            <w:tcW w:w="124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(54,233)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(1,741,050)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(10,487)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755,638</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(3,253,617)</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3,483,526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1,559,940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2,535,000</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2,747,895</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6,522,636</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(3,090,642)</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3,483,526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2,303,811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11,967,226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10,772,716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19,920,762</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3,090,642</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33,784,120</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13,520,611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$26,443,398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$ 3,483,526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$ 2,303,811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$ 45,751,346</w:t>
            </w:r>
          </w:p>
        </w:tc>
      </w:tr>
      <w:tr>
        <w:trPr>
          <w:trHeight w:val="168"/>
        </w:trPr>
        <w:tc>
          <w:tcPr>
            <w:tcW w:w="34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380"/>
          </w:cols>
          <w:pgMar w:left="220" w:top="449" w:right="2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Stable</w:t>
            </w:r>
          </w:p>
        </w:tc>
        <w:tc>
          <w:tcPr>
            <w:tcW w:w="14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Total</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Comcast</w:t>
            </w:r>
          </w:p>
        </w:tc>
        <w:tc>
          <w:tcPr>
            <w:tcW w:w="1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Value</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Investment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Participant</w:t>
            </w:r>
          </w:p>
        </w:tc>
        <w:tc>
          <w:tcPr>
            <w:tcW w:w="126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Stock Fund</w:t>
            </w:r>
          </w:p>
        </w:tc>
        <w:tc>
          <w:tcPr>
            <w:tcW w:w="1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Fund</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Funds</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Loan Fund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324,354)</w:t>
            </w:r>
          </w:p>
        </w:tc>
        <w:tc>
          <w:tcPr>
            <w:tcW w:w="14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2,634,410</w:t>
            </w:r>
          </w:p>
        </w:tc>
        <w:tc>
          <w:tcPr>
            <w:tcW w:w="1500" w:type="dxa"/>
            <w:vAlign w:val="bottom"/>
          </w:tcPr>
          <w:p>
            <w:pPr>
              <w:jc w:val="right"/>
              <w:ind w:right="12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2,634,410</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225,709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2,064,686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4,768,512</w:t>
            </w:r>
          </w:p>
        </w:tc>
        <w:tc>
          <w:tcPr>
            <w:tcW w:w="15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4,768,512</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(98,645)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2,064,686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7,402,922</w:t>
            </w:r>
          </w:p>
        </w:tc>
        <w:tc>
          <w:tcPr>
            <w:tcW w:w="15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7,402,922</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2,558,327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3,132,940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11,983,957</w:t>
            </w:r>
          </w:p>
        </w:tc>
        <w:tc>
          <w:tcPr>
            <w:tcW w:w="15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11,983,957</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Employer</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1,499,994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1,267,824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5,088,806</w:t>
            </w:r>
          </w:p>
        </w:tc>
        <w:tc>
          <w:tcPr>
            <w:tcW w:w="15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5,088,806</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4,058,321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4,400,764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17,072,763</w:t>
            </w:r>
          </w:p>
        </w:tc>
        <w:tc>
          <w:tcPr>
            <w:tcW w:w="15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17,072,763</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3,959,676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6,465,450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24,475,685</w:t>
            </w:r>
          </w:p>
        </w:tc>
        <w:tc>
          <w:tcPr>
            <w:tcW w:w="15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24,475,685</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1,890,472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4,208,171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9,664,798</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273,827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9,938,625</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1,890,472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4,208,171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9,664,798</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273,827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9,938,625</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2,069,204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2,257,279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14,810,887</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(273,827)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14,537,060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361,764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574,028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1,624,664</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(1,624,664)</w:t>
            </w:r>
          </w:p>
        </w:tc>
        <w:tc>
          <w:tcPr>
            <w:tcW w:w="126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(801,711)</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(1,598,338)</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(4,141,099)</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4,141,099</w:t>
            </w:r>
          </w:p>
        </w:tc>
        <w:tc>
          <w:tcPr>
            <w:tcW w:w="126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570,166</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(3,105,166)</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2,199,423</w:t>
            </w: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(1,872,197)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12,294,452</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2,242,608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14,537,060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21,351,557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33,077,270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88,212,947</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2,416,382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90,629,329</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23,550,980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31,205,073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$ 100,507,399</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4,658,990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$ 105,166,389</w:t>
            </w:r>
          </w:p>
        </w:tc>
      </w:tr>
      <w:tr>
        <w:trPr>
          <w:trHeight w:val="168"/>
        </w:trPr>
        <w:tc>
          <w:tcPr>
            <w:tcW w:w="346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80"/>
          </w:cols>
          <w:pgMar w:left="220" w:top="1122" w:right="99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3" w:lineRule="exact"/>
        <w:rPr>
          <w:sz w:val="20"/>
          <w:szCs w:val="20"/>
          <w:color w:val="auto"/>
        </w:rPr>
      </w:pPr>
    </w:p>
    <w:p>
      <w:pPr>
        <w:ind w:right="4620"/>
        <w:spacing w:after="0" w:line="234"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1995</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20" w:type="dxa"/>
            <w:vAlign w:val="bottom"/>
            <w:gridSpan w:val="2"/>
          </w:tcPr>
          <w:p>
            <w:pPr>
              <w:jc w:val="right"/>
              <w:ind w:right="747"/>
              <w:spacing w:after="0"/>
              <w:rPr>
                <w:sz w:val="20"/>
                <w:szCs w:val="20"/>
                <w:color w:val="auto"/>
              </w:rPr>
            </w:pPr>
            <w:r>
              <w:rPr>
                <w:rFonts w:ascii="Courier New" w:cs="Courier New" w:eastAsia="Courier New" w:hAnsi="Courier New"/>
                <w:sz w:val="15"/>
                <w:szCs w:val="15"/>
                <w:color w:val="auto"/>
              </w:rPr>
              <w:t>Mutual Funds</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4"/>
              </w:rPr>
              <w:t>John</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Hancock</w:t>
            </w:r>
          </w:p>
        </w:tc>
        <w:tc>
          <w:tcPr>
            <w:tcW w:w="13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John</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Dodge</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Fidelity</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Hancock</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and Cox</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Blue Chip</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Diversified</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Crabbe</w:t>
            </w: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Balanced</w:t>
            </w:r>
          </w:p>
        </w:tc>
        <w:tc>
          <w:tcPr>
            <w:tcW w:w="13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and Bond</w:t>
            </w:r>
          </w:p>
        </w:tc>
        <w:tc>
          <w:tcPr>
            <w:tcW w:w="13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Huson</w:t>
            </w: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Mutual</w:t>
            </w: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Fund</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Fund</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3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Fund</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Fund</w:t>
            </w: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Funds</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102,489</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286,269)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752,118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$ 2,326,510</w:t>
            </w:r>
          </w:p>
        </w:tc>
        <w:tc>
          <w:tcPr>
            <w:tcW w:w="12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$ 2,894,848</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234,723</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541,784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171,428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188,496</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1,136,431</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on employee loans and other</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(28,887)</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(108,826)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12,789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31,141</w:t>
            </w:r>
          </w:p>
        </w:tc>
        <w:tc>
          <w:tcPr>
            <w:tcW w:w="128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(93,783)</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308,325</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146,689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936,335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2,546,147</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3,937,496</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375,792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837,066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650,851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1,385,612</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3,249,321</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Employer</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47,067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104,081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272,555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544,929</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968,632</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422,859</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941,147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923,406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1,930,541</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4,217,953</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transfers: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From Maclean Hunter Plans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2,523,951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2,835,762</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3,090,642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8,450,355</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From Storer Plan</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1,484,842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4,527,668</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6,012,510</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4,008,793</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7,363,430</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3,090,642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14,462,865</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4,739,977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8,451,266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1,859,741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4,476,688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3,090,642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22,618,314</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FROM NET ASSETS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beneficiaries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w:t>
            </w:r>
          </w:p>
        </w:tc>
        <w:tc>
          <w:tcPr>
            <w:tcW w:w="13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320,502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789,656</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1,110,767</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w:t>
            </w:r>
          </w:p>
        </w:tc>
        <w:tc>
          <w:tcPr>
            <w:tcW w:w="13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320,502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789,656</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1,110,767</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increase prior to interfund transfers</w:t>
            </w:r>
          </w:p>
        </w:tc>
        <w:tc>
          <w:tcPr>
            <w:tcW w:w="2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4,739,368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8,451,266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1,539,239</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3,687,032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3,090,642</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21,507,547</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32,072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69,503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72,799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152,112</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326,486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(132,256)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(109,710)</w:t>
            </w:r>
          </w:p>
        </w:tc>
        <w:tc>
          <w:tcPr>
            <w:tcW w:w="128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(241,966)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6,001,276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11,399,993</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(5,552,325)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(11,234,245)</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614,699</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10,772,716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19,920,762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(4,072,543)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(7,504,811)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3,090,642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22,206,766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4,072,543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7,504,811</w:t>
            </w:r>
          </w:p>
        </w:tc>
        <w:tc>
          <w:tcPr>
            <w:tcW w:w="128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11,577,354</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10,772,716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$19,920,762</w:t>
            </w:r>
          </w:p>
        </w:tc>
        <w:tc>
          <w:tcPr>
            <w:tcW w:w="132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$ 3,090,642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$33,784,120</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449" w:right="1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Stable</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Total</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Comcast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Value</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Investment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Participant</w:t>
            </w:r>
          </w:p>
        </w:tc>
        <w:tc>
          <w:tcPr>
            <w:tcW w:w="12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Stock Fund</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Funds</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Loan Fund</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2,715,659</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154,015)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5,456,492</w:t>
            </w:r>
          </w:p>
        </w:tc>
        <w:tc>
          <w:tcPr>
            <w:tcW w:w="14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5,456,492</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109,885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1,274,512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2,520,828</w:t>
            </w:r>
          </w:p>
        </w:tc>
        <w:tc>
          <w:tcPr>
            <w:tcW w:w="14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2,520,828</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on employee loans and other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44,156</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(12,412)</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(62,039)</w:t>
            </w:r>
          </w:p>
        </w:tc>
        <w:tc>
          <w:tcPr>
            <w:tcW w:w="14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(62,039)</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2,869,700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1,108,085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7,915,281</w:t>
            </w:r>
          </w:p>
        </w:tc>
        <w:tc>
          <w:tcPr>
            <w:tcW w:w="14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7,915,281</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2,196,172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2,310,106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7,755,599</w:t>
            </w:r>
          </w:p>
        </w:tc>
        <w:tc>
          <w:tcPr>
            <w:tcW w:w="14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7,755,599</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773,874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662,818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2,405,324</w:t>
            </w:r>
          </w:p>
        </w:tc>
        <w:tc>
          <w:tcPr>
            <w:tcW w:w="14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2,405,324</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2,970,046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2,972,924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10,160,923</w:t>
            </w:r>
          </w:p>
        </w:tc>
        <w:tc>
          <w:tcPr>
            <w:tcW w:w="14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10,160,923</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transfers: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From Maclean Hunter Plans</w:t>
            </w:r>
          </w:p>
        </w:tc>
        <w:tc>
          <w:tcPr>
            <w:tcW w:w="14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8,996,921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17,447,276</w:t>
            </w:r>
          </w:p>
        </w:tc>
        <w:tc>
          <w:tcPr>
            <w:tcW w:w="14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17,447,276</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From Storer Plan</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1,510,789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4,580,252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12,103,551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478,414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12,581,965</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1,510,789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13,577,173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29,550,827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478,414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30,029,241</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7,350,535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17,658,182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47,627,031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478,414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48,105,445</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FROM NET ASSETS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beneficiaries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976,980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1,353,328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3,441,075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316,267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3,757,342</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976,980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1,353,328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3,441,075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316,267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3,757,342</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increase prior to interfund transfers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6,373,555</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16,304,854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44,185,956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162,147</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44,348,103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291,009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315,103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932,598</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(932,598)</w:t>
            </w:r>
          </w:p>
        </w:tc>
        <w:tc>
          <w:tcPr>
            <w:tcW w:w="12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(77,046)</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(749,994)</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(1,069,006)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1,069,006</w:t>
            </w:r>
          </w:p>
        </w:tc>
        <w:tc>
          <w:tcPr>
            <w:tcW w:w="12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(401,885)</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(212,814)</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6,185,633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15,657,149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44,049,548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298,555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44,348,103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15,165,924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17,420,121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44,163,399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2,117,827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46,281,226</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$ 21,351,557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$ 33,077,270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$ 88,212,947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2,416,382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$ 90,629,329</w:t>
            </w:r>
          </w:p>
        </w:tc>
      </w:tr>
      <w:tr>
        <w:trPr>
          <w:trHeight w:val="168"/>
        </w:trPr>
        <w:tc>
          <w:tcPr>
            <w:tcW w:w="38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680"/>
          </w:cols>
          <w:pgMar w:left="220" w:top="953" w:right="99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2"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statements of the Comcast Corporation Retirement-Investment Plan (the "Plan") are presented using the accrual basis of accounting. Investments in mutual funds and the Comcast Stock Fund are carried at fair value. Fair value is determined by the last sale or closing price as of the last trading day of the Plan year for investments in securities traded on a matured securities exchange or the Nasdaq National Market. Investment contracts which are included in the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All costs associated with administering the Plan are paid or absorbed by Comcast Corporation ("Comcast," the "Company" or the "Plan Administrator").</w:t>
      </w:r>
    </w:p>
    <w:p>
      <w:pPr>
        <w:spacing w:after="0" w:line="331"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that affect the amounts reported in the financial statements and accompanying notes. Actual results could differ from those estimates.</w:t>
      </w:r>
    </w:p>
    <w:p>
      <w:pPr>
        <w:spacing w:after="0" w:line="175"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prior years' financial statements to conform to those classifications used in 1997.</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description of the Plan provides only general information. Plan participants should refer to the Plan document and applicable amendments for a more complete description of the Plan's provisions.</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7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31, 1995 (the "Maclean Hunter Merger Date"), the 401(k) plans (collectively, the "Maclean Hunter Plans") of COM MH Cable TV, Inc., Comcast Cablevision of Detroit, Comcast Cablevision of New Jersey, Inc. and Comcast Cablevision of Broward, Inc., subsidiaries of the Company (collectively, "Maclean Hunter"), were merged with and into the Plan (the "Maclean Hunter Merger") and their net assets available for benefits of $17,447,276 were transferred into the Plan. All participants of the Maclean Hunter Plans became eligible for participation in the Plan as of the Maclean Hunter Merger Date.</w:t>
      </w:r>
    </w:p>
    <w:p>
      <w:pPr>
        <w:spacing w:after="0" w:line="178"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14, 1995 (the "Stock Swap Date"), the Plan exchanged all 750,930 shares of Comcast Class A Common Stock (the "Class A Stock") held by the Plan with the Company, on a one-for-one basis, for Comcast Class A Special Common Stock (the "Class A Special Stock"). The Class A Special Stock is generally nonvoting while the Class A Stock is voting. As of the Stock Swap Date, the share price of the Class A Stock and the Class A Special Stock was $18.13 and $18.88, respectively.</w:t>
      </w:r>
    </w:p>
    <w:p>
      <w:pPr>
        <w:spacing w:after="0" w:line="175"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1995 (the "Storer Merger Date"), the 401(k) plan (the "Storer Plan") of Storer Communications, Inc., an indirect wholly owned subsidiary of the Company ("Storer"), was merged with and into the Plan (the "Storer Merger") and its net assets available for benefits of $12,581,965 were transferred into the Plan. All participants of the Storer Plan became eligible for participation in the Plan as of the Storer Merger Date.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An employee is eligible for participation in the Plan upon completion of one year of service, as defined in the Plan. Each eligible employee may direct the Company to make contributions to the Plan of any whole percentage from 1% through 17% of their compensation, subject to certain limits imposed by the Code. The Company matches 100% of the participant's contribution up to 1% of the participant's compensation for such payroll period, and 50% of the participant's contribution in excess of 1% of the participant's compensation for such payroll period, up to a maximum total matching contribution of 3.5% of the participant's compensation. Each participant has at all times a 100% nonforfeitable interest in the</w:t>
      </w:r>
    </w:p>
    <w:p>
      <w:pPr>
        <w:spacing w:after="0" w:line="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participant's contributions and earnings attributable thereto. Contributions by the Company and earnings thereon vest according to the following schedule:</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Years of Service</w:t>
            </w:r>
          </w:p>
        </w:tc>
        <w:tc>
          <w:tcPr>
            <w:tcW w:w="132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Vested Percentage</w:t>
            </w:r>
          </w:p>
        </w:tc>
      </w:tr>
      <w:tr>
        <w:trPr>
          <w:trHeight w:val="336"/>
        </w:trPr>
        <w:tc>
          <w:tcPr>
            <w:tcW w:w="1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but less than 2 years</w:t>
            </w:r>
          </w:p>
        </w:tc>
        <w:tc>
          <w:tcPr>
            <w:tcW w:w="2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years but less than 3 years</w:t>
            </w:r>
          </w:p>
        </w:tc>
        <w:tc>
          <w:tcPr>
            <w:tcW w:w="2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years but less than 4</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2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years but less than 5</w:t>
            </w:r>
          </w:p>
        </w:tc>
        <w:tc>
          <w:tcPr>
            <w:tcW w:w="1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2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 or more</w:t>
            </w:r>
          </w:p>
        </w:tc>
        <w:tc>
          <w:tcPr>
            <w:tcW w:w="1320" w:type="dxa"/>
            <w:vAlign w:val="bottom"/>
          </w:tcPr>
          <w:p>
            <w:pPr>
              <w:spacing w:after="0"/>
              <w:rPr>
                <w:sz w:val="14"/>
                <w:szCs w:val="14"/>
                <w:color w:val="auto"/>
              </w:rPr>
            </w:pPr>
          </w:p>
        </w:tc>
        <w:tc>
          <w:tcPr>
            <w:tcW w:w="2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The Company contributes cash to purchase 10 shares of Class A Special Stock for the account of each newly eligible participant. These contributions are recorded at the market value of the shares at the date contributed.</w:t>
      </w:r>
    </w:p>
    <w:p>
      <w:pPr>
        <w:spacing w:after="0" w:line="161"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Accounts of the participants in the former Storer Plan and Maclean Hunter Plans were transferred as of the Storer Merger Date and the Maclean Hunter Merger Date, respectively, to the Plan whether or not vested as of such merger dates.</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Each participant has the right, in accordance with the provisions of the Plan, to direct the investment by State Street Bank (the "Trustee") of all amounts allocated to the separate accounts of the participant under the Plan among any one or more of the investment fund options (see Note 3). The Trustee pays benefits and expenses upon the written direction of the Plan Administrator.</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compensation for that Plan year bears to the compensation for all such participants for the Plan year.</w:t>
      </w:r>
    </w:p>
    <w:p>
      <w:pPr>
        <w:spacing w:after="0" w:line="16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Any participant who has a separation from service for any reason except death, disability or attainment of age 65 shall be entitled to receive his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or any combination of the foregoing.</w:t>
      </w:r>
    </w:p>
    <w:p>
      <w:pPr>
        <w:spacing w:after="0" w:line="179"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Although it has not expressed any intent to do so, the Company has the right under the Plan to discontinue its contributions at any time and to terminate the Plan subject to the provisions of ERISA. In the event of Plan termination, each participant's account balance will become fully vested.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enrollment in the Plan, a participant may direct employer and employee contributions in whole percentage increments among one or more of the funds listed below. A brief summary of the Funds, as described in each Fund's prospectus (where applicable), is as follows:</w:t>
      </w:r>
    </w:p>
    <w:p>
      <w:pPr>
        <w:spacing w:after="0" w:line="17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Dodge and Cox Balanced Fund - The assets of the Dodge and Cox Balanced Fund are invested in equity securities and fixed income obligations issued by corporations. The returns on these investments vary as the stock and bond markets fluctuate and there is no guarantee of principal or rate of return.</w:t>
      </w:r>
    </w:p>
    <w:p>
      <w:pPr>
        <w:spacing w:after="0" w:line="173" w:lineRule="exact"/>
        <w:rPr>
          <w:rFonts w:ascii="Courier New" w:cs="Courier New" w:eastAsia="Courier New" w:hAnsi="Courier New"/>
          <w:sz w:val="15"/>
          <w:szCs w:val="15"/>
          <w:color w:val="auto"/>
        </w:rPr>
      </w:pPr>
    </w:p>
    <w:p>
      <w:pPr>
        <w:jc w:val="both"/>
        <w:ind w:left="880" w:right="3239" w:hanging="433"/>
        <w:spacing w:after="0" w:line="256"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Blue Chip Growth Fund - The assets of the Fidelity Blue Chip Growth Fund are invested in equity securities of well-established companies. The returns on these investments vary as the stock markets fluctuate and there is no guarantee of principal or rate of return.</w:t>
      </w:r>
    </w:p>
    <w:p>
      <w:pPr>
        <w:spacing w:after="0" w:line="164"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PBHG Growth Fund - The assets of the PBHG Growth Fund are invested primarily in equity securities of mid-sized companies. The returns on these investments vary as the stock markets fluctuate and there is no guarantee of principal or rate of return. (The PBHG Growth Fund replaced the Crabbe Huson Fund effective December 31, 1996.)</w:t>
      </w:r>
    </w:p>
    <w:p>
      <w:pPr>
        <w:spacing w:after="0" w:line="173"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Ivy International Fund - The assets of the Ivy International Fund are invested in equity securities which are principally traded in European, Pacific Basin and Latin American markets. The returns on these investments vary as the stock markets fluctuate and there is no guarantee of principal or rate of return.</w:t>
      </w:r>
    </w:p>
    <w:p>
      <w:pPr>
        <w:spacing w:after="0" w:line="173" w:lineRule="exact"/>
        <w:rPr>
          <w:rFonts w:ascii="Courier New" w:cs="Courier New" w:eastAsia="Courier New" w:hAnsi="Courier New"/>
          <w:sz w:val="15"/>
          <w:szCs w:val="15"/>
          <w:color w:val="auto"/>
        </w:rPr>
      </w:pPr>
    </w:p>
    <w:p>
      <w:pPr>
        <w:jc w:val="both"/>
        <w:ind w:left="880" w:right="3239" w:hanging="433"/>
        <w:spacing w:after="0" w:line="255"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Stock Fund - Subsequent to the Stock Swap Date (see Note 2), the assets of the Comcast Stock Fund, including earnings thereon, are invested solely in the Company's Class A Special Stock. Prior to the Stock Swap Date, certain prior account balances were invested solely in the Company's Class A Stock. The Trustee purchases the stock at prevailing rates in the open market and, in the normal course of business, sells such stock to meet the distribution requirements of the Plan. The value of the Comcast Stock Fund fluctuates and there is no guarantee of principal or rate of return.</w:t>
      </w:r>
    </w:p>
    <w:p>
      <w:pPr>
        <w:spacing w:after="0" w:line="165" w:lineRule="exact"/>
        <w:rPr>
          <w:rFonts w:ascii="Courier New" w:cs="Courier New" w:eastAsia="Courier New" w:hAnsi="Courier New"/>
          <w:sz w:val="14"/>
          <w:szCs w:val="14"/>
          <w:color w:val="auto"/>
        </w:rPr>
      </w:pPr>
    </w:p>
    <w:p>
      <w:pPr>
        <w:jc w:val="both"/>
        <w:ind w:left="880" w:right="3239" w:hanging="433"/>
        <w:spacing w:after="0" w:line="237"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Stable Value Fund - The assets of the Stable Value Fund are invested in a diversified group of high- quality, fixed-income investments consisting of investment contracts which are obligations of creditworthy life insurance companies and commercial banks, high-quality debt securities which are held by the Plan within contracts that are intended to minimize market volatility, and short-term money market instruments. The Fund's investment return typically fluctuates within a narrow range as interest rates rise and fall. Although the Fund's objective is to preserve the principal investment, there is a potential for loss if the issuing institutions suffer insolvency. (The Stable Value Fund replaced the John Hancock Guaranteed Investment Fund effective October 1, 1995.)</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 If no investment direction is made by a participant, the participant's account is invested in the Stable Value Fund at the direction of the Plan Administrator.</w:t>
      </w:r>
    </w:p>
    <w:p>
      <w:pPr>
        <w:spacing w:after="0" w:line="169"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Plan's investments are held by a bank-administered trust fund and are presented in the following table. Investments that represent 5% or more of the Plan's net assets available for benefits as of December 31, 1997 and 1996 are separately identified (number of shares/units are rounded to the nearest whole share or unit).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7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 1997</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8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Number of</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Contract</w:t>
            </w:r>
          </w:p>
        </w:tc>
      </w:tr>
      <w:tr>
        <w:trPr>
          <w:trHeight w:val="168"/>
        </w:trPr>
        <w:tc>
          <w:tcPr>
            <w:tcW w:w="386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Shares/Units</w:t>
            </w:r>
          </w:p>
        </w:tc>
        <w:tc>
          <w:tcPr>
            <w:tcW w:w="1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258,527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$ 20,218,907</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866,413</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39,071,781</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PBHG Growth Fund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401,843</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5,695,881</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Ivy International Fund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140,506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5,688,630</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70,675,199</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1,194,276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37,694,328</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1,450,289</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39,144,617</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Contracts</w:t>
            </w: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29,194,986</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5,079,040</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3,031,265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34,274,026</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rates from 7.00% to 10.00%;</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maturities from 1998 to 2002)</w:t>
            </w: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6,174,371</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$150,268,213</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860" w:type="dxa"/>
            <w:vAlign w:val="bottom"/>
          </w:tcPr>
          <w:p>
            <w:pPr>
              <w:spacing w:after="0"/>
              <w:rPr>
                <w:sz w:val="24"/>
                <w:szCs w:val="24"/>
                <w:color w:val="auto"/>
              </w:rPr>
            </w:pPr>
          </w:p>
        </w:tc>
        <w:tc>
          <w:tcPr>
            <w:tcW w:w="2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 1996</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8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Number of</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or Contract</w:t>
            </w:r>
          </w:p>
        </w:tc>
      </w:tr>
      <w:tr>
        <w:trPr>
          <w:trHeight w:val="168"/>
        </w:trPr>
        <w:tc>
          <w:tcPr>
            <w:tcW w:w="386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Shares/Units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209,511</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$13,520,611</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744,854</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26,443,398</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PBHG Growth Fund</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238,254</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3,483,526</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Ivy International Fund</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64,229</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2,303,811</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45,751,346</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1,114,844</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19,858,161</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3,692,819</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23,550,980</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Contracts</w:t>
            </w: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22,336,491</w:t>
            </w: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8,868,582</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2,926,956</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31,205,073</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rates from 7.00% to 10.00%;</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maturities from 1997 to 2001)</w:t>
            </w: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4,658,990</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$105,166,389</w:t>
            </w:r>
          </w:p>
        </w:tc>
      </w:tr>
      <w:tr>
        <w:trPr>
          <w:trHeight w:val="168"/>
        </w:trPr>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ind w:left="2540"/>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contract and fair values of assets included in the Stable Value Fund were $34,274,026 and $34,327,825, respectively, as of December 31, 1997, and $31,205,073 and $31,180,198, respectively, as of December 31, 1996. The average yield of investment contracts held as of December 31, 1997 and 1996 was 6.18% and 5.90%, respectively. The average yield on investment contracts for the year ended December 31, 1997 and 1996 was 6.16% and 6.26%, respectively.</w:t>
      </w:r>
    </w:p>
    <w:p>
      <w:pPr>
        <w:spacing w:after="0" w:line="169"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LOANS AND HARDSHIP WITHDRAWALS</w:t>
      </w:r>
    </w:p>
    <w:p>
      <w:pPr>
        <w:spacing w:after="0" w:line="172"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may borrow from their Plan account subject to the approval of the Plan Administrator in accordance with applicable regulations issued by the Internal Revenue Service ("IRS") and the Department of Labor. In general, participants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is five years. Interest accrues at a rate charged by commercial lenders for comparable loans on the date the loan application is approved. Loan transactions are treated as a transfer from (to) the investment fund to (from) the participant loan fund.</w:t>
      </w:r>
    </w:p>
    <w:p>
      <w:pPr>
        <w:spacing w:after="0" w:line="16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may withdraw all or a portion of their benefits derived from salary reduction, rollovers or the vested portion of their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w:t>
      </w:r>
    </w:p>
    <w:p>
      <w:pPr>
        <w:spacing w:after="0" w:line="170"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net assets available for benefits per the Plan's financial statements to the Plan's Form 5500:</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344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920" w:type="dxa"/>
            <w:vAlign w:val="bottom"/>
          </w:tcPr>
          <w:p>
            <w:pPr>
              <w:spacing w:after="0"/>
              <w:rPr>
                <w:sz w:val="14"/>
                <w:szCs w:val="14"/>
                <w:color w:val="auto"/>
              </w:rPr>
            </w:pPr>
          </w:p>
        </w:tc>
        <w:tc>
          <w:tcPr>
            <w:tcW w:w="19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per the financial statements</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$150,268,213</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$105,166,389</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amounts allocated to withdrawing participants</w:t>
            </w:r>
          </w:p>
        </w:tc>
        <w:tc>
          <w:tcPr>
            <w:tcW w:w="192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(57,268)</w:t>
            </w:r>
          </w:p>
        </w:tc>
      </w:tr>
      <w:tr>
        <w:trPr>
          <w:trHeight w:val="168"/>
        </w:trPr>
        <w:tc>
          <w:tcPr>
            <w:tcW w:w="592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 per the Form 5500</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$150,268,213</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$105,109,121</w:t>
            </w:r>
          </w:p>
        </w:tc>
      </w:tr>
      <w:tr>
        <w:trPr>
          <w:trHeight w:val="168"/>
        </w:trPr>
        <w:tc>
          <w:tcPr>
            <w:tcW w:w="592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The  following is a  reconciliation  of benefits</w:t>
            </w:r>
          </w:p>
        </w:tc>
        <w:tc>
          <w:tcPr>
            <w:tcW w:w="30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9"/>
              </w:rPr>
              <w:t>paid to  participants  or</w:t>
            </w:r>
          </w:p>
        </w:tc>
        <w:tc>
          <w:tcPr>
            <w:tcW w:w="960" w:type="dxa"/>
            <w:vAlign w:val="bottom"/>
          </w:tcPr>
          <w:p>
            <w:pPr>
              <w:spacing w:after="0"/>
              <w:rPr>
                <w:sz w:val="14"/>
                <w:szCs w:val="14"/>
                <w:color w:val="auto"/>
              </w:rPr>
            </w:pPr>
          </w:p>
        </w:tc>
      </w:tr>
      <w:tr>
        <w:trPr>
          <w:trHeight w:val="168"/>
        </w:trPr>
        <w:tc>
          <w:tcPr>
            <w:tcW w:w="73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beneficiaries per the Plan's financial statements to the Plan's Form 5500:</w:t>
            </w:r>
          </w:p>
        </w:tc>
        <w:tc>
          <w:tcPr>
            <w:tcW w:w="960" w:type="dxa"/>
            <w:vAlign w:val="bottom"/>
          </w:tcPr>
          <w:p>
            <w:pPr>
              <w:spacing w:after="0"/>
              <w:rPr>
                <w:sz w:val="14"/>
                <w:szCs w:val="14"/>
                <w:color w:val="auto"/>
              </w:rPr>
            </w:pPr>
          </w:p>
        </w:tc>
      </w:tr>
      <w:tr>
        <w:trPr>
          <w:trHeight w:val="505"/>
        </w:trPr>
        <w:tc>
          <w:tcPr>
            <w:tcW w:w="4300" w:type="dxa"/>
            <w:vAlign w:val="bottom"/>
          </w:tcPr>
          <w:p>
            <w:pPr>
              <w:spacing w:after="0"/>
              <w:rPr>
                <w:sz w:val="24"/>
                <w:szCs w:val="2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96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Benefits paid to participants or beneficiaries</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the financial statements</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$ 8,976,434</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$ 9,938,625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$ 3,757,342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amounts allocated to withdrawing</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participants at end of year</w:t>
            </w:r>
          </w:p>
        </w:tc>
        <w:tc>
          <w:tcPr>
            <w:tcW w:w="144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57,268</w:t>
            </w:r>
          </w:p>
        </w:tc>
        <w:tc>
          <w:tcPr>
            <w:tcW w:w="96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amounts allocated to withdrawing</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participants at beginning of year</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(57,268)</w:t>
            </w: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 to participants or beneficiaries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the Form 5500</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$ 8,919,166</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$ 9,995,893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$ 3,757,342</w:t>
            </w:r>
          </w:p>
        </w:tc>
      </w:tr>
      <w:tr>
        <w:trPr>
          <w:trHeight w:val="168"/>
        </w:trPr>
        <w:tc>
          <w:tcPr>
            <w:tcW w:w="430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4300" w:type="dxa"/>
            <w:vAlign w:val="bottom"/>
          </w:tcPr>
          <w:p>
            <w:pPr>
              <w:ind w:left="2900"/>
              <w:spacing w:after="0"/>
              <w:rPr>
                <w:sz w:val="20"/>
                <w:szCs w:val="20"/>
                <w:color w:val="auto"/>
              </w:rPr>
            </w:pPr>
            <w:r>
              <w:rPr>
                <w:rFonts w:ascii="Courier New" w:cs="Courier New" w:eastAsia="Courier New" w:hAnsi="Courier New"/>
                <w:sz w:val="15"/>
                <w:szCs w:val="15"/>
                <w:color w:val="auto"/>
              </w:rPr>
              <w:t>-10-</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(Concluded)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TAX CONSIDERATIONS</w:t>
      </w:r>
    </w:p>
    <w:p>
      <w:pPr>
        <w:spacing w:after="0" w:line="172" w:lineRule="exact"/>
        <w:rPr>
          <w:rFonts w:ascii="Courier New" w:cs="Courier New" w:eastAsia="Courier New" w:hAnsi="Courier New"/>
          <w:sz w:val="15"/>
          <w:szCs w:val="15"/>
          <w:color w:val="auto"/>
        </w:rPr>
      </w:pPr>
    </w:p>
    <w:p>
      <w:pPr>
        <w:jc w:val="both"/>
        <w:ind w:left="880" w:right="3239" w:hanging="433"/>
        <w:spacing w:after="0" w:line="255" w:lineRule="auto"/>
        <w:tabs>
          <w:tab w:leader="none" w:pos="88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Status of the Plan - The Plan received a determination letter dated December 19, 1995 in which the IRS stated that the Plan, as amended and restated effective January 1, 1993, is qualified and that the trust established under the Plan is tax-exempt. The Plan has been amended since receiving the determination letter (see Note 2). The Company believes that the Plan continues to comply in form and operation with the applicable requirements of the Code. Therefore, the Company believes that the Plan was qualified and the related trust was tax-exempt as of December 31, 1997. Therefore, no provision for income taxes has been included in the Plan's financial statements.</w:t>
      </w:r>
    </w:p>
    <w:p>
      <w:pPr>
        <w:spacing w:after="0" w:line="165"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27a - SCHEDULE OF ASSETS HELD FOR INVESTMENT PURPOSES</w:t>
      </w:r>
    </w:p>
    <w:p>
      <w:pPr>
        <w:spacing w:after="0" w:line="237" w:lineRule="auto"/>
        <w:rPr>
          <w:sz w:val="20"/>
          <w:szCs w:val="20"/>
          <w:color w:val="auto"/>
        </w:rPr>
      </w:pPr>
      <w:r>
        <w:rPr>
          <w:rFonts w:ascii="Courier New" w:cs="Courier New" w:eastAsia="Courier New" w:hAnsi="Courier New"/>
          <w:sz w:val="15"/>
          <w:szCs w:val="15"/>
          <w:color w:val="auto"/>
        </w:rPr>
        <w:t>DECEMBER 31,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FEIN #23-1709202</w:t>
      </w:r>
    </w:p>
    <w:p>
      <w:pPr>
        <w:ind w:left="5600"/>
        <w:spacing w:after="0" w:line="237" w:lineRule="auto"/>
        <w:rPr>
          <w:sz w:val="20"/>
          <w:szCs w:val="20"/>
          <w:color w:val="auto"/>
        </w:rPr>
      </w:pPr>
      <w:r>
        <w:rPr>
          <w:rFonts w:ascii="Courier New" w:cs="Courier New" w:eastAsia="Courier New" w:hAnsi="Courier New"/>
          <w:sz w:val="15"/>
          <w:szCs w:val="15"/>
          <w:color w:val="auto"/>
        </w:rPr>
        <w:t>PLAN #001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38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6"/>
              </w:rPr>
              <w:t>Description of Investment,</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4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Identity of</w:t>
            </w:r>
          </w:p>
        </w:tc>
        <w:tc>
          <w:tcPr>
            <w:tcW w:w="33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Including Maturity Date,</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44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 Borrower, Lessor</w:t>
            </w:r>
          </w:p>
        </w:tc>
        <w:tc>
          <w:tcPr>
            <w:tcW w:w="33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Rate of Interest, Par or</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Contract</w:t>
            </w:r>
          </w:p>
        </w:tc>
      </w:tr>
      <w:tr>
        <w:trPr>
          <w:trHeight w:val="168"/>
        </w:trPr>
        <w:tc>
          <w:tcPr>
            <w:tcW w:w="44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or Similar Party</w:t>
            </w:r>
          </w:p>
        </w:tc>
        <w:tc>
          <w:tcPr>
            <w:tcW w:w="33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Maturity Value</w:t>
            </w:r>
          </w:p>
        </w:tc>
        <w:tc>
          <w:tcPr>
            <w:tcW w:w="70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Cost</w:t>
            </w:r>
          </w:p>
        </w:tc>
        <w:tc>
          <w:tcPr>
            <w:tcW w:w="480" w:type="dxa"/>
            <w:vAlign w:val="bottom"/>
          </w:tcPr>
          <w:p>
            <w:pPr>
              <w:spacing w:after="0"/>
              <w:rPr>
                <w:sz w:val="14"/>
                <w:szCs w:val="14"/>
                <w:color w:val="auto"/>
              </w:rPr>
            </w:pP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3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33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258,527 shares/units</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17,739,427</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20,218,907</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33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866,413 shares/units</w:t>
            </w: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32,872,974</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39,071,781</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PBHG Fund</w:t>
            </w:r>
          </w:p>
        </w:tc>
        <w:tc>
          <w:tcPr>
            <w:tcW w:w="33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401,843 shares/units</w:t>
            </w: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5,732,954</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5,695,881</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Ivy International Fund</w:t>
            </w:r>
          </w:p>
        </w:tc>
        <w:tc>
          <w:tcPr>
            <w:tcW w:w="33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140,506 shares/units</w:t>
            </w: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5,433,556</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5,688,630</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61,778,911</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70,675,199</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3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33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1,194,276 shares/units</w:t>
            </w: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22,719,463</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37,694,328</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w:t>
            </w:r>
          </w:p>
        </w:tc>
        <w:tc>
          <w:tcPr>
            <w:tcW w:w="3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1,450,289</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1,450,289</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24,169,752</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39,144,617</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3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Investment Contracts</w:t>
            </w:r>
          </w:p>
        </w:tc>
        <w:tc>
          <w:tcPr>
            <w:tcW w:w="3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29,194,986</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29,194,986</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Cash</w:t>
            </w:r>
          </w:p>
        </w:tc>
        <w:tc>
          <w:tcPr>
            <w:tcW w:w="3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5,079,040</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5,079,040</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33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3,031,265 shares/units</w:t>
            </w: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34,274,026</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34,274,026</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3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rates from 7.00% to 10.00%;</w:t>
            </w:r>
          </w:p>
        </w:tc>
        <w:tc>
          <w:tcPr>
            <w:tcW w:w="3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maturities from 1998 to 2002)</w:t>
            </w:r>
          </w:p>
        </w:tc>
        <w:tc>
          <w:tcPr>
            <w:tcW w:w="3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6,174,371</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6,174,371</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126,397,060</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150,268,213</w:t>
            </w:r>
          </w:p>
        </w:tc>
      </w:tr>
      <w:tr>
        <w:trPr>
          <w:trHeight w:val="168"/>
        </w:trPr>
        <w:tc>
          <w:tcPr>
            <w:tcW w:w="4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Comcast is a party-in-interest to the Plan.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00"/>
          </w:cols>
          <w:pgMar w:left="220" w:top="449" w:right="37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27d - SCHEDULE OF REPORTABLE TRANSACTIONS</w:t>
      </w:r>
    </w:p>
    <w:p>
      <w:pPr>
        <w:spacing w:after="0" w:line="237" w:lineRule="auto"/>
        <w:rPr>
          <w:sz w:val="20"/>
          <w:szCs w:val="20"/>
          <w:color w:val="auto"/>
        </w:rPr>
      </w:pPr>
      <w:r>
        <w:rPr>
          <w:rFonts w:ascii="Courier New" w:cs="Courier New" w:eastAsia="Courier New" w:hAnsi="Courier New"/>
          <w:sz w:val="15"/>
          <w:szCs w:val="15"/>
          <w:color w:val="auto"/>
        </w:rPr>
        <w:t>YEAR ENDED DECEMBER 31,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FEIN #23-1709202</w:t>
      </w:r>
    </w:p>
    <w:p>
      <w:pPr>
        <w:ind w:left="5600"/>
        <w:spacing w:after="0" w:line="237" w:lineRule="auto"/>
        <w:rPr>
          <w:sz w:val="20"/>
          <w:szCs w:val="20"/>
          <w:color w:val="auto"/>
        </w:rPr>
      </w:pPr>
      <w:r>
        <w:rPr>
          <w:rFonts w:ascii="Courier New" w:cs="Courier New" w:eastAsia="Courier New" w:hAnsi="Courier New"/>
          <w:sz w:val="15"/>
          <w:szCs w:val="15"/>
          <w:color w:val="auto"/>
        </w:rPr>
        <w:t>PLAN #001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Current</w:t>
            </w:r>
          </w:p>
        </w:tc>
        <w:tc>
          <w:tcPr>
            <w:tcW w:w="104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Expense</w:t>
            </w:r>
          </w:p>
        </w:tc>
        <w:tc>
          <w:tcPr>
            <w:tcW w:w="118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of</w:t>
            </w:r>
          </w:p>
        </w:tc>
        <w:tc>
          <w:tcPr>
            <w:tcW w:w="104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Incurred</w:t>
            </w:r>
          </w:p>
        </w:tc>
        <w:tc>
          <w:tcPr>
            <w:tcW w:w="118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on</w:t>
            </w:r>
          </w:p>
        </w:tc>
        <w:tc>
          <w:tcPr>
            <w:tcW w:w="104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Purchase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Selling</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w:t>
            </w:r>
          </w:p>
        </w:tc>
        <w:tc>
          <w:tcPr>
            <w:tcW w:w="13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with</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Cost of</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Transaction</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Gain</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Identity of Party Involved/</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Price</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Transaction</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Asset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Date</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or (Loss)</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of Asset</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Category (iii)--Series of Transactions</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 Excess of 5% of Plan Assets</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$ 7,643,332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$ 2,618,465</w:t>
            </w:r>
          </w:p>
        </w:tc>
        <w:tc>
          <w:tcPr>
            <w:tcW w:w="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$ 2,268,262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$ 2,618,465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$ 350,203</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12,803,290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5,911,496</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5,097,632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5,911,496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813,864</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PBHG Growth Fund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13,570,188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11,197,029</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11,226,525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11,197,029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(29,496)</w:t>
            </w: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Ivy International Fund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4,613,195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1,450,929</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1,321,721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1,450,929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129,208</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16,078,741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16,406,150</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16,343,086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16,406,150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63,064</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Investment Contracts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29,739,300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27,613,595</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27,613,595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27,613,595</w:t>
            </w: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were no category (i), (ii) or (iv) reportable transactions during 1997.</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40"/>
          </w:cols>
          <w:pgMar w:left="220" w:top="449" w:right="13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33-41440 and 33-63223 of Comcast Corporation on Form S-8 of our reports dated February 27, 1998 and June 19, 1998 appearing in the Annual Report on Form 10-K of Comcast Corporation for the year ended December 31, 1997 and in the Annual Report on Form 11-K of the Comcast Corporation Retirement-Investment Plan for the year ended December 31, 1997,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June 29, 1998</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290" w:right="1440" w:bottom="1440" w:gutter="0" w:footer="0" w:header="0"/>
        </w:sectPr>
      </w:pPr>
    </w:p>
    <w:bookmarkStart w:id="20" w:name="page21"/>
    <w:bookmarkEnd w:id="20"/>
    <w:p>
      <w:pPr>
        <w:ind w:left="316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9"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COMCAST CORPORATION</w:t>
      </w:r>
    </w:p>
    <w:p>
      <w:pPr>
        <w:ind w:left="3860"/>
        <w:spacing w:after="0" w:line="237" w:lineRule="auto"/>
        <w:rPr>
          <w:sz w:val="20"/>
          <w:szCs w:val="20"/>
          <w:color w:val="auto"/>
        </w:rPr>
      </w:pPr>
      <w:r>
        <w:rPr>
          <w:rFonts w:ascii="Courier New" w:cs="Courier New" w:eastAsia="Courier New" w:hAnsi="Courier New"/>
          <w:sz w:val="15"/>
          <w:szCs w:val="15"/>
          <w:color w:val="auto"/>
        </w:rPr>
        <w:t>RETIREMENT-INVESTMENT PLAN</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Comcast Corporation</w:t>
      </w:r>
    </w:p>
    <w:p>
      <w:pPr>
        <w:ind w:left="4200"/>
        <w:spacing w:after="0" w:line="237" w:lineRule="auto"/>
        <w:rPr>
          <w:sz w:val="20"/>
          <w:szCs w:val="20"/>
          <w:color w:val="auto"/>
        </w:rPr>
      </w:pPr>
      <w:r>
        <w:rPr>
          <w:rFonts w:ascii="Courier New" w:cs="Courier New" w:eastAsia="Courier New" w:hAnsi="Courier New"/>
          <w:sz w:val="15"/>
          <w:szCs w:val="15"/>
          <w:color w:val="auto"/>
        </w:rPr>
        <w:t>Plan Administrator</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29,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J. Euteneuer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Joseph J. Euteneuer</w:t>
      </w:r>
    </w:p>
    <w:p>
      <w:pPr>
        <w:ind w:left="340"/>
        <w:spacing w:after="0" w:line="237" w:lineRule="auto"/>
        <w:rPr>
          <w:sz w:val="20"/>
          <w:szCs w:val="20"/>
          <w:color w:val="auto"/>
        </w:rPr>
      </w:pPr>
      <w:r>
        <w:rPr>
          <w:rFonts w:ascii="Courier New" w:cs="Courier New" w:eastAsia="Courier New" w:hAnsi="Courier New"/>
          <w:sz w:val="15"/>
          <w:szCs w:val="15"/>
          <w:color w:val="auto"/>
        </w:rPr>
        <w:t>Vice President and</w:t>
      </w:r>
    </w:p>
    <w:p>
      <w:pPr>
        <w:ind w:left="340"/>
        <w:spacing w:after="0" w:line="238" w:lineRule="auto"/>
        <w:rPr>
          <w:sz w:val="20"/>
          <w:szCs w:val="20"/>
          <w:color w:val="auto"/>
        </w:rPr>
      </w:pPr>
      <w:r>
        <w:rPr>
          <w:rFonts w:ascii="Courier New" w:cs="Courier New" w:eastAsia="Courier New" w:hAnsi="Courier New"/>
          <w:sz w:val="15"/>
          <w:szCs w:val="15"/>
          <w:color w:val="auto"/>
        </w:rPr>
        <w:t>Corporate Controller</w:t>
      </w:r>
    </w:p>
    <w:p>
      <w:pPr>
        <w:spacing w:after="0" w:line="173" w:lineRule="exact"/>
        <w:rPr>
          <w:sz w:val="20"/>
          <w:szCs w:val="20"/>
          <w:color w:val="auto"/>
        </w:rPr>
      </w:pPr>
    </w:p>
    <w:p>
      <w:pPr>
        <w:sectPr>
          <w:pgSz w:w="11900" w:h="16838" w:orient="portrait"/>
          <w:cols w:equalWidth="0" w:num="2">
            <w:col w:w="3140" w:space="720"/>
            <w:col w:w="6379"/>
          </w:cols>
          <w:pgMar w:left="220" w:top="449"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-15-</w:t>
      </w:r>
    </w:p>
    <w:sectPr>
      <w:pgSz w:w="11900" w:h="16838" w:orient="portrait"/>
      <w:cols w:equalWidth="0" w:num="1">
        <w:col w:w="10239"/>
      </w:cols>
      <w:pgMar w:left="220" w:top="44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lvl w:ilvl="1">
      <w:lvlJc w:val="left"/>
      <w:lvlText w:val="%2."/>
      <w:numFmt w:val="lowerLetter"/>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2019-12-12T06:39:15Z</dcterms:created>
  <dcterms:modified xsi:type="dcterms:W3CDTF">2019-12-12T06:39:15Z</dcterms:modified>
</cp:coreProperties>
</file>