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25, 2019</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20"/>
          </w:cols>
          <w:pgMar w:left="240" w:top="908" w:right="63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08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460"/>
          </w:cols>
          <w:pgMar w:left="240" w:top="908" w:right="6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June 30, 2019, which was filed with the Securities and Exchange Commission on July 25, 2019.</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20"/>
      </w:cols>
      <w:pgMar w:left="240" w:top="908"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2019-12-20T16:42:43Z</dcterms:created>
  <dcterms:modified xsi:type="dcterms:W3CDTF">2019-12-20T16:42:43Z</dcterms:modified>
</cp:coreProperties>
</file>