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200300101</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7"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CUSIP No. 200300101 13G Page 2 of 7 Pages - ----------------------------------------------------------------</w:t>
      </w:r>
    </w:p>
    <w:p>
      <w:pPr>
        <w:ind w:left="1700" w:hanging="1692"/>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38" w:lineRule="auto"/>
        <w:rPr>
          <w:sz w:val="20"/>
          <w:szCs w:val="20"/>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Wellington Management Company, LLP</w:t>
      </w:r>
    </w:p>
    <w:p>
      <w:pPr>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spacing w:after="0" w:line="202"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760" w:hanging="852"/>
        <w:spacing w:after="0" w:line="238" w:lineRule="auto"/>
        <w:tabs>
          <w:tab w:leader="none" w:pos="67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8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w:t>
            </w:r>
          </w:p>
        </w:tc>
        <w:tc>
          <w:tcPr>
            <w:tcW w:w="2260" w:type="dxa"/>
            <w:vAlign w:val="bottom"/>
            <w:gridSpan w:val="2"/>
          </w:tcPr>
          <w:p>
            <w:pPr>
              <w:ind w:left="840"/>
              <w:spacing w:after="0"/>
              <w:rPr>
                <w:sz w:val="20"/>
                <w:szCs w:val="20"/>
                <w:color w:val="auto"/>
              </w:rPr>
            </w:pPr>
            <w:r>
              <w:rPr>
                <w:rFonts w:ascii="Courier New" w:cs="Courier New" w:eastAsia="Courier New" w:hAnsi="Courier New"/>
                <w:sz w:val="11"/>
                <w:szCs w:val="11"/>
                <w:color w:val="auto"/>
                <w:w w:val="73"/>
              </w:rPr>
              <w:t>-----------------------------</w:t>
            </w:r>
          </w:p>
        </w:tc>
        <w:tc>
          <w:tcPr>
            <w:tcW w:w="25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 by</w:t>
            </w:r>
          </w:p>
        </w:tc>
        <w:tc>
          <w:tcPr>
            <w:tcW w:w="168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600</w:t>
            </w:r>
          </w:p>
        </w:tc>
        <w:tc>
          <w:tcPr>
            <w:tcW w:w="25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2260" w:type="dxa"/>
            <w:vAlign w:val="bottom"/>
            <w:gridSpan w:val="2"/>
          </w:tcPr>
          <w:p>
            <w:pPr>
              <w:ind w:left="840"/>
              <w:spacing w:after="0"/>
              <w:rPr>
                <w:sz w:val="20"/>
                <w:szCs w:val="20"/>
                <w:color w:val="auto"/>
              </w:rPr>
            </w:pPr>
            <w:r>
              <w:rPr>
                <w:rFonts w:ascii="Courier New" w:cs="Courier New" w:eastAsia="Courier New" w:hAnsi="Courier New"/>
                <w:sz w:val="11"/>
                <w:szCs w:val="11"/>
                <w:color w:val="auto"/>
                <w:w w:val="73"/>
              </w:rPr>
              <w:t>-----------------------------</w:t>
            </w:r>
          </w:p>
        </w:tc>
        <w:tc>
          <w:tcPr>
            <w:tcW w:w="25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reporting</w:t>
            </w:r>
          </w:p>
        </w:tc>
        <w:tc>
          <w:tcPr>
            <w:tcW w:w="168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168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2,886,700</w:t>
            </w:r>
          </w:p>
        </w:tc>
      </w:tr>
      <w:tr>
        <w:trPr>
          <w:trHeight w:val="203"/>
        </w:trPr>
        <w:tc>
          <w:tcPr>
            <w:tcW w:w="9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852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bl>
    <w:p>
      <w:pPr>
        <w:sectPr>
          <w:pgSz w:w="11900" w:h="16855"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2,886,700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jc w:val="both"/>
        <w:ind w:left="10960"/>
        <w:spacing w:after="0" w:line="237" w:lineRule="auto"/>
        <w:tabs>
          <w:tab w:leader="none" w:pos="1136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IA, HC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CUSIP No. 200300101</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20"/>
              <w:spacing w:after="0"/>
              <w:rPr>
                <w:sz w:val="20"/>
                <w:szCs w:val="20"/>
                <w:color w:val="auto"/>
              </w:rPr>
            </w:pPr>
            <w:r>
              <w:rPr>
                <w:rFonts w:ascii="Courier New" w:cs="Courier New" w:eastAsia="Courier New" w:hAnsi="Courier New"/>
                <w:sz w:val="18"/>
                <w:szCs w:val="18"/>
                <w:color w:val="auto"/>
                <w:w w:val="95"/>
              </w:rPr>
              <w:t>Page 3 of 7 Pages</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Name of Issuer:</w:t>
            </w:r>
          </w:p>
        </w:tc>
        <w:tc>
          <w:tcPr>
            <w:tcW w:w="1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tabs>
          <w:tab w:leader="none" w:pos="17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338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 State Street</w:t>
      </w:r>
    </w:p>
    <w:p>
      <w:pPr>
        <w:spacing w:after="0"/>
        <w:tabs>
          <w:tab w:leader="none" w:pos="2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200300101</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jc w:val="center"/>
        <w:ind w:left="3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(a)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(b)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Bank as defined in</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Section 3(a)(6)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(c)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Insurance Company as defined in Section 3(a)(19) of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Act,</w:t>
            </w:r>
          </w:p>
        </w:tc>
        <w:tc>
          <w:tcPr>
            <w:tcW w:w="3960" w:type="dxa"/>
            <w:vAlign w:val="bottom"/>
          </w:tcPr>
          <w:p>
            <w:pPr>
              <w:spacing w:after="0"/>
              <w:rPr>
                <w:sz w:val="17"/>
                <w:szCs w:val="17"/>
                <w:color w:val="auto"/>
              </w:rPr>
            </w:pP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(d)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r>
    </w:tbl>
    <w:p>
      <w:pPr>
        <w:spacing w:after="0" w:line="207" w:lineRule="exact"/>
        <w:rPr>
          <w:sz w:val="20"/>
          <w:szCs w:val="20"/>
          <w:color w:val="auto"/>
        </w:rPr>
      </w:pPr>
    </w:p>
    <w:p>
      <w:pPr>
        <w:ind w:left="3380" w:right="2440" w:hanging="1686"/>
        <w:spacing w:after="0" w:line="235" w:lineRule="auto"/>
        <w:tabs>
          <w:tab w:leader="none" w:pos="21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]Investment Adviser registered under Section 203 of the Investment Advisers Act of 1940,</w:t>
      </w:r>
    </w:p>
    <w:p>
      <w:pPr>
        <w:sectPr>
          <w:pgSz w:w="11900" w:h="16838" w:orient="portrait"/>
          <w:cols w:equalWidth="0" w:num="1">
            <w:col w:w="11500"/>
          </w:cols>
          <w:pgMar w:left="240" w:top="339" w:right="159"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200300101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ectPr>
          <w:pgSz w:w="11900" w:h="16838" w:orient="portrait"/>
          <w:cols w:equalWidth="0" w:num="3">
            <w:col w:w="2760" w:space="720"/>
            <w:col w:w="1820" w:space="720"/>
            <w:col w:w="5480"/>
          </w:cols>
          <w:pgMar w:left="240" w:top="339" w:right="159"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20"/>
        <w:spacing w:after="0" w:line="279" w:lineRule="auto"/>
        <w:rPr>
          <w:sz w:val="20"/>
          <w:szCs w:val="20"/>
          <w:color w:val="auto"/>
        </w:rPr>
      </w:pP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13d-1(b)(1)(ii)(F),</w:t>
      </w:r>
    </w:p>
    <w:p>
      <w:pPr>
        <w:spacing w:after="0" w:line="178" w:lineRule="exact"/>
        <w:rPr>
          <w:sz w:val="20"/>
          <w:szCs w:val="20"/>
          <w:color w:val="auto"/>
        </w:rPr>
      </w:pPr>
    </w:p>
    <w:p>
      <w:pPr>
        <w:sectPr>
          <w:pgSz w:w="11900" w:h="16838" w:orient="portrait"/>
          <w:cols w:equalWidth="0" w:num="3">
            <w:col w:w="2220" w:space="320"/>
            <w:col w:w="120" w:space="720"/>
            <w:col w:w="8120"/>
          </w:cols>
          <w:pgMar w:left="240" w:top="339" w:right="15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(g) [ X ]</w:t>
      </w:r>
    </w:p>
    <w:p>
      <w:pPr>
        <w:spacing w:after="0" w:line="20" w:lineRule="exact"/>
        <w:rPr>
          <w:sz w:val="20"/>
          <w:szCs w:val="20"/>
          <w:color w:val="auto"/>
        </w:rPr>
      </w:pPr>
      <w:r>
        <w:rPr>
          <w:sz w:val="20"/>
          <w:szCs w:val="20"/>
          <w:color w:val="auto"/>
        </w:rPr>
        <w:br w:type="column"/>
      </w:r>
    </w:p>
    <w:p>
      <w:pPr>
        <w:ind w:right="2640"/>
        <w:spacing w:after="0" w:line="235" w:lineRule="auto"/>
        <w:rPr>
          <w:sz w:val="20"/>
          <w:szCs w:val="20"/>
          <w:color w:val="auto"/>
        </w:rPr>
      </w:pPr>
      <w:r>
        <w:rPr>
          <w:rFonts w:ascii="Courier New" w:cs="Courier New" w:eastAsia="Courier New" w:hAnsi="Courier New"/>
          <w:sz w:val="18"/>
          <w:szCs w:val="18"/>
          <w:color w:val="auto"/>
        </w:rPr>
        <w:t>Parent Holding Company, in accordance with Rule 13d-1(b)(1)(ii)(G); see Item 7,</w:t>
      </w:r>
    </w:p>
    <w:p>
      <w:pPr>
        <w:spacing w:after="0" w:line="200" w:lineRule="exact"/>
        <w:rPr>
          <w:sz w:val="20"/>
          <w:szCs w:val="20"/>
          <w:color w:val="auto"/>
        </w:rPr>
      </w:pPr>
    </w:p>
    <w:p>
      <w:pPr>
        <w:sectPr>
          <w:pgSz w:w="11900" w:h="16838" w:orient="portrait"/>
          <w:cols w:equalWidth="0" w:num="2">
            <w:col w:w="2660" w:space="720"/>
            <w:col w:w="8120"/>
          </w:cols>
          <w:pgMar w:left="240" w:top="339" w:right="159" w:bottom="0" w:gutter="0" w:footer="0" w:header="0"/>
          <w:type w:val="continuous"/>
        </w:sectPr>
      </w:pP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Rule 13d-1(b)(1)(ii)(H).</w:t>
      </w:r>
    </w:p>
    <w:p>
      <w:pPr>
        <w:spacing w:after="0" w:line="200" w:lineRule="exact"/>
        <w:rPr>
          <w:sz w:val="20"/>
          <w:szCs w:val="20"/>
          <w:color w:val="auto"/>
        </w:rPr>
      </w:pPr>
    </w:p>
    <w:p>
      <w:pPr>
        <w:sectPr>
          <w:pgSz w:w="11900" w:h="16838" w:orient="portrait"/>
          <w:cols w:equalWidth="0" w:num="3">
            <w:col w:w="2220" w:space="320"/>
            <w:col w:w="120" w:space="720"/>
            <w:col w:w="8120"/>
          </w:cols>
          <w:pgMar w:left="240" w:top="339" w:right="15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1500"/>
          </w:cols>
          <w:pgMar w:left="240" w:top="339" w:right="159" w:bottom="0" w:gutter="0" w:footer="0" w:header="0"/>
          <w:type w:val="continuous"/>
        </w:sectPr>
      </w:pPr>
    </w:p>
    <w:p>
      <w:pPr>
        <w:spacing w:after="0" w:line="224" w:lineRule="exact"/>
        <w:rPr>
          <w:sz w:val="20"/>
          <w:szCs w:val="20"/>
          <w:color w:val="auto"/>
        </w:rPr>
      </w:pPr>
    </w:p>
    <w:p>
      <w:pPr>
        <w:ind w:right="4540" w:firstLine="851"/>
        <w:spacing w:after="0" w:line="235" w:lineRule="auto"/>
        <w:tabs>
          <w:tab w:leader="none" w:pos="168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w:t>
      </w:r>
    </w:p>
    <w:p>
      <w:pPr>
        <w:spacing w:after="0" w:line="5" w:lineRule="exact"/>
        <w:rPr>
          <w:rFonts w:ascii="Courier New" w:cs="Courier New" w:eastAsia="Courier New" w:hAnsi="Courier New"/>
          <w:sz w:val="18"/>
          <w:szCs w:val="18"/>
          <w:color w:val="auto"/>
        </w:rPr>
      </w:pPr>
    </w:p>
    <w:p>
      <w:pPr>
        <w:ind w:right="538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2,886,700 shares of the Issuer which are held of record by clients of WMC.</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9.08%</w:t>
      </w:r>
    </w:p>
    <w:p>
      <w:pPr>
        <w:sectPr>
          <w:pgSz w:w="11900" w:h="16838" w:orient="portrait"/>
          <w:cols w:equalWidth="0" w:num="1">
            <w:col w:w="11500"/>
          </w:cols>
          <w:pgMar w:left="240" w:top="339" w:right="159" w:bottom="0" w:gutter="0" w:footer="0" w:header="0"/>
          <w:type w:val="continuous"/>
        </w:sectPr>
      </w:pPr>
    </w:p>
    <w:bookmarkStart w:id="2" w:name="page3"/>
    <w:bookmarkEnd w:id="2"/>
    <w:p>
      <w:pPr>
        <w:ind w:left="1700" w:hanging="84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8"/>
        <w:spacing w:after="0"/>
        <w:tabs>
          <w:tab w:leader="none" w:pos="14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0" w:type="dxa"/>
        <w:tblCellMar>
          <w:top w:w="0" w:type="dxa"/>
          <w:left w:w="0" w:type="dxa"/>
          <w:bottom w:w="0" w:type="dxa"/>
          <w:right w:w="0" w:type="dxa"/>
        </w:tblCellMar>
      </w:tblPr>
      <w:tr>
        <w:trPr>
          <w:trHeight w:val="203"/>
        </w:trPr>
        <w:tc>
          <w:tcPr>
            <w:tcW w:w="30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the vote</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0</w:t>
            </w:r>
          </w:p>
        </w:tc>
        <w:tc>
          <w:tcPr>
            <w:tcW w:w="13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vote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vote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w:t>
            </w:r>
          </w:p>
        </w:tc>
        <w:tc>
          <w:tcPr>
            <w:tcW w:w="300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5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Sole power to dispose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3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dispose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3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2,886,700</w:t>
            </w:r>
          </w:p>
        </w:tc>
      </w:tr>
      <w:tr>
        <w:trPr>
          <w:trHeight w:val="405"/>
        </w:trPr>
        <w:tc>
          <w:tcPr>
            <w:tcW w:w="22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CUSIP No. 200300101</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2"/>
              </w:rPr>
              <w:t>13G</w:t>
            </w:r>
          </w:p>
        </w:tc>
        <w:tc>
          <w:tcPr>
            <w:tcW w:w="3000" w:type="dxa"/>
            <w:vAlign w:val="bottom"/>
          </w:tcPr>
          <w:p>
            <w:pPr>
              <w:ind w:left="1220"/>
              <w:spacing w:after="0"/>
              <w:rPr>
                <w:sz w:val="20"/>
                <w:szCs w:val="20"/>
                <w:color w:val="auto"/>
              </w:rPr>
            </w:pPr>
            <w:r>
              <w:rPr>
                <w:rFonts w:ascii="Courier New" w:cs="Courier New" w:eastAsia="Courier New" w:hAnsi="Courier New"/>
                <w:sz w:val="18"/>
                <w:szCs w:val="18"/>
                <w:color w:val="auto"/>
                <w:w w:val="95"/>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1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ind w:left="2540"/>
        <w:spacing w:after="0" w:line="238" w:lineRule="auto"/>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The securities as to which this Schedule is filed by WMC, in its capacity as investment adviser, are owned of record by clients of WMC.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Vanguard/Windsor Funds,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4" w:lineRule="exact"/>
        <w:rPr>
          <w:sz w:val="20"/>
          <w:szCs w:val="20"/>
          <w:color w:val="auto"/>
        </w:rPr>
      </w:pPr>
    </w:p>
    <w:p>
      <w:pPr>
        <w:ind w:left="2540" w:right="125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2939" w:firstLine="843"/>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13d-1(b)(1)(ii)(H) or Rule 13d-1(c).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200300101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1440" w:gutter="0" w:footer="0" w:header="0"/>
        </w:sect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w:t>
      </w:r>
    </w:p>
    <w:p>
      <w:pPr>
        <w:ind w:left="25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13, 1998</w:t>
      </w:r>
    </w:p>
    <w:p>
      <w:pPr>
        <w:spacing w:after="0" w:line="238" w:lineRule="auto"/>
        <w:rPr>
          <w:sz w:val="20"/>
          <w:szCs w:val="20"/>
          <w:color w:val="auto"/>
        </w:rPr>
      </w:pPr>
      <w:r>
        <w:rPr>
          <w:rFonts w:ascii="Courier New" w:cs="Courier New" w:eastAsia="Courier New" w:hAnsi="Courier New"/>
          <w:sz w:val="18"/>
          <w:szCs w:val="18"/>
          <w:color w:val="auto"/>
        </w:rPr>
        <w:t>--//Brian P. Hillery//--</w:t>
      </w:r>
    </w:p>
    <w:p>
      <w:pPr>
        <w:spacing w:after="0"/>
        <w:rPr>
          <w:sz w:val="20"/>
          <w:szCs w:val="20"/>
          <w:color w:val="auto"/>
        </w:rPr>
      </w:pPr>
      <w:r>
        <w:rPr>
          <w:rFonts w:ascii="Courier New" w:cs="Courier New" w:eastAsia="Courier New" w:hAnsi="Courier New"/>
          <w:sz w:val="18"/>
          <w:szCs w:val="18"/>
          <w:color w:val="auto"/>
        </w:rPr>
        <w:t>Brian P. Hillery</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Assistant Vice President</w:t>
      </w:r>
    </w:p>
    <w:p>
      <w:pPr>
        <w:sectPr>
          <w:pgSz w:w="11900" w:h="16838" w:orient="portrait"/>
          <w:cols w:equalWidth="0" w:num="2">
            <w:col w:w="3700" w:space="520"/>
            <w:col w:w="5999"/>
          </w:cols>
          <w:pgMar w:left="240" w:top="136" w:right="1440" w:bottom="1440" w:gutter="0" w:footer="0" w:header="0"/>
          <w:type w:val="continuous"/>
        </w:sectPr>
      </w:pPr>
    </w:p>
    <w:bookmarkStart w:id="3" w:name="page4"/>
    <w:bookmarkEnd w:id="3"/>
    <w:p>
      <w:pPr>
        <w:ind w:right="2519" w:firstLine="8"/>
        <w:spacing w:after="0" w:line="235"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200300101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9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lvl w:ilvl="1">
      <w:lvlJc w:val="left"/>
      <w:lvlText w:val="%2."/>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2019-12-12T06:17:27Z</dcterms:created>
  <dcterms:modified xsi:type="dcterms:W3CDTF">2019-12-12T06:17:27Z</dcterms:modified>
</cp:coreProperties>
</file>