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06" w:lineRule="exact"/>
        <w:rPr>
          <w:sz w:val="24"/>
          <w:szCs w:val="24"/>
          <w:color w:val="auto"/>
        </w:rPr>
      </w:pPr>
    </w:p>
    <w:tbl>
      <w:tblPr>
        <w:tblLayout w:type="fixed"/>
        <w:tblInd w:w="480" w:type="dxa"/>
        <w:tblCellMar>
          <w:top w:w="0" w:type="dxa"/>
          <w:left w:w="0" w:type="dxa"/>
          <w:bottom w:w="0" w:type="dxa"/>
          <w:right w:w="0" w:type="dxa"/>
        </w:tblCellMar>
      </w:tblPr>
      <w:tr>
        <w:trPr>
          <w:trHeight w:val="230"/>
        </w:trPr>
        <w:tc>
          <w:tcPr>
            <w:tcW w:w="7760" w:type="dxa"/>
            <w:vAlign w:val="bottom"/>
          </w:tcPr>
          <w:p>
            <w:pPr>
              <w:jc w:val="center"/>
              <w:ind w:left="2610"/>
              <w:spacing w:after="0"/>
              <w:rPr>
                <w:sz w:val="20"/>
                <w:szCs w:val="20"/>
                <w:color w:val="auto"/>
              </w:rPr>
            </w:pPr>
            <w:r>
              <w:rPr>
                <w:rFonts w:ascii="Arial" w:cs="Arial" w:eastAsia="Arial" w:hAnsi="Arial"/>
                <w:sz w:val="18"/>
                <w:szCs w:val="18"/>
                <w:color w:val="auto"/>
                <w:w w:val="91"/>
              </w:rPr>
              <w:t>Date of report (Date of earliest event reported):  February 22, 2017</w:t>
            </w:r>
          </w:p>
        </w:tc>
        <w:tc>
          <w:tcPr>
            <w:tcW w:w="2540" w:type="dxa"/>
            <w:vAlign w:val="bottom"/>
          </w:tcPr>
          <w:p>
            <w:pPr>
              <w:spacing w:after="0"/>
              <w:rPr>
                <w:sz w:val="20"/>
                <w:szCs w:val="20"/>
                <w:color w:val="auto"/>
              </w:rPr>
            </w:pPr>
          </w:p>
        </w:tc>
      </w:tr>
      <w:tr>
        <w:trPr>
          <w:trHeight w:val="418"/>
        </w:trPr>
        <w:tc>
          <w:tcPr>
            <w:tcW w:w="776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Comcast Corporation</w:t>
            </w:r>
          </w:p>
        </w:tc>
        <w:tc>
          <w:tcPr>
            <w:tcW w:w="2540" w:type="dxa"/>
            <w:vAlign w:val="bottom"/>
          </w:tcPr>
          <w:p>
            <w:pPr>
              <w:spacing w:after="0"/>
              <w:rPr>
                <w:sz w:val="24"/>
                <w:szCs w:val="24"/>
                <w:color w:val="auto"/>
              </w:rPr>
            </w:pPr>
          </w:p>
        </w:tc>
      </w:tr>
      <w:tr>
        <w:trPr>
          <w:trHeight w:val="216"/>
        </w:trPr>
        <w:tc>
          <w:tcPr>
            <w:tcW w:w="7760" w:type="dxa"/>
            <w:vAlign w:val="bottom"/>
          </w:tcPr>
          <w:p>
            <w:pPr>
              <w:jc w:val="center"/>
              <w:ind w:left="2750"/>
              <w:spacing w:after="0"/>
              <w:rPr>
                <w:sz w:val="20"/>
                <w:szCs w:val="20"/>
                <w:color w:val="auto"/>
              </w:rPr>
            </w:pPr>
            <w:r>
              <w:rPr>
                <w:rFonts w:ascii="Arial" w:cs="Arial" w:eastAsia="Arial" w:hAnsi="Arial"/>
                <w:sz w:val="18"/>
                <w:szCs w:val="18"/>
                <w:color w:val="auto"/>
                <w:w w:val="90"/>
              </w:rPr>
              <w:t>(Exact Name of Registrant</w:t>
            </w:r>
          </w:p>
        </w:tc>
        <w:tc>
          <w:tcPr>
            <w:tcW w:w="2540" w:type="dxa"/>
            <w:vAlign w:val="bottom"/>
          </w:tcPr>
          <w:p>
            <w:pPr>
              <w:spacing w:after="0"/>
              <w:rPr>
                <w:sz w:val="18"/>
                <w:szCs w:val="18"/>
                <w:color w:val="auto"/>
              </w:rPr>
            </w:pPr>
          </w:p>
        </w:tc>
      </w:tr>
      <w:tr>
        <w:trPr>
          <w:trHeight w:val="230"/>
        </w:trPr>
        <w:tc>
          <w:tcPr>
            <w:tcW w:w="7760" w:type="dxa"/>
            <w:vAlign w:val="bottom"/>
          </w:tcPr>
          <w:p>
            <w:pPr>
              <w:jc w:val="center"/>
              <w:ind w:left="2750"/>
              <w:spacing w:after="0"/>
              <w:rPr>
                <w:sz w:val="20"/>
                <w:szCs w:val="20"/>
                <w:color w:val="auto"/>
              </w:rPr>
            </w:pPr>
            <w:r>
              <w:rPr>
                <w:rFonts w:ascii="Arial" w:cs="Arial" w:eastAsia="Arial" w:hAnsi="Arial"/>
                <w:sz w:val="18"/>
                <w:szCs w:val="18"/>
                <w:color w:val="auto"/>
                <w:w w:val="90"/>
              </w:rPr>
              <w:t>as Specified in its Charter)</w:t>
            </w:r>
          </w:p>
        </w:tc>
        <w:tc>
          <w:tcPr>
            <w:tcW w:w="2540" w:type="dxa"/>
            <w:vAlign w:val="bottom"/>
          </w:tcPr>
          <w:p>
            <w:pPr>
              <w:spacing w:after="0"/>
              <w:rPr>
                <w:sz w:val="20"/>
                <w:szCs w:val="20"/>
                <w:color w:val="auto"/>
              </w:rPr>
            </w:pPr>
          </w:p>
        </w:tc>
      </w:tr>
      <w:tr>
        <w:trPr>
          <w:trHeight w:val="418"/>
        </w:trPr>
        <w:tc>
          <w:tcPr>
            <w:tcW w:w="7760" w:type="dxa"/>
            <w:vAlign w:val="bottom"/>
          </w:tcPr>
          <w:p>
            <w:pPr>
              <w:jc w:val="center"/>
              <w:ind w:left="2770"/>
              <w:spacing w:after="0"/>
              <w:rPr>
                <w:sz w:val="20"/>
                <w:szCs w:val="20"/>
                <w:color w:val="auto"/>
              </w:rPr>
            </w:pPr>
            <w:r>
              <w:rPr>
                <w:rFonts w:ascii="Arial" w:cs="Arial" w:eastAsia="Arial" w:hAnsi="Arial"/>
                <w:sz w:val="18"/>
                <w:szCs w:val="18"/>
                <w:b w:val="1"/>
                <w:bCs w:val="1"/>
                <w:color w:val="auto"/>
                <w:w w:val="88"/>
              </w:rPr>
              <w:t>Pennsylvania</w:t>
            </w:r>
          </w:p>
        </w:tc>
        <w:tc>
          <w:tcPr>
            <w:tcW w:w="2540" w:type="dxa"/>
            <w:vAlign w:val="bottom"/>
          </w:tcPr>
          <w:p>
            <w:pPr>
              <w:spacing w:after="0"/>
              <w:rPr>
                <w:sz w:val="24"/>
                <w:szCs w:val="24"/>
                <w:color w:val="auto"/>
              </w:rPr>
            </w:pPr>
          </w:p>
        </w:tc>
      </w:tr>
      <w:tr>
        <w:trPr>
          <w:trHeight w:val="230"/>
        </w:trPr>
        <w:tc>
          <w:tcPr>
            <w:tcW w:w="7760" w:type="dxa"/>
            <w:vAlign w:val="bottom"/>
          </w:tcPr>
          <w:p>
            <w:pPr>
              <w:jc w:val="center"/>
              <w:ind w:left="2750"/>
              <w:spacing w:after="0"/>
              <w:rPr>
                <w:sz w:val="20"/>
                <w:szCs w:val="20"/>
                <w:color w:val="auto"/>
              </w:rPr>
            </w:pPr>
            <w:r>
              <w:rPr>
                <w:rFonts w:ascii="Arial" w:cs="Arial" w:eastAsia="Arial" w:hAnsi="Arial"/>
                <w:sz w:val="18"/>
                <w:szCs w:val="18"/>
                <w:color w:val="auto"/>
                <w:w w:val="92"/>
              </w:rPr>
              <w:t>(State or Other Jurisdiction of Incorporation)</w:t>
            </w:r>
          </w:p>
        </w:tc>
        <w:tc>
          <w:tcPr>
            <w:tcW w:w="2540" w:type="dxa"/>
            <w:vAlign w:val="bottom"/>
          </w:tcPr>
          <w:p>
            <w:pPr>
              <w:spacing w:after="0"/>
              <w:rPr>
                <w:sz w:val="20"/>
                <w:szCs w:val="20"/>
                <w:color w:val="auto"/>
              </w:rPr>
            </w:pPr>
          </w:p>
        </w:tc>
      </w:tr>
      <w:tr>
        <w:trPr>
          <w:trHeight w:val="418"/>
        </w:trPr>
        <w:tc>
          <w:tcPr>
            <w:tcW w:w="7760" w:type="dxa"/>
            <w:vAlign w:val="bottom"/>
          </w:tcPr>
          <w:p>
            <w:pPr>
              <w:jc w:val="center"/>
              <w:ind w:right="4730"/>
              <w:spacing w:after="0"/>
              <w:rPr>
                <w:sz w:val="20"/>
                <w:szCs w:val="20"/>
                <w:color w:val="auto"/>
              </w:rPr>
            </w:pPr>
            <w:r>
              <w:rPr>
                <w:rFonts w:ascii="Arial" w:cs="Arial" w:eastAsia="Arial" w:hAnsi="Arial"/>
                <w:sz w:val="18"/>
                <w:szCs w:val="18"/>
                <w:b w:val="1"/>
                <w:bCs w:val="1"/>
                <w:color w:val="auto"/>
                <w:w w:val="90"/>
              </w:rPr>
              <w:t>001-32871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760" w:type="dxa"/>
            <w:vAlign w:val="bottom"/>
          </w:tcPr>
          <w:p>
            <w:pPr>
              <w:jc w:val="center"/>
              <w:ind w:right="4730"/>
              <w:spacing w:after="0"/>
              <w:rPr>
                <w:sz w:val="20"/>
                <w:szCs w:val="20"/>
                <w:color w:val="auto"/>
              </w:rPr>
            </w:pPr>
            <w:r>
              <w:rPr>
                <w:rFonts w:ascii="Arial" w:cs="Arial" w:eastAsia="Arial" w:hAnsi="Arial"/>
                <w:sz w:val="18"/>
                <w:szCs w:val="18"/>
                <w:color w:val="auto"/>
                <w:w w:val="92"/>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7760" w:type="dxa"/>
            <w:vAlign w:val="bottom"/>
          </w:tcPr>
          <w:p>
            <w:pPr>
              <w:jc w:val="center"/>
              <w:ind w:right="4730"/>
              <w:spacing w:after="0"/>
              <w:rPr>
                <w:sz w:val="20"/>
                <w:szCs w:val="20"/>
                <w:color w:val="auto"/>
              </w:rPr>
            </w:pPr>
            <w:r>
              <w:rPr>
                <w:rFonts w:ascii="Arial" w:cs="Arial" w:eastAsia="Arial" w:hAnsi="Arial"/>
                <w:sz w:val="18"/>
                <w:szCs w:val="18"/>
                <w:b w:val="1"/>
                <w:bCs w:val="1"/>
                <w:color w:val="auto"/>
                <w:w w:val="90"/>
              </w:rPr>
              <w:t>One Comcast Center</w:t>
            </w:r>
          </w:p>
        </w:tc>
        <w:tc>
          <w:tcPr>
            <w:tcW w:w="2540" w:type="dxa"/>
            <w:vAlign w:val="bottom"/>
          </w:tcPr>
          <w:p>
            <w:pPr>
              <w:spacing w:after="0"/>
              <w:rPr>
                <w:sz w:val="24"/>
                <w:szCs w:val="24"/>
                <w:color w:val="auto"/>
              </w:rPr>
            </w:pPr>
          </w:p>
        </w:tc>
      </w:tr>
      <w:tr>
        <w:trPr>
          <w:trHeight w:val="220"/>
        </w:trPr>
        <w:tc>
          <w:tcPr>
            <w:tcW w:w="7760" w:type="dxa"/>
            <w:vAlign w:val="bottom"/>
          </w:tcPr>
          <w:p>
            <w:pPr>
              <w:jc w:val="center"/>
              <w:ind w:right="4730"/>
              <w:spacing w:after="0"/>
              <w:rPr>
                <w:sz w:val="20"/>
                <w:szCs w:val="20"/>
                <w:color w:val="auto"/>
              </w:rPr>
            </w:pPr>
            <w:r>
              <w:rPr>
                <w:rFonts w:ascii="Arial" w:cs="Arial" w:eastAsia="Arial" w:hAnsi="Arial"/>
                <w:sz w:val="18"/>
                <w:szCs w:val="18"/>
                <w:b w:val="1"/>
                <w:bCs w:val="1"/>
                <w:color w:val="auto"/>
                <w:w w:val="92"/>
              </w:rPr>
              <w:t>Philadelphia, PA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760" w:type="dxa"/>
            <w:vAlign w:val="bottom"/>
          </w:tcPr>
          <w:p>
            <w:pPr>
              <w:jc w:val="center"/>
              <w:ind w:right="473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7760" w:type="dxa"/>
            <w:vAlign w:val="bottom"/>
          </w:tcPr>
          <w:p>
            <w:pPr>
              <w:jc w:val="center"/>
              <w:ind w:left="26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40" w:type="dxa"/>
            <w:vAlign w:val="bottom"/>
          </w:tcPr>
          <w:p>
            <w:pPr>
              <w:spacing w:after="0"/>
              <w:rPr>
                <w:sz w:val="24"/>
                <w:szCs w:val="24"/>
                <w:color w:val="auto"/>
              </w:rPr>
            </w:pPr>
          </w:p>
        </w:tc>
      </w:tr>
      <w:tr>
        <w:trPr>
          <w:trHeight w:val="432"/>
        </w:trPr>
        <w:tc>
          <w:tcPr>
            <w:tcW w:w="7760" w:type="dxa"/>
            <w:vAlign w:val="bottom"/>
          </w:tcPr>
          <w:p>
            <w:pPr>
              <w:jc w:val="center"/>
              <w:ind w:left="26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40" w:type="dxa"/>
            <w:vAlign w:val="bottom"/>
          </w:tcPr>
          <w:p>
            <w:pPr>
              <w:spacing w:after="0"/>
              <w:rPr>
                <w:sz w:val="24"/>
                <w:szCs w:val="24"/>
                <w:color w:val="auto"/>
              </w:rPr>
            </w:pP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549" w:right="77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Eduardo G. Mestre, a member of Comcast Corporation’s Board of Directors and a member of the Audit and Finance Committees of the Board, decided not to stand for reelection to the Board on February 22, 2017 in order to pursue other professional commitments. Mr. Mestre will continue to serve as a director until his term ends at Comcast’s 2017 annual meeting of shareholders.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February 23, 2017, Asuka Nakahara was appointed to the Board, effective February 24, 2017. The Board has determined that Mr. Nakahara is independent in accordance with applicable NASDAQ Global Select Market rules and Comcast’s corporate governance guidelines. Mr. Nakahara has been a partner in Triton Atlantic Partners, a real estate advisory firm and investment vehicle, since 2009. He also serves as an Associate Director of the Zell-Lurie Real Estate Center at the Wharton School of the University of Pennsylvania and is a director of the CBRE Clarion Global Real Estate Income Fund.</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Mr. Nakahara will receive compensation in accordance with Comcast’s 2002 Non-Employee Director Compensation Plan, as further described in Comcast’s proxy statement filed on April 8, 2016.</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previously reported in the Form 8-K filed by Comcast on December 7, 2016, David C. Novak was appointed to the Board. At the time the original Form 8-K was filed, it had not been determined on which committees Mr. Novak would serve. On February 23, 2017, the Board appointed Mr. Novak to the Compensation Committee of the Board, effective 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020" w:type="dxa"/>
            <w:vAlign w:val="bottom"/>
            <w:gridSpan w:val="2"/>
          </w:tcPr>
          <w:p>
            <w:pPr>
              <w:ind w:left="1940"/>
              <w:spacing w:after="0"/>
              <w:rPr>
                <w:sz w:val="20"/>
                <w:szCs w:val="20"/>
                <w:color w:val="auto"/>
              </w:rPr>
            </w:pPr>
            <w:r>
              <w:rPr>
                <w:rFonts w:ascii="Arial" w:cs="Arial" w:eastAsia="Arial" w:hAnsi="Arial"/>
                <w:sz w:val="18"/>
                <w:szCs w:val="18"/>
                <w:b w:val="1"/>
                <w:bCs w:val="1"/>
                <w:color w:val="auto"/>
              </w:rPr>
              <w:t>COMCAST CORPORATION</w:t>
            </w:r>
          </w:p>
        </w:tc>
        <w:tc>
          <w:tcPr>
            <w:tcW w:w="560" w:type="dxa"/>
            <w:vAlign w:val="bottom"/>
          </w:tcPr>
          <w:p>
            <w:pPr>
              <w:spacing w:after="0"/>
              <w:rPr>
                <w:sz w:val="20"/>
                <w:szCs w:val="20"/>
                <w:color w:val="auto"/>
              </w:rPr>
            </w:pPr>
          </w:p>
        </w:tc>
      </w:tr>
      <w:tr>
        <w:trPr>
          <w:trHeight w:val="648"/>
        </w:trPr>
        <w:tc>
          <w:tcPr>
            <w:tcW w:w="3840" w:type="dxa"/>
            <w:vAlign w:val="bottom"/>
          </w:tcPr>
          <w:p>
            <w:pPr>
              <w:spacing w:after="0"/>
              <w:rPr>
                <w:sz w:val="20"/>
                <w:szCs w:val="20"/>
                <w:color w:val="auto"/>
              </w:rPr>
            </w:pPr>
            <w:r>
              <w:rPr>
                <w:rFonts w:ascii="Arial" w:cs="Arial" w:eastAsia="Arial" w:hAnsi="Arial"/>
                <w:sz w:val="18"/>
                <w:szCs w:val="18"/>
                <w:color w:val="auto"/>
              </w:rPr>
              <w:t>Date:  February 23, 2017</w:t>
            </w:r>
          </w:p>
        </w:tc>
        <w:tc>
          <w:tcPr>
            <w:tcW w:w="7020" w:type="dxa"/>
            <w:vAlign w:val="bottom"/>
            <w:gridSpan w:val="2"/>
          </w:tcPr>
          <w:p>
            <w:pPr>
              <w:ind w:left="1940"/>
              <w:spacing w:after="0"/>
              <w:rPr>
                <w:sz w:val="20"/>
                <w:szCs w:val="20"/>
                <w:color w:val="auto"/>
              </w:rPr>
            </w:pPr>
            <w:r>
              <w:rPr>
                <w:rFonts w:ascii="Arial" w:cs="Arial" w:eastAsia="Arial" w:hAnsi="Arial"/>
                <w:sz w:val="18"/>
                <w:szCs w:val="18"/>
                <w:color w:val="auto"/>
              </w:rPr>
              <w:t>By:  /s/ Arthur R. Block</w:t>
            </w:r>
          </w:p>
        </w:tc>
        <w:tc>
          <w:tcPr>
            <w:tcW w:w="560" w:type="dxa"/>
            <w:vAlign w:val="bottom"/>
          </w:tcPr>
          <w:p>
            <w:pPr>
              <w:spacing w:after="0"/>
              <w:rPr>
                <w:sz w:val="24"/>
                <w:szCs w:val="24"/>
                <w:color w:val="auto"/>
              </w:rPr>
            </w:pP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c>
          <w:tcPr>
            <w:tcW w:w="56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560" w:type="dxa"/>
            <w:vAlign w:val="bottom"/>
          </w:tcPr>
          <w:p>
            <w:pPr>
              <w:spacing w:after="0"/>
              <w:rPr>
                <w:sz w:val="20"/>
                <w:szCs w:val="20"/>
                <w:color w:val="auto"/>
              </w:rPr>
            </w:pPr>
          </w:p>
        </w:tc>
      </w:tr>
      <w:tr>
        <w:trPr>
          <w:trHeight w:val="324"/>
        </w:trPr>
        <w:tc>
          <w:tcPr>
            <w:tcW w:w="3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2019-12-06T17:08:08Z</dcterms:created>
  <dcterms:modified xsi:type="dcterms:W3CDTF">2019-12-06T17:08:08Z</dcterms:modified>
</cp:coreProperties>
</file>