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225425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400" w:type="dxa"/>
        <w:tblCellMar>
          <w:top w:w="0" w:type="dxa"/>
          <w:left w:w="0" w:type="dxa"/>
          <w:bottom w:w="0" w:type="dxa"/>
          <w:right w:w="0" w:type="dxa"/>
        </w:tblCellMar>
      </w:tblPr>
      <w:tr>
        <w:trPr>
          <w:trHeight w:val="421"/>
        </w:trPr>
        <w:tc>
          <w:tcPr>
            <w:tcW w:w="7820" w:type="dxa"/>
            <w:vAlign w:val="bottom"/>
          </w:tcPr>
          <w:p>
            <w:pPr>
              <w:jc w:val="center"/>
              <w:ind w:left="2712"/>
              <w:spacing w:after="0"/>
              <w:rPr>
                <w:sz w:val="20"/>
                <w:szCs w:val="20"/>
                <w:color w:val="auto"/>
              </w:rPr>
            </w:pPr>
            <w:r>
              <w:rPr>
                <w:rFonts w:ascii="Arial" w:cs="Arial" w:eastAsia="Arial" w:hAnsi="Arial"/>
                <w:sz w:val="32"/>
                <w:szCs w:val="32"/>
                <w:b w:val="1"/>
                <w:bCs w:val="1"/>
                <w:color w:val="auto"/>
              </w:rPr>
              <w:t>FORM 8-K</w:t>
            </w:r>
          </w:p>
        </w:tc>
        <w:tc>
          <w:tcPr>
            <w:tcW w:w="2520" w:type="dxa"/>
            <w:vAlign w:val="bottom"/>
          </w:tcPr>
          <w:p>
            <w:pPr>
              <w:spacing w:after="0"/>
              <w:rPr>
                <w:sz w:val="24"/>
                <w:szCs w:val="24"/>
                <w:color w:val="auto"/>
              </w:rPr>
            </w:pPr>
          </w:p>
        </w:tc>
      </w:tr>
      <w:tr>
        <w:trPr>
          <w:trHeight w:val="534"/>
        </w:trPr>
        <w:tc>
          <w:tcPr>
            <w:tcW w:w="7820" w:type="dxa"/>
            <w:vAlign w:val="bottom"/>
          </w:tcPr>
          <w:p>
            <w:pPr>
              <w:jc w:val="center"/>
              <w:ind w:left="2712"/>
              <w:spacing w:after="0"/>
              <w:rPr>
                <w:sz w:val="20"/>
                <w:szCs w:val="20"/>
                <w:color w:val="auto"/>
              </w:rPr>
            </w:pPr>
            <w:r>
              <w:rPr>
                <w:rFonts w:ascii="Arial" w:cs="Arial" w:eastAsia="Arial" w:hAnsi="Arial"/>
                <w:sz w:val="29"/>
                <w:szCs w:val="29"/>
                <w:b w:val="1"/>
                <w:bCs w:val="1"/>
                <w:color w:val="auto"/>
                <w:w w:val="99"/>
              </w:rPr>
              <w:t>CURRENT REPORT</w:t>
            </w:r>
          </w:p>
        </w:tc>
        <w:tc>
          <w:tcPr>
            <w:tcW w:w="2520" w:type="dxa"/>
            <w:vAlign w:val="bottom"/>
          </w:tcPr>
          <w:p>
            <w:pPr>
              <w:spacing w:after="0"/>
              <w:rPr>
                <w:sz w:val="24"/>
                <w:szCs w:val="24"/>
                <w:color w:val="auto"/>
              </w:rPr>
            </w:pPr>
          </w:p>
        </w:tc>
      </w:tr>
      <w:tr>
        <w:trPr>
          <w:trHeight w:val="338"/>
        </w:trPr>
        <w:tc>
          <w:tcPr>
            <w:tcW w:w="7820" w:type="dxa"/>
            <w:vAlign w:val="bottom"/>
          </w:tcPr>
          <w:p>
            <w:pPr>
              <w:jc w:val="center"/>
              <w:ind w:left="2692"/>
              <w:spacing w:after="0"/>
              <w:rPr>
                <w:sz w:val="20"/>
                <w:szCs w:val="20"/>
                <w:color w:val="auto"/>
              </w:rPr>
            </w:pPr>
            <w:r>
              <w:rPr>
                <w:rFonts w:ascii="Arial" w:cs="Arial" w:eastAsia="Arial" w:hAnsi="Arial"/>
                <w:sz w:val="29"/>
                <w:szCs w:val="29"/>
                <w:b w:val="1"/>
                <w:bCs w:val="1"/>
                <w:color w:val="auto"/>
                <w:w w:val="89"/>
              </w:rPr>
              <w:t>Pursuant To Section 13 or 15(d) of</w:t>
            </w:r>
          </w:p>
        </w:tc>
        <w:tc>
          <w:tcPr>
            <w:tcW w:w="2520" w:type="dxa"/>
            <w:vAlign w:val="bottom"/>
          </w:tcPr>
          <w:p>
            <w:pPr>
              <w:spacing w:after="0"/>
              <w:rPr>
                <w:sz w:val="24"/>
                <w:szCs w:val="24"/>
                <w:color w:val="auto"/>
              </w:rPr>
            </w:pPr>
          </w:p>
        </w:tc>
      </w:tr>
      <w:tr>
        <w:trPr>
          <w:trHeight w:val="375"/>
        </w:trPr>
        <w:tc>
          <w:tcPr>
            <w:tcW w:w="7820" w:type="dxa"/>
            <w:vAlign w:val="bottom"/>
          </w:tcPr>
          <w:p>
            <w:pPr>
              <w:jc w:val="center"/>
              <w:ind w:left="2712"/>
              <w:spacing w:after="0"/>
              <w:rPr>
                <w:sz w:val="20"/>
                <w:szCs w:val="20"/>
                <w:color w:val="auto"/>
              </w:rPr>
            </w:pPr>
            <w:r>
              <w:rPr>
                <w:rFonts w:ascii="Arial" w:cs="Arial" w:eastAsia="Arial" w:hAnsi="Arial"/>
                <w:sz w:val="29"/>
                <w:szCs w:val="29"/>
                <w:b w:val="1"/>
                <w:bCs w:val="1"/>
                <w:color w:val="auto"/>
                <w:w w:val="88"/>
              </w:rPr>
              <w:t>the Securities Exchange Act of 1934</w:t>
            </w:r>
          </w:p>
        </w:tc>
        <w:tc>
          <w:tcPr>
            <w:tcW w:w="2520" w:type="dxa"/>
            <w:vAlign w:val="bottom"/>
          </w:tcPr>
          <w:p>
            <w:pPr>
              <w:spacing w:after="0"/>
              <w:rPr>
                <w:sz w:val="24"/>
                <w:szCs w:val="24"/>
                <w:color w:val="auto"/>
              </w:rPr>
            </w:pPr>
          </w:p>
        </w:tc>
      </w:tr>
      <w:tr>
        <w:trPr>
          <w:trHeight w:val="454"/>
        </w:trPr>
        <w:tc>
          <w:tcPr>
            <w:tcW w:w="7820" w:type="dxa"/>
            <w:vAlign w:val="bottom"/>
          </w:tcPr>
          <w:p>
            <w:pPr>
              <w:jc w:val="center"/>
              <w:ind w:left="2692"/>
              <w:spacing w:after="0"/>
              <w:rPr>
                <w:sz w:val="20"/>
                <w:szCs w:val="20"/>
                <w:color w:val="auto"/>
              </w:rPr>
            </w:pPr>
            <w:r>
              <w:rPr>
                <w:rFonts w:ascii="Arial" w:cs="Arial" w:eastAsia="Arial" w:hAnsi="Arial"/>
                <w:sz w:val="18"/>
                <w:szCs w:val="18"/>
                <w:color w:val="auto"/>
                <w:w w:val="91"/>
              </w:rPr>
              <w:t>Date of report (Date of earliest event reported): February 13, 2009</w:t>
            </w:r>
          </w:p>
        </w:tc>
        <w:tc>
          <w:tcPr>
            <w:tcW w:w="2520" w:type="dxa"/>
            <w:vAlign w:val="bottom"/>
          </w:tcPr>
          <w:p>
            <w:pPr>
              <w:spacing w:after="0"/>
              <w:rPr>
                <w:sz w:val="24"/>
                <w:szCs w:val="24"/>
                <w:color w:val="auto"/>
              </w:rPr>
            </w:pPr>
          </w:p>
        </w:tc>
      </w:tr>
      <w:tr>
        <w:trPr>
          <w:trHeight w:val="472"/>
        </w:trPr>
        <w:tc>
          <w:tcPr>
            <w:tcW w:w="7820" w:type="dxa"/>
            <w:vAlign w:val="bottom"/>
          </w:tcPr>
          <w:p>
            <w:pPr>
              <w:jc w:val="center"/>
              <w:ind w:left="2712"/>
              <w:spacing w:after="0"/>
              <w:rPr>
                <w:sz w:val="20"/>
                <w:szCs w:val="20"/>
                <w:color w:val="auto"/>
              </w:rPr>
            </w:pPr>
            <w:r>
              <w:rPr>
                <w:rFonts w:ascii="Arial" w:cs="Arial" w:eastAsia="Arial" w:hAnsi="Arial"/>
                <w:sz w:val="29"/>
                <w:szCs w:val="29"/>
                <w:b w:val="1"/>
                <w:bCs w:val="1"/>
                <w:color w:val="auto"/>
                <w:w w:val="90"/>
              </w:rPr>
              <w:t>Comcast Corporation</w:t>
            </w:r>
          </w:p>
        </w:tc>
        <w:tc>
          <w:tcPr>
            <w:tcW w:w="2520" w:type="dxa"/>
            <w:vAlign w:val="bottom"/>
          </w:tcPr>
          <w:p>
            <w:pPr>
              <w:spacing w:after="0"/>
              <w:rPr>
                <w:sz w:val="24"/>
                <w:szCs w:val="24"/>
                <w:color w:val="auto"/>
              </w:rPr>
            </w:pPr>
          </w:p>
        </w:tc>
      </w:tr>
      <w:tr>
        <w:trPr>
          <w:trHeight w:val="216"/>
        </w:trPr>
        <w:tc>
          <w:tcPr>
            <w:tcW w:w="7820" w:type="dxa"/>
            <w:vAlign w:val="bottom"/>
          </w:tcPr>
          <w:p>
            <w:pPr>
              <w:jc w:val="center"/>
              <w:ind w:left="2712"/>
              <w:spacing w:after="0"/>
              <w:rPr>
                <w:sz w:val="20"/>
                <w:szCs w:val="20"/>
                <w:color w:val="auto"/>
              </w:rPr>
            </w:pPr>
            <w:r>
              <w:rPr>
                <w:rFonts w:ascii="Arial" w:cs="Arial" w:eastAsia="Arial" w:hAnsi="Arial"/>
                <w:sz w:val="18"/>
                <w:szCs w:val="18"/>
                <w:color w:val="auto"/>
                <w:w w:val="90"/>
              </w:rPr>
              <w:t>(Exact Name of Registrant</w:t>
            </w:r>
          </w:p>
        </w:tc>
        <w:tc>
          <w:tcPr>
            <w:tcW w:w="2520" w:type="dxa"/>
            <w:vAlign w:val="bottom"/>
          </w:tcPr>
          <w:p>
            <w:pPr>
              <w:spacing w:after="0"/>
              <w:rPr>
                <w:sz w:val="18"/>
                <w:szCs w:val="18"/>
                <w:color w:val="auto"/>
              </w:rPr>
            </w:pPr>
          </w:p>
        </w:tc>
      </w:tr>
      <w:tr>
        <w:trPr>
          <w:trHeight w:val="230"/>
        </w:trPr>
        <w:tc>
          <w:tcPr>
            <w:tcW w:w="7820" w:type="dxa"/>
            <w:vAlign w:val="bottom"/>
          </w:tcPr>
          <w:p>
            <w:pPr>
              <w:jc w:val="center"/>
              <w:ind w:left="2692"/>
              <w:spacing w:after="0"/>
              <w:rPr>
                <w:sz w:val="20"/>
                <w:szCs w:val="20"/>
                <w:color w:val="auto"/>
              </w:rPr>
            </w:pPr>
            <w:r>
              <w:rPr>
                <w:rFonts w:ascii="Arial" w:cs="Arial" w:eastAsia="Arial" w:hAnsi="Arial"/>
                <w:sz w:val="18"/>
                <w:szCs w:val="18"/>
                <w:color w:val="auto"/>
                <w:w w:val="90"/>
              </w:rPr>
              <w:t>as Specified in Charter)</w:t>
            </w:r>
          </w:p>
        </w:tc>
        <w:tc>
          <w:tcPr>
            <w:tcW w:w="2520" w:type="dxa"/>
            <w:vAlign w:val="bottom"/>
          </w:tcPr>
          <w:p>
            <w:pPr>
              <w:spacing w:after="0"/>
              <w:rPr>
                <w:sz w:val="20"/>
                <w:szCs w:val="20"/>
                <w:color w:val="auto"/>
              </w:rPr>
            </w:pPr>
          </w:p>
        </w:tc>
      </w:tr>
      <w:tr>
        <w:trPr>
          <w:trHeight w:val="350"/>
        </w:trPr>
        <w:tc>
          <w:tcPr>
            <w:tcW w:w="7820" w:type="dxa"/>
            <w:vAlign w:val="bottom"/>
          </w:tcPr>
          <w:p>
            <w:pPr>
              <w:jc w:val="center"/>
              <w:ind w:left="2572"/>
              <w:spacing w:after="0"/>
              <w:rPr>
                <w:sz w:val="20"/>
                <w:szCs w:val="20"/>
                <w:color w:val="auto"/>
              </w:rPr>
            </w:pPr>
            <w:r>
              <w:rPr>
                <w:rFonts w:ascii="Arial" w:cs="Arial" w:eastAsia="Arial" w:hAnsi="Arial"/>
                <w:sz w:val="18"/>
                <w:szCs w:val="18"/>
                <w:b w:val="1"/>
                <w:bCs w:val="1"/>
                <w:color w:val="auto"/>
                <w:w w:val="88"/>
              </w:rPr>
              <w:t>Pennsylvania</w:t>
            </w:r>
          </w:p>
        </w:tc>
        <w:tc>
          <w:tcPr>
            <w:tcW w:w="2520" w:type="dxa"/>
            <w:vAlign w:val="bottom"/>
          </w:tcPr>
          <w:p>
            <w:pPr>
              <w:spacing w:after="0"/>
              <w:rPr>
                <w:sz w:val="24"/>
                <w:szCs w:val="24"/>
                <w:color w:val="auto"/>
              </w:rPr>
            </w:pPr>
          </w:p>
        </w:tc>
      </w:tr>
      <w:tr>
        <w:trPr>
          <w:trHeight w:val="230"/>
        </w:trPr>
        <w:tc>
          <w:tcPr>
            <w:tcW w:w="7820" w:type="dxa"/>
            <w:vAlign w:val="bottom"/>
          </w:tcPr>
          <w:p>
            <w:pPr>
              <w:jc w:val="center"/>
              <w:ind w:left="2552"/>
              <w:spacing w:after="0"/>
              <w:rPr>
                <w:sz w:val="20"/>
                <w:szCs w:val="20"/>
                <w:color w:val="auto"/>
              </w:rPr>
            </w:pPr>
            <w:r>
              <w:rPr>
                <w:rFonts w:ascii="Arial" w:cs="Arial" w:eastAsia="Arial" w:hAnsi="Arial"/>
                <w:sz w:val="18"/>
                <w:szCs w:val="18"/>
                <w:color w:val="auto"/>
                <w:w w:val="92"/>
              </w:rPr>
              <w:t>(State or Other Jurisdiction of Incorporation)</w:t>
            </w:r>
          </w:p>
        </w:tc>
        <w:tc>
          <w:tcPr>
            <w:tcW w:w="2520" w:type="dxa"/>
            <w:vAlign w:val="bottom"/>
          </w:tcPr>
          <w:p>
            <w:pPr>
              <w:spacing w:after="0"/>
              <w:rPr>
                <w:sz w:val="20"/>
                <w:szCs w:val="20"/>
                <w:color w:val="auto"/>
              </w:rPr>
            </w:pPr>
          </w:p>
        </w:tc>
      </w:tr>
      <w:tr>
        <w:trPr>
          <w:trHeight w:val="350"/>
        </w:trPr>
        <w:tc>
          <w:tcPr>
            <w:tcW w:w="7820" w:type="dxa"/>
            <w:vAlign w:val="bottom"/>
          </w:tcPr>
          <w:p>
            <w:pPr>
              <w:jc w:val="center"/>
              <w:ind w:right="4772"/>
              <w:spacing w:after="0"/>
              <w:rPr>
                <w:sz w:val="20"/>
                <w:szCs w:val="20"/>
                <w:color w:val="auto"/>
              </w:rPr>
            </w:pPr>
            <w:r>
              <w:rPr>
                <w:rFonts w:ascii="Arial" w:cs="Arial" w:eastAsia="Arial" w:hAnsi="Arial"/>
                <w:sz w:val="18"/>
                <w:szCs w:val="18"/>
                <w:b w:val="1"/>
                <w:bCs w:val="1"/>
                <w:color w:val="auto"/>
                <w:w w:val="90"/>
              </w:rPr>
              <w:t>001-32871</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7820" w:type="dxa"/>
            <w:vAlign w:val="bottom"/>
          </w:tcPr>
          <w:p>
            <w:pPr>
              <w:jc w:val="center"/>
              <w:ind w:right="4772"/>
              <w:spacing w:after="0"/>
              <w:rPr>
                <w:sz w:val="20"/>
                <w:szCs w:val="20"/>
                <w:color w:val="auto"/>
              </w:rPr>
            </w:pPr>
            <w:r>
              <w:rPr>
                <w:rFonts w:ascii="Arial" w:cs="Arial" w:eastAsia="Arial" w:hAnsi="Arial"/>
                <w:sz w:val="18"/>
                <w:szCs w:val="18"/>
                <w:color w:val="auto"/>
                <w:w w:val="92"/>
              </w:rPr>
              <w:t>(Commission File Number)</w:t>
            </w:r>
          </w:p>
        </w:tc>
        <w:tc>
          <w:tcPr>
            <w:tcW w:w="252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46"/>
        </w:trPr>
        <w:tc>
          <w:tcPr>
            <w:tcW w:w="7820" w:type="dxa"/>
            <w:vAlign w:val="bottom"/>
          </w:tcPr>
          <w:p>
            <w:pPr>
              <w:jc w:val="center"/>
              <w:ind w:right="4792"/>
              <w:spacing w:after="0"/>
              <w:rPr>
                <w:sz w:val="20"/>
                <w:szCs w:val="20"/>
                <w:color w:val="auto"/>
              </w:rPr>
            </w:pPr>
            <w:r>
              <w:rPr>
                <w:rFonts w:ascii="Arial" w:cs="Arial" w:eastAsia="Arial" w:hAnsi="Arial"/>
                <w:sz w:val="18"/>
                <w:szCs w:val="18"/>
                <w:b w:val="1"/>
                <w:bCs w:val="1"/>
                <w:color w:val="auto"/>
                <w:w w:val="89"/>
              </w:rPr>
              <w:t>One Comcast Center</w:t>
            </w:r>
          </w:p>
        </w:tc>
        <w:tc>
          <w:tcPr>
            <w:tcW w:w="2520" w:type="dxa"/>
            <w:vAlign w:val="bottom"/>
          </w:tcPr>
          <w:p>
            <w:pPr>
              <w:spacing w:after="0"/>
              <w:rPr>
                <w:sz w:val="24"/>
                <w:szCs w:val="24"/>
                <w:color w:val="auto"/>
              </w:rPr>
            </w:pPr>
          </w:p>
        </w:tc>
      </w:tr>
      <w:tr>
        <w:trPr>
          <w:trHeight w:val="220"/>
        </w:trPr>
        <w:tc>
          <w:tcPr>
            <w:tcW w:w="7820" w:type="dxa"/>
            <w:vAlign w:val="bottom"/>
          </w:tcPr>
          <w:p>
            <w:pPr>
              <w:jc w:val="center"/>
              <w:ind w:right="4792"/>
              <w:spacing w:after="0"/>
              <w:rPr>
                <w:sz w:val="20"/>
                <w:szCs w:val="20"/>
                <w:color w:val="auto"/>
              </w:rPr>
            </w:pPr>
            <w:r>
              <w:rPr>
                <w:rFonts w:ascii="Arial" w:cs="Arial" w:eastAsia="Arial" w:hAnsi="Arial"/>
                <w:sz w:val="18"/>
                <w:szCs w:val="18"/>
                <w:b w:val="1"/>
                <w:bCs w:val="1"/>
                <w:color w:val="auto"/>
                <w:w w:val="90"/>
              </w:rPr>
              <w:t>Philadelphia, PA</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7820" w:type="dxa"/>
            <w:vAlign w:val="bottom"/>
          </w:tcPr>
          <w:p>
            <w:pPr>
              <w:jc w:val="center"/>
              <w:ind w:right="4772"/>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513"/>
        </w:trPr>
        <w:tc>
          <w:tcPr>
            <w:tcW w:w="7820" w:type="dxa"/>
            <w:vAlign w:val="bottom"/>
          </w:tcPr>
          <w:p>
            <w:pPr>
              <w:jc w:val="center"/>
              <w:ind w:left="2692"/>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(215) 286-1700</w:t>
            </w:r>
          </w:p>
        </w:tc>
        <w:tc>
          <w:tcPr>
            <w:tcW w:w="2520" w:type="dxa"/>
            <w:vAlign w:val="bottom"/>
          </w:tcPr>
          <w:p>
            <w:pPr>
              <w:spacing w:after="0"/>
              <w:rPr>
                <w:sz w:val="24"/>
                <w:szCs w:val="24"/>
                <w:color w:val="auto"/>
              </w:rPr>
            </w:pPr>
          </w:p>
        </w:tc>
      </w:tr>
    </w:tbl>
    <w:p>
      <w:pPr>
        <w:spacing w:after="0" w:line="130"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228600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39" w:lineRule="exact"/>
        <w:rPr>
          <w:rFonts w:ascii="Arial" w:cs="Arial" w:eastAsia="Arial" w:hAnsi="Arial"/>
          <w:sz w:val="29"/>
          <w:szCs w:val="29"/>
          <w:color w:val="auto"/>
          <w:vertAlign w:val="superscript"/>
        </w:rPr>
      </w:pPr>
    </w:p>
    <w:p>
      <w:pPr>
        <w:ind w:left="660" w:hanging="328"/>
        <w:spacing w:after="0" w:line="229" w:lineRule="auto"/>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Soliciting material pursuant to Rule 14a-12(b) under the Exchange Act (17 CFR 240.14a-12(b))</w:t>
      </w:r>
    </w:p>
    <w:p>
      <w:pPr>
        <w:spacing w:after="0" w:line="140" w:lineRule="exact"/>
        <w:rPr>
          <w:rFonts w:ascii="Arial" w:cs="Arial" w:eastAsia="Arial" w:hAnsi="Arial"/>
          <w:sz w:val="29"/>
          <w:szCs w:val="29"/>
          <w:color w:val="auto"/>
          <w:vertAlign w:val="superscript"/>
        </w:rPr>
      </w:pPr>
    </w:p>
    <w:p>
      <w:pPr>
        <w:ind w:left="660" w:hanging="328"/>
        <w:spacing w:after="0" w:line="229" w:lineRule="auto"/>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40" w:lineRule="exact"/>
        <w:rPr>
          <w:rFonts w:ascii="Arial" w:cs="Arial" w:eastAsia="Arial" w:hAnsi="Arial"/>
          <w:sz w:val="29"/>
          <w:szCs w:val="29"/>
          <w:color w:val="auto"/>
          <w:vertAlign w:val="superscript"/>
        </w:rPr>
      </w:pPr>
    </w:p>
    <w:p>
      <w:pPr>
        <w:ind w:left="660" w:hanging="328"/>
        <w:spacing w:after="0" w:line="229" w:lineRule="auto"/>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540" w:right="779" w:bottom="1440" w:gutter="0" w:footer="0" w:header="0"/>
        </w:sectPr>
      </w:pPr>
    </w:p>
    <w:bookmarkStart w:id="1" w:name="page2"/>
    <w:bookmarkEnd w:id="1"/>
    <w:p>
      <w:pPr>
        <w:ind w:right="4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right="420" w:firstLine="486"/>
        <w:spacing w:after="0" w:line="288" w:lineRule="auto"/>
        <w:rPr>
          <w:sz w:val="20"/>
          <w:szCs w:val="20"/>
          <w:color w:val="auto"/>
        </w:rPr>
      </w:pPr>
      <w:r>
        <w:rPr>
          <w:rFonts w:ascii="Arial" w:cs="Arial" w:eastAsia="Arial" w:hAnsi="Arial"/>
          <w:sz w:val="16"/>
          <w:szCs w:val="16"/>
          <w:color w:val="auto"/>
        </w:rPr>
        <w:t>On February 13, 2009, Mr. Brian L. Roberts, the Chairman and Chief Executive Officer of Comcast Corporation (the “Company”), entered into documentation (including an amendment to his employment agreement) pursuant to which (i) the term of his employment agreement (which would have otherwise expired on June 30, 2009) was extended to June 30, 2010; (ii) Mr. Roberts agreed that he will receive no increase to his base salary in 2009;</w:t>
      </w:r>
    </w:p>
    <w:p>
      <w:pPr>
        <w:jc w:val="both"/>
        <w:ind w:right="20" w:firstLine="8"/>
        <w:spacing w:after="0" w:line="255"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Roberts elected to relinquish his right to base salary and annual cash bonus continuation for up to five years following his death; and (iv) Mr. Roberts elected to relinquish his right to reimbursement and tax-related payments from the Company in connection with the premiums for his term life and split-dollar life insurance polices.</w:t>
      </w:r>
    </w:p>
    <w:p>
      <w:pPr>
        <w:spacing w:after="0" w:line="217"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In addition, Messrs. Michael J. Angelakis (the Company’s Executive Vice President and Chief Financial Officer), Stephen B. Burke (the Company’s Executive Vice President, Chief Operating Officer and President of the Company’s Cable Division) and David L. Cohen (the Company’s Executive Vice President) has each agreed not to receive any increase in his base salary in 2009.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3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0"/>
                <w:szCs w:val="20"/>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Amendment to Employment Agreement with Brian L. Roberts entered into on February 13, 2009.</w:t>
            </w: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99.2</w:t>
            </w:r>
          </w:p>
        </w:tc>
        <w:tc>
          <w:tcPr>
            <w:tcW w:w="10380" w:type="dxa"/>
            <w:vAlign w:val="bottom"/>
            <w:gridSpan w:val="2"/>
          </w:tcPr>
          <w:p>
            <w:pPr>
              <w:ind w:left="460"/>
              <w:spacing w:after="0"/>
              <w:rPr>
                <w:sz w:val="20"/>
                <w:szCs w:val="20"/>
                <w:color w:val="auto"/>
              </w:rPr>
            </w:pPr>
            <w:r>
              <w:rPr>
                <w:rFonts w:ascii="Arial" w:cs="Arial" w:eastAsia="Arial" w:hAnsi="Arial"/>
                <w:sz w:val="18"/>
                <w:szCs w:val="18"/>
                <w:color w:val="auto"/>
              </w:rPr>
              <w:t>Notice of Rights Waiver entered into on February 13, 2009.</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99.3</w:t>
            </w:r>
          </w:p>
        </w:tc>
        <w:tc>
          <w:tcPr>
            <w:tcW w:w="10380" w:type="dxa"/>
            <w:vAlign w:val="bottom"/>
            <w:gridSpan w:val="2"/>
          </w:tcPr>
          <w:p>
            <w:pPr>
              <w:ind w:left="460"/>
              <w:spacing w:after="0"/>
              <w:rPr>
                <w:sz w:val="20"/>
                <w:szCs w:val="20"/>
                <w:color w:val="auto"/>
              </w:rPr>
            </w:pPr>
            <w:r>
              <w:rPr>
                <w:rFonts w:ascii="Arial" w:cs="Arial" w:eastAsia="Arial" w:hAnsi="Arial"/>
                <w:sz w:val="18"/>
                <w:szCs w:val="18"/>
                <w:color w:val="auto"/>
              </w:rPr>
              <w:t>Notice of Termination entered into on February 13, 2009.</w:t>
            </w:r>
          </w:p>
        </w:tc>
        <w:tc>
          <w:tcPr>
            <w:tcW w:w="0" w:type="dxa"/>
            <w:vAlign w:val="bottom"/>
          </w:tcPr>
          <w:p>
            <w:pPr>
              <w:spacing w:after="0"/>
              <w:rPr>
                <w:sz w:val="1"/>
                <w:szCs w:val="1"/>
                <w:color w:val="auto"/>
              </w:rPr>
            </w:pPr>
          </w:p>
        </w:tc>
      </w:tr>
      <w:tr>
        <w:trPr>
          <w:trHeight w:val="1091"/>
        </w:trPr>
        <w:tc>
          <w:tcPr>
            <w:tcW w:w="10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5600" w:val="left"/>
          <w:tab w:leader="none" w:pos="6060" w:val="left"/>
        </w:tabs>
        <w:rPr>
          <w:sz w:val="20"/>
          <w:szCs w:val="20"/>
          <w:color w:val="auto"/>
        </w:rPr>
      </w:pPr>
      <w:r>
        <w:rPr>
          <w:rFonts w:ascii="Arial" w:cs="Arial" w:eastAsia="Arial" w:hAnsi="Arial"/>
          <w:sz w:val="18"/>
          <w:szCs w:val="18"/>
          <w:color w:val="auto"/>
        </w:rPr>
        <w:t>Date: February 13,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092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232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826770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00"/>
          </w:cols>
          <w:pgMar w:left="240" w:top="850"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EMPLOYMENT AGREEMENT</w:t>
      </w:r>
    </w:p>
    <w:p>
      <w:pPr>
        <w:spacing w:after="0" w:line="256" w:lineRule="exact"/>
        <w:rPr>
          <w:sz w:val="20"/>
          <w:szCs w:val="20"/>
          <w:color w:val="auto"/>
        </w:rPr>
      </w:pPr>
    </w:p>
    <w:p>
      <w:pPr>
        <w:ind w:right="160" w:firstLine="648"/>
        <w:spacing w:after="0" w:line="234" w:lineRule="auto"/>
        <w:rPr>
          <w:sz w:val="20"/>
          <w:szCs w:val="20"/>
          <w:color w:val="auto"/>
        </w:rPr>
      </w:pPr>
      <w:r>
        <w:rPr>
          <w:rFonts w:ascii="Arial" w:cs="Arial" w:eastAsia="Arial" w:hAnsi="Arial"/>
          <w:sz w:val="17"/>
          <w:szCs w:val="17"/>
          <w:color w:val="auto"/>
        </w:rPr>
        <w:t>This AMENDMENT TO EMPLOYMENT AGREEMENT (the “Amendment”), dated as of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February, 2009, is between COMCAST CORPORATION, a Pennsylvania corporation (together with its subsidiaries, the “Company”) and BRIAN L. ROBERTS (“Employee”).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5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WHEREAS, the parties entered into an Employment Agreement dated as of January 1, 2005 (the “Agreement”) that sets forth the terms and conditions of Employee’s employment with the Company, 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desire to amend the Agreement on the terms and conditions contained herein.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252" w:lineRule="exact"/>
        <w:rPr>
          <w:sz w:val="20"/>
          <w:szCs w:val="20"/>
          <w:color w:val="auto"/>
        </w:rPr>
      </w:pPr>
    </w:p>
    <w:p>
      <w:pPr>
        <w:ind w:left="1280" w:hanging="624"/>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Subparagraph 2(ii) of the Agreement is hereby deleted and replaced in its entirely by the following: “(ii) June 30, 2010.”</w:t>
      </w:r>
    </w:p>
    <w:p>
      <w:pPr>
        <w:spacing w:after="0" w:line="252" w:lineRule="exact"/>
        <w:rPr>
          <w:rFonts w:ascii="Arial" w:cs="Arial" w:eastAsia="Arial" w:hAnsi="Arial"/>
          <w:sz w:val="18"/>
          <w:szCs w:val="18"/>
          <w:color w:val="auto"/>
        </w:rPr>
      </w:pPr>
    </w:p>
    <w:p>
      <w:pPr>
        <w:ind w:right="420" w:firstLine="656"/>
        <w:spacing w:after="0" w:line="277" w:lineRule="auto"/>
        <w:tabs>
          <w:tab w:leader="none" w:pos="12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sentence is hereby added at the end of subparagraph 3(a) of the Agreement: “Notwithstanding the foregoing, the parties agree that Employee shall receive no increase in Base Salary during 2009 nor in 2010 prior to March 1.”</w:t>
      </w:r>
    </w:p>
    <w:p>
      <w:pPr>
        <w:spacing w:after="0" w:line="197" w:lineRule="exact"/>
        <w:rPr>
          <w:rFonts w:ascii="Arial" w:cs="Arial" w:eastAsia="Arial" w:hAnsi="Arial"/>
          <w:sz w:val="18"/>
          <w:szCs w:val="18"/>
          <w:color w:val="auto"/>
        </w:rPr>
      </w:pPr>
    </w:p>
    <w:p>
      <w:pPr>
        <w:ind w:left="1280" w:hanging="624"/>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Subparagraphs 13(a)(i) and (b)(ii)(I) are hereby deleted.</w:t>
      </w: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modified hereby, the Agreement shall continue unmodified and in full force and effect.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and delivered this Second Amendment as of the date first-above written.</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374"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20237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31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EMPLOYEE:</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2809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Rights Waiver</w:t>
      </w:r>
    </w:p>
    <w:p>
      <w:pPr>
        <w:spacing w:after="0" w:line="200" w:lineRule="exact"/>
        <w:rPr>
          <w:sz w:val="20"/>
          <w:szCs w:val="20"/>
          <w:color w:val="auto"/>
        </w:rPr>
      </w:pPr>
    </w:p>
    <w:p>
      <w:pPr>
        <w:spacing w:after="0" w:line="29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This is my written notice of my voluntary waiver of my rights to bonus payments under Section 4.3 of the Comcast Corporation (the “Company”) 1992 Executive Split Dollar Life Insurance Plan, effective as of January 1, 2009. This waiver does not affect: (i) my rights and obligations under the Split-Dollar Life Insurance Agreement dated as of October 9, 1992, as amended (the “Agreement”), among myself, the Company and Sheldon M. Bonovitz, Trustee U/D/T of Brian L. Roberts, dated October 5, 1992 (the “Trust”); (ii) the related Collateral Assignment, as amended (the “Assignment”), by the Trust, dated as of February 10, 1993; or (iii) the continued effectiveness of the life insurance policy referred to in such Agreement and the Assignment.</w:t>
      </w:r>
    </w:p>
    <w:p>
      <w:pPr>
        <w:spacing w:after="0" w:line="200" w:lineRule="exact"/>
        <w:rPr>
          <w:sz w:val="20"/>
          <w:szCs w:val="20"/>
          <w:color w:val="auto"/>
        </w:rPr>
      </w:pP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9983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9834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L. Roberts</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14605</wp:posOffset>
            </wp:positionV>
            <wp:extent cx="1672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7259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699135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Termination</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This is my written notice of termination of: (i) the Term Life Insurance Premium and Tax Bonus Agreement dated as of September 23, 1998 (as amended by Amendment to Term Life Insurance Premium and Tax Bonus Agreement dated as of May 22, 2006); and (ii) Life Insurance Premium and Tax Bonus Agreement dated as of May 22, 2006 (as amended by Amendment to Life Insurance Premium and Tax Bonus Agreement dated as of September 15, 2006); in each case effective as of January 1, 2009.</w:t>
      </w: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9983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9834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L. Roberts</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14605</wp:posOffset>
            </wp:positionV>
            <wp:extent cx="1672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7259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699135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2019-12-10T20:43:44Z</dcterms:created>
  <dcterms:modified xsi:type="dcterms:W3CDTF">2019-12-10T20:43:44Z</dcterms:modified>
</cp:coreProperties>
</file>