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-238760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-642620</wp:posOffset>
            </wp:positionV>
            <wp:extent cx="59055" cy="6559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4121150</wp:posOffset>
            </wp:positionH>
            <wp:positionV relativeFrom="paragraph">
              <wp:posOffset>-642620</wp:posOffset>
            </wp:positionV>
            <wp:extent cx="59055" cy="6559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3897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3897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Cavanagh Michael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02/20/2018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2" w:right="680" w:hanging="2"/>
        <w:spacing w:after="0" w:line="247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tbl>
      <w:tblPr>
        <w:tblLayout w:type="fixed"/>
        <w:tblInd w:w="202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5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CFO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8" w:space="720"/>
            <w:col w:w="3462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8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122,282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ind w:right="199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02/20/2018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122,282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60" w:type="dxa"/>
            <w:vAlign w:val="bottom"/>
          </w:tcPr>
          <w:p>
            <w:pPr>
              <w:ind w:left="2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122,282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20" w:firstLine="6"/>
        <w:spacing w:after="0" w:line="260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units were granted subject to satisfaction of a performance condition. Based on achievement of the performance condition, the restricted stock units vest in installments of 15%, 15%, 15%, 15% and 40% on the 13th-month, 2nd, 3rd, 4th and 5th anniversaries of the date of the grant (March 17, 2017), respectively.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Arthur R. Block, Attorney-in-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02/21/2018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6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7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04481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2019-12-04T00:59:08Z</dcterms:created>
  <dcterms:modified xsi:type="dcterms:W3CDTF">2019-12-04T00:59:08Z</dcterms:modified>
</cp:coreProperties>
</file>