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25, 2018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001-32871</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4"/>
              </w:rPr>
              <w:t>(Commission File Number)</w:t>
            </w:r>
          </w:p>
        </w:tc>
        <w:tc>
          <w:tcPr>
            <w:tcW w:w="3820" w:type="dxa"/>
            <w:vAlign w:val="bottom"/>
          </w:tcPr>
          <w:p>
            <w:pPr>
              <w:jc w:val="center"/>
              <w:ind w:left="175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One Comcast Center</w:t>
            </w:r>
          </w:p>
        </w:tc>
        <w:tc>
          <w:tcPr>
            <w:tcW w:w="3820" w:type="dxa"/>
            <w:vAlign w:val="bottom"/>
          </w:tcPr>
          <w:p>
            <w:pPr>
              <w:spacing w:after="0"/>
              <w:rPr>
                <w:sz w:val="24"/>
                <w:szCs w:val="24"/>
                <w:color w:val="auto"/>
              </w:rPr>
            </w:pPr>
          </w:p>
        </w:tc>
      </w:t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2"/>
              </w:rPr>
              <w:t>Philadelphia, PA</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5"/>
              </w:rPr>
              <w:t>(Address of Principal Executive Offices)</w:t>
            </w:r>
          </w:p>
        </w:tc>
        <w:tc>
          <w:tcPr>
            <w:tcW w:w="3820" w:type="dxa"/>
            <w:vAlign w:val="bottom"/>
          </w:tcPr>
          <w:p>
            <w:pPr>
              <w:jc w:val="center"/>
              <w:ind w:left="1739"/>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April 25, 2018, Comcast Corporation (“Comcast”) issued a press release reporting the results of its operations for the three months ended March 31, 2018.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ectPr>
          <w:pgSz w:w="11900" w:h="16838" w:orient="portrait"/>
          <w:cols w:equalWidth="0" w:num="1">
            <w:col w:w="11420"/>
          </w:cols>
          <w:pgMar w:left="240" w:top="553" w:right="239" w:bottom="9" w:gutter="0" w:footer="0" w:header="0"/>
        </w:sectPr>
      </w:pPr>
    </w:p>
    <w:bookmarkStart w:id="1" w:name="page2"/>
    <w:bookmarkEnd w:id="1"/>
    <w:p>
      <w:pPr>
        <w:ind w:left="500"/>
        <w:spacing w:after="0"/>
        <w:tabs>
          <w:tab w:leader="none" w:pos="14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Number</w:t>
      </w:r>
    </w:p>
    <w:p>
      <w:pPr>
        <w:spacing w:after="0" w:line="211"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EE"/>
          </w:rPr>
          <w:t>Comcast Corporation press release dated April 25, 2018.</w:t>
        </w:r>
      </w:hyperlink>
    </w:p>
    <w:p>
      <w:pPr>
        <w:spacing w:after="0" w:line="23"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0">
        <w:r>
          <w:rPr>
            <w:rFonts w:ascii="Arial" w:cs="Arial" w:eastAsia="Arial" w:hAnsi="Arial"/>
            <w:sz w:val="16"/>
            <w:szCs w:val="16"/>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April 25, 2018</w:t>
            </w:r>
          </w:p>
        </w:tc>
        <w:tc>
          <w:tcPr>
            <w:tcW w:w="7980" w:type="dxa"/>
            <w:vAlign w:val="bottom"/>
            <w:gridSpan w:val="2"/>
          </w:tcPr>
          <w:p>
            <w:pPr>
              <w:ind w:left="176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4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200025</wp:posOffset>
            </wp:positionV>
            <wp:extent cx="137223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54038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500" w:firstLine="3502"/>
        <w:spacing w:after="0" w:line="470" w:lineRule="auto"/>
        <w:rPr>
          <w:sz w:val="20"/>
          <w:szCs w:val="20"/>
          <w:color w:val="auto"/>
        </w:rPr>
      </w:pPr>
      <w:r>
        <w:rPr>
          <w:rFonts w:ascii="Arial" w:cs="Arial" w:eastAsia="Arial" w:hAnsi="Arial"/>
          <w:sz w:val="18"/>
          <w:szCs w:val="18"/>
          <w:b w:val="1"/>
          <w:bCs w:val="1"/>
          <w:u w:val="single" w:color="auto"/>
          <w:color w:val="auto"/>
        </w:rPr>
        <w:t xml:space="preserve">COMCAST REPORTS 1st QUARTER 2018 RESULTS </w:t>
      </w:r>
      <w:r>
        <w:rPr>
          <w:rFonts w:ascii="Arial" w:cs="Arial" w:eastAsia="Arial" w:hAnsi="Arial"/>
          <w:sz w:val="18"/>
          <w:szCs w:val="18"/>
          <w:b w:val="1"/>
          <w:bCs w:val="1"/>
          <w:color w:val="auto"/>
        </w:rPr>
        <w:t>Consolidated 1st Quarter 2018 Highlights:</w:t>
      </w:r>
    </w:p>
    <w:p>
      <w:pPr>
        <w:spacing w:after="0" w:line="13"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Revenue Increased 10.7%; Net Income Attributable to Comcast Increased 21.2%; Adjusted EBITDA Increased 3.3%</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Cash Provided by Operating Activities was $5.5 Billion; Free Cash Flow was $3.1 Billion</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Share Increased by 24.5% to $0.66; On an Adjusted Basis, Earnings per Share Increased 17.0% to $0.62</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Dividends Paid Totaled $738 Million and Share Repurchases were $1.5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1st Quarter 2018 Highlights:</w:t>
      </w:r>
    </w:p>
    <w:p>
      <w:pPr>
        <w:spacing w:after="0" w:line="211"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Cable Communications Revenue Increased 3.6%; Adjusted EBITDA Increased 4.7%</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Customer Relationships Increased by 273,000; Total High-Speed Internet Customers Increased by 379,000</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Revenue per Customer Relationship Increased 0.9%; Adjusted EBITDA per Customer Relationship Increased 2.0%</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High-Speed Internet Residential Revenue Increased 8.2%; Business Services Revenue Increased 11.9%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1st Quarter 2018 Highlights:</w:t>
      </w:r>
    </w:p>
    <w:p>
      <w:pPr>
        <w:spacing w:after="0" w:line="21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NBCUniversal Revenue Increased 21.3%; Adjusted EBITDA Increased 13.1%</w:t>
      </w:r>
    </w:p>
    <w:p>
      <w:pPr>
        <w:spacing w:after="0" w:line="228" w:lineRule="exact"/>
        <w:rPr>
          <w:rFonts w:ascii="Arial" w:cs="Arial" w:eastAsia="Arial" w:hAnsi="Arial"/>
          <w:sz w:val="22"/>
          <w:szCs w:val="22"/>
          <w:color w:val="auto"/>
        </w:rPr>
      </w:pPr>
    </w:p>
    <w:p>
      <w:pPr>
        <w:ind w:left="660" w:right="240" w:hanging="328"/>
        <w:spacing w:after="0" w:line="225"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Successful Broadcasts of the 2018 PyeongChang Olympics and Super Bowl LII Generated an Incremental $1.6 Billion in Revenue at our TV Businesses</w:t>
      </w:r>
    </w:p>
    <w:p>
      <w:pPr>
        <w:spacing w:after="0" w:line="181"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 Remains Ranked #1 Among Adults 18-49</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Theme Parks Revenue Increased 14.5%; Adjusted EBITDA Increased 24.6%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25, 2018… Comcast Corporation (NASDAQ: CMCSA) today reported results for the quarter ended March 31, 2018.</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“Comcast NBCUniversal is off to a great start in 2018 with over 10% revenue growth in the first quarter. At Cable Communications, our steady increase in customer relationships continued, balanced with solid growth in EBITDA, reflecting momentum in our high-speed Internet and business services segments. NBCUniversal delivered double-digit EBITDA growth, fueled by impressive results at our Theme Parks, as well as our TV businesses’ successful broadcasts of the NFL’s Super Bowl LII and the 2018 PyeongChang Olympics. The Olympics were an incredible event that showcased our capabilities and collaboration throughout the company. NBCUniversal’s amazing presentation was the most comprehensive in Winter Games history with over 2,400 hours of coverage across broadcast, cable networks, and digital, and Cable’s best-in-class technology delivered an unparalleled viewing experience, resulting in 26% higher ratings among our X1 customers than the national average. I’m proud of our teams across Comcast NBCUniversal and believe we are well-positioned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3760" w:type="dxa"/>
            <w:vAlign w:val="bottom"/>
            <w:vMerge w:val="restart"/>
          </w:tcPr>
          <w:p>
            <w:pPr>
              <w:jc w:val="right"/>
              <w:ind w:right="2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1st Quarter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80" w:type="dxa"/>
            <w:vAlign w:val="bottom"/>
            <w:tcBorders>
              <w:bottom w:val="single" w:sz="8" w:color="auto"/>
            </w:tcBorders>
            <w:vMerge w:val="continue"/>
          </w:tcPr>
          <w:p>
            <w:pPr>
              <w:spacing w:after="0"/>
              <w:rPr>
                <w:sz w:val="15"/>
                <w:szCs w:val="15"/>
                <w:color w:val="auto"/>
              </w:rPr>
            </w:pPr>
          </w:p>
        </w:tc>
        <w:tc>
          <w:tcPr>
            <w:tcW w:w="376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7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3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$20,587</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$22,791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Comcast</w:t>
            </w:r>
          </w:p>
        </w:tc>
        <w:tc>
          <w:tcPr>
            <w:tcW w:w="3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$2,573</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$3,118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ind w:left="40"/>
              <w:spacing w:after="0" w:line="169" w:lineRule="exact"/>
              <w:rPr>
                <w:sz w:val="20"/>
                <w:szCs w:val="20"/>
                <w:color w:val="auto"/>
              </w:rPr>
            </w:pPr>
            <w:r>
              <w:rPr>
                <w:rFonts w:ascii="Arial" w:cs="Arial" w:eastAsia="Arial" w:hAnsi="Arial"/>
                <w:sz w:val="14"/>
                <w:szCs w:val="14"/>
                <w:color w:val="auto"/>
              </w:rPr>
              <w:t>Adjusted EBITDA</w:t>
            </w:r>
            <w:r>
              <w:rPr>
                <w:rFonts w:ascii="Arial" w:cs="Arial" w:eastAsia="Arial" w:hAnsi="Arial"/>
                <w:sz w:val="17"/>
                <w:szCs w:val="17"/>
                <w:color w:val="auto"/>
                <w:vertAlign w:val="superscript"/>
              </w:rPr>
              <w:t>1</w:t>
            </w:r>
          </w:p>
        </w:tc>
        <w:tc>
          <w:tcPr>
            <w:tcW w:w="3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$7,010</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$7,244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0"/>
        </w:trPr>
        <w:tc>
          <w:tcPr>
            <w:tcW w:w="5280" w:type="dxa"/>
            <w:vAlign w:val="bottom"/>
          </w:tcPr>
          <w:p>
            <w:pPr>
              <w:ind w:left="40"/>
              <w:spacing w:after="0" w:line="160" w:lineRule="exact"/>
              <w:rPr>
                <w:sz w:val="20"/>
                <w:szCs w:val="20"/>
                <w:color w:val="auto"/>
              </w:rPr>
            </w:pPr>
            <w:r>
              <w:rPr>
                <w:rFonts w:ascii="Arial" w:cs="Arial" w:eastAsia="Arial" w:hAnsi="Arial"/>
                <w:sz w:val="14"/>
                <w:szCs w:val="14"/>
                <w:color w:val="auto"/>
              </w:rPr>
              <w:t>Earnings per Share</w:t>
            </w:r>
            <w:r>
              <w:rPr>
                <w:rFonts w:ascii="Arial" w:cs="Arial" w:eastAsia="Arial" w:hAnsi="Arial"/>
                <w:sz w:val="17"/>
                <w:szCs w:val="17"/>
                <w:color w:val="auto"/>
                <w:vertAlign w:val="superscript"/>
              </w:rPr>
              <w:t>2</w:t>
            </w:r>
          </w:p>
        </w:tc>
        <w:tc>
          <w:tcPr>
            <w:tcW w:w="3760" w:type="dxa"/>
            <w:vAlign w:val="bottom"/>
          </w:tcPr>
          <w:p>
            <w:pPr>
              <w:jc w:val="right"/>
              <w:ind w:right="268"/>
              <w:spacing w:after="0" w:line="160" w:lineRule="exact"/>
              <w:rPr>
                <w:sz w:val="20"/>
                <w:szCs w:val="20"/>
                <w:color w:val="auto"/>
              </w:rPr>
            </w:pPr>
            <w:r>
              <w:rPr>
                <w:rFonts w:ascii="Arial" w:cs="Arial" w:eastAsia="Arial" w:hAnsi="Arial"/>
                <w:sz w:val="14"/>
                <w:szCs w:val="14"/>
                <w:color w:val="auto"/>
              </w:rPr>
              <w:t>$0.53</w:t>
            </w:r>
          </w:p>
        </w:tc>
        <w:tc>
          <w:tcPr>
            <w:tcW w:w="1480" w:type="dxa"/>
            <w:vAlign w:val="bottom"/>
          </w:tcPr>
          <w:p>
            <w:pPr>
              <w:jc w:val="right"/>
              <w:ind w:right="328"/>
              <w:spacing w:after="0" w:line="160" w:lineRule="exact"/>
              <w:rPr>
                <w:sz w:val="20"/>
                <w:szCs w:val="20"/>
                <w:color w:val="auto"/>
              </w:rPr>
            </w:pPr>
            <w:r>
              <w:rPr>
                <w:rFonts w:ascii="Arial" w:cs="Arial" w:eastAsia="Arial" w:hAnsi="Arial"/>
                <w:sz w:val="14"/>
                <w:szCs w:val="14"/>
                <w:color w:val="auto"/>
              </w:rPr>
              <w:t>$0.66</w:t>
            </w:r>
          </w:p>
        </w:tc>
        <w:tc>
          <w:tcPr>
            <w:tcW w:w="900" w:type="dxa"/>
            <w:vAlign w:val="bottom"/>
          </w:tcPr>
          <w:p>
            <w:pPr>
              <w:jc w:val="right"/>
              <w:spacing w:after="0" w:line="160"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6"/>
        </w:trPr>
        <w:tc>
          <w:tcPr>
            <w:tcW w:w="528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4)</w:t>
            </w:r>
          </w:p>
        </w:tc>
        <w:tc>
          <w:tcPr>
            <w:tcW w:w="3760" w:type="dxa"/>
            <w:vAlign w:val="bottom"/>
          </w:tcPr>
          <w:p>
            <w:pPr>
              <w:jc w:val="right"/>
              <w:ind w:right="268"/>
              <w:spacing w:after="0"/>
              <w:rPr>
                <w:sz w:val="20"/>
                <w:szCs w:val="20"/>
                <w:color w:val="auto"/>
              </w:rPr>
            </w:pPr>
            <w:r>
              <w:rPr>
                <w:rFonts w:ascii="Arial" w:cs="Arial" w:eastAsia="Arial" w:hAnsi="Arial"/>
                <w:sz w:val="14"/>
                <w:szCs w:val="14"/>
                <w:i w:val="1"/>
                <w:iCs w:val="1"/>
                <w:color w:val="auto"/>
              </w:rPr>
              <w:t>$0.53</w:t>
            </w:r>
          </w:p>
        </w:tc>
        <w:tc>
          <w:tcPr>
            <w:tcW w:w="1480" w:type="dxa"/>
            <w:vAlign w:val="bottom"/>
          </w:tcPr>
          <w:p>
            <w:pPr>
              <w:jc w:val="right"/>
              <w:ind w:right="328"/>
              <w:spacing w:after="0"/>
              <w:rPr>
                <w:sz w:val="20"/>
                <w:szCs w:val="20"/>
                <w:color w:val="auto"/>
              </w:rPr>
            </w:pPr>
            <w:r>
              <w:rPr>
                <w:rFonts w:ascii="Arial" w:cs="Arial" w:eastAsia="Arial" w:hAnsi="Arial"/>
                <w:sz w:val="14"/>
                <w:szCs w:val="14"/>
                <w:i w:val="1"/>
                <w:iCs w:val="1"/>
                <w:color w:val="auto"/>
              </w:rPr>
              <w:t>$0.62</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17.0%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and capital expenditures, please refer to the trending schedules on Comcast’s Investor Relations website at www.cmcsa.com.</w:t>
      </w:r>
    </w:p>
    <w:p>
      <w:pPr>
        <w:spacing w:after="0" w:line="15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first quarter of 2018 increased 10.7% to $22.8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21.2% to $3.1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3.3% to $7.2 billion.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2018 was $0.66, an increase of 24.5% compared to the first quarter of 2017. On an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EPS increased 17.0% to $0.62 (see Table 4).</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5.0% to $2.0 billion in the first quarter of 2018. Cable Communications’ capital expenditures decreased 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$1.7 billion in the first quarter of 2018, reflecting a lower level of spending on customer premise equipment, partially offset by increased investment in scalable infrastructure to increase network capacity and increased investment in line extensions. Cable capital expenditures represented 12.5% of Cable revenue in the first quarter of 2018 compared to 13.6% in last year’s first quarter. NBCUniversal’s capital expenditures of $269 million decreased 5.6%.</w:t>
      </w:r>
    </w:p>
    <w:p>
      <w:pPr>
        <w:sectPr>
          <w:pgSz w:w="11900" w:h="16887"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$5.5 billion in the first quarter of 2018.</w:t>
      </w:r>
      <w:r>
        <w:rPr>
          <w:rFonts w:ascii="Arial" w:cs="Arial" w:eastAsia="Arial" w:hAnsi="Arial"/>
          <w:sz w:val="18"/>
          <w:szCs w:val="18"/>
          <w:b w:val="1"/>
          <w:bCs w:val="1"/>
          <w:i w:val="1"/>
          <w:iCs w:val="1"/>
          <w:color w:val="auto"/>
        </w:rPr>
        <w:t xml:space="preserve"> Free Cash Flow</w:t>
      </w:r>
      <w:r>
        <w:rPr>
          <w:rFonts w:ascii="Arial" w:cs="Arial" w:eastAsia="Arial" w:hAnsi="Arial"/>
          <w:sz w:val="23"/>
          <w:szCs w:val="23"/>
          <w:b w:val="1"/>
          <w:bCs w:val="1"/>
          <w:i w:val="1"/>
          <w:iCs w:val="1"/>
          <w:color w:val="auto"/>
          <w:vertAlign w:val="superscript"/>
        </w:rPr>
        <w:t>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$3.1 billion (see Table 5).</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2018, Comcast paid dividends totaling $738 million and repurchased 38.6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$1.5 billion. As of March 31, 2018, Comcast had $5.5 billion available under its share repurchase authorization. Comcast expects to repurchase at least $5.0 billion of its Class A common stock during 2018, subject to market conditions.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3400" w:type="dxa"/>
            <w:vAlign w:val="bottom"/>
            <w:vMerge w:val="restart"/>
          </w:tcPr>
          <w:p>
            <w:pPr>
              <w:jc w:val="right"/>
              <w:ind w:right="26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1st Quarter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40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$5,706</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$5,659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3,842</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4,157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1,034</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1,543</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1,726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554</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582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371</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8"/>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400" w:type="dxa"/>
            <w:vAlign w:val="bottom"/>
          </w:tcPr>
          <w:p>
            <w:pPr>
              <w:jc w:val="right"/>
              <w:ind w:right="268"/>
              <w:spacing w:after="0"/>
              <w:rPr>
                <w:sz w:val="20"/>
                <w:szCs w:val="20"/>
                <w:color w:val="auto"/>
              </w:rPr>
            </w:pPr>
            <w:r>
              <w:rPr>
                <w:rFonts w:ascii="Arial" w:cs="Arial" w:eastAsia="Arial" w:hAnsi="Arial"/>
                <w:sz w:val="14"/>
                <w:szCs w:val="14"/>
                <w:b w:val="1"/>
                <w:bCs w:val="1"/>
                <w:color w:val="auto"/>
              </w:rPr>
              <w:t>$13,050</w:t>
            </w: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$13,518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22"/>
        </w:trPr>
        <w:tc>
          <w:tcPr>
            <w:tcW w:w="56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$5,174</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$5,415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11"/>
        </w:trPr>
        <w:tc>
          <w:tcPr>
            <w:tcW w:w="564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3400" w:type="dxa"/>
            <w:vAlign w:val="bottom"/>
          </w:tcPr>
          <w:p>
            <w:pPr>
              <w:jc w:val="right"/>
              <w:ind w:right="268"/>
              <w:spacing w:after="0"/>
              <w:rPr>
                <w:sz w:val="20"/>
                <w:szCs w:val="20"/>
                <w:color w:val="auto"/>
              </w:rPr>
            </w:pPr>
            <w:r>
              <w:rPr>
                <w:rFonts w:ascii="Arial" w:cs="Arial" w:eastAsia="Arial" w:hAnsi="Arial"/>
                <w:sz w:val="14"/>
                <w:szCs w:val="14"/>
                <w:i w:val="1"/>
                <w:iCs w:val="1"/>
                <w:color w:val="auto"/>
              </w:rPr>
              <w:t>39.6%</w:t>
            </w:r>
          </w:p>
        </w:tc>
        <w:tc>
          <w:tcPr>
            <w:tcW w:w="1500" w:type="dxa"/>
            <w:vAlign w:val="bottom"/>
          </w:tcPr>
          <w:p>
            <w:pPr>
              <w:jc w:val="right"/>
              <w:ind w:right="348"/>
              <w:spacing w:after="0"/>
              <w:rPr>
                <w:sz w:val="20"/>
                <w:szCs w:val="20"/>
                <w:color w:val="auto"/>
              </w:rPr>
            </w:pPr>
            <w:r>
              <w:rPr>
                <w:rFonts w:ascii="Arial" w:cs="Arial" w:eastAsia="Arial" w:hAnsi="Arial"/>
                <w:sz w:val="14"/>
                <w:szCs w:val="14"/>
                <w:i w:val="1"/>
                <w:iCs w:val="1"/>
                <w:color w:val="auto"/>
              </w:rPr>
              <w:t>40.1%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$1,781</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$1,688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3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i w:val="1"/>
                <w:iCs w:val="1"/>
                <w:color w:val="auto"/>
              </w:rPr>
              <w:t>13.6%</w:t>
            </w: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i w:val="1"/>
                <w:iCs w:val="1"/>
                <w:color w:val="auto"/>
              </w:rPr>
              <w:t>12.5%</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3.6% to $13.5 billion in the first quarter of 2018,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and business services revenue. High-speed Internet revenue increased 8.2%, driven by an increase in the number of residential high-speed Internet customers and rate adjustments. Business services revenue increased 11.9%, primarily due to an increase in the number of customers receiving our small and medium-sized business services offerings. Advertising revenue increased 4.9% due to 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increase in political advertising revenue and higher revenue from our advanced advertising businesses. Other revenue increased 4.5%, driven by Xfinity Home and an increase in revenue from our X1 licensing agreements. Video revenue decreased 0.8%, primarily due to a decline in the number of residential customers. Voice revenue decreased 2.7%, reflecting a decrease in the number of residential voice customers.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273,000 to 29.6 million in the first quarter of 2018. Residential customer relationships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244,000 and business customer relationships increased by 29,000. At the end of the first quarter, 69.3% of our residential customers received at least two Xfinity products. Total high-speed Internet customer net additions were 379,000, total video customer net losses were 96,000, total voice customer net losses were 54,000 and total security and automation customer net additions were 46,000.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1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52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1Q17</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1Q18</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1Q17</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1Q18</w:t>
            </w:r>
          </w:p>
        </w:tc>
      </w:tr>
      <w:tr>
        <w:trPr>
          <w:trHeight w:val="180"/>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8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Customer Relationships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26,797</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27,412</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263</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244</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2,078</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2,208</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34</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5"/>
                <w:szCs w:val="15"/>
                <w:color w:val="auto"/>
              </w:rPr>
            </w:pPr>
          </w:p>
        </w:tc>
      </w:tr>
      <w:tr>
        <w:trPr>
          <w:trHeight w:val="183"/>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28,875</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29,620</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297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w:t>
            </w:r>
          </w:p>
        </w:tc>
        <w:tc>
          <w:tcPr>
            <w:tcW w:w="20" w:type="dxa"/>
            <w:vAlign w:val="bottom"/>
          </w:tcPr>
          <w:p>
            <w:pPr>
              <w:spacing w:after="0"/>
              <w:rPr>
                <w:sz w:val="15"/>
                <w:szCs w:val="15"/>
                <w:color w:val="auto"/>
              </w:rPr>
            </w:pPr>
          </w:p>
        </w:tc>
      </w:tr>
      <w:tr>
        <w:trPr>
          <w:trHeight w:val="223"/>
        </w:trPr>
        <w:tc>
          <w:tcPr>
            <w:tcW w:w="5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Residential Customer Relationships Mix</w:t>
            </w:r>
          </w:p>
        </w:tc>
        <w:tc>
          <w:tcPr>
            <w:tcW w:w="2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5280" w:type="dxa"/>
            <w:vAlign w:val="bottom"/>
          </w:tcPr>
          <w:p>
            <w:pPr>
              <w:ind w:left="180"/>
              <w:spacing w:after="0"/>
              <w:rPr>
                <w:sz w:val="20"/>
                <w:szCs w:val="20"/>
                <w:color w:val="auto"/>
              </w:rPr>
            </w:pPr>
            <w:r>
              <w:rPr>
                <w:rFonts w:ascii="Arial" w:cs="Arial" w:eastAsia="Arial" w:hAnsi="Arial"/>
                <w:sz w:val="14"/>
                <w:szCs w:val="14"/>
                <w:color w:val="auto"/>
              </w:rPr>
              <w:t>Single Product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7,861</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8,421</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104</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225</w:t>
            </w:r>
          </w:p>
        </w:tc>
      </w:tr>
      <w:tr>
        <w:trPr>
          <w:trHeight w:val="169"/>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Double Product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8,938</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9,117</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141</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r>
      <w:tr>
        <w:trPr>
          <w:trHeight w:val="176"/>
        </w:trPr>
        <w:tc>
          <w:tcPr>
            <w:tcW w:w="5280" w:type="dxa"/>
            <w:vAlign w:val="bottom"/>
          </w:tcPr>
          <w:p>
            <w:pPr>
              <w:ind w:left="180"/>
              <w:spacing w:after="0"/>
              <w:rPr>
                <w:sz w:val="20"/>
                <w:szCs w:val="20"/>
                <w:color w:val="auto"/>
              </w:rPr>
            </w:pPr>
            <w:r>
              <w:rPr>
                <w:rFonts w:ascii="Arial" w:cs="Arial" w:eastAsia="Arial" w:hAnsi="Arial"/>
                <w:sz w:val="14"/>
                <w:szCs w:val="14"/>
                <w:color w:val="auto"/>
              </w:rPr>
              <w:t>Triple and Quad Product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9,998</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9,874</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18</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r>
      <w:tr>
        <w:trPr>
          <w:trHeight w:val="223"/>
        </w:trPr>
        <w:tc>
          <w:tcPr>
            <w:tcW w:w="528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76"/>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Video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21,520</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21,210</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32</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Video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1,030</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1,051</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10</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22,549</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22,261</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42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w:t>
            </w:r>
          </w:p>
        </w:tc>
        <w:tc>
          <w:tcPr>
            <w:tcW w:w="20" w:type="dxa"/>
            <w:vAlign w:val="bottom"/>
            <w:tcBorders>
              <w:bottom w:val="single" w:sz="8" w:color="auto"/>
            </w:tcBorders>
          </w:tcPr>
          <w:p>
            <w:pPr>
              <w:spacing w:after="0"/>
              <w:rPr>
                <w:sz w:val="15"/>
                <w:szCs w:val="15"/>
                <w:color w:val="auto"/>
              </w:rPr>
            </w:pPr>
          </w:p>
        </w:tc>
      </w:tr>
      <w:tr>
        <w:trPr>
          <w:trHeight w:val="169"/>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23,224</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24,214</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397</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351</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1,907</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2,034</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32</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5"/>
                <w:szCs w:val="15"/>
                <w:color w:val="auto"/>
              </w:rPr>
            </w:pPr>
          </w:p>
        </w:tc>
      </w:tr>
      <w:tr>
        <w:trPr>
          <w:trHeight w:val="17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25,131</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26,249</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429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w:t>
            </w:r>
          </w:p>
        </w:tc>
        <w:tc>
          <w:tcPr>
            <w:tcW w:w="20" w:type="dxa"/>
            <w:vAlign w:val="bottom"/>
            <w:tcBorders>
              <w:bottom w:val="single" w:sz="8" w:color="auto"/>
            </w:tcBorders>
          </w:tcPr>
          <w:p>
            <w:pPr>
              <w:spacing w:after="0"/>
              <w:rPr>
                <w:sz w:val="15"/>
                <w:szCs w:val="15"/>
                <w:color w:val="auto"/>
              </w:rPr>
            </w:pPr>
          </w:p>
        </w:tc>
      </w:tr>
      <w:tr>
        <w:trPr>
          <w:trHeight w:val="169"/>
        </w:trPr>
        <w:tc>
          <w:tcPr>
            <w:tcW w:w="5280" w:type="dxa"/>
            <w:vAlign w:val="bottom"/>
          </w:tcPr>
          <w:p>
            <w:pPr>
              <w:ind w:left="180"/>
              <w:spacing w:after="0"/>
              <w:rPr>
                <w:sz w:val="20"/>
                <w:szCs w:val="20"/>
                <w:color w:val="auto"/>
              </w:rPr>
            </w:pPr>
            <w:r>
              <w:rPr>
                <w:rFonts w:ascii="Arial" w:cs="Arial" w:eastAsia="Arial" w:hAnsi="Arial"/>
                <w:sz w:val="14"/>
                <w:szCs w:val="14"/>
                <w:color w:val="auto"/>
              </w:rPr>
              <w:t>Residential Voice Customers</w:t>
            </w:r>
          </w:p>
        </w:tc>
        <w:tc>
          <w:tcPr>
            <w:tcW w:w="2880" w:type="dxa"/>
            <w:vAlign w:val="bottom"/>
          </w:tcPr>
          <w:p>
            <w:pPr>
              <w:jc w:val="right"/>
              <w:ind w:right="508"/>
              <w:spacing w:after="0"/>
              <w:rPr>
                <w:sz w:val="20"/>
                <w:szCs w:val="20"/>
                <w:color w:val="auto"/>
              </w:rPr>
            </w:pPr>
            <w:r>
              <w:rPr>
                <w:rFonts w:ascii="Arial" w:cs="Arial" w:eastAsia="Arial" w:hAnsi="Arial"/>
                <w:sz w:val="14"/>
                <w:szCs w:val="14"/>
                <w:color w:val="auto"/>
              </w:rPr>
              <w:t>10,520</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10,245</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(27)</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r>
      <w:tr>
        <w:trPr>
          <w:trHeight w:val="176"/>
        </w:trPr>
        <w:tc>
          <w:tcPr>
            <w:tcW w:w="52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Business Services Voice Customers</w:t>
            </w:r>
          </w:p>
        </w:tc>
        <w:tc>
          <w:tcPr>
            <w:tcW w:w="28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1,162</w:t>
            </w:r>
          </w:p>
        </w:tc>
        <w:tc>
          <w:tcPr>
            <w:tcW w:w="11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1,253</w:t>
            </w: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22</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r>
      <w:tr>
        <w:trPr>
          <w:trHeight w:val="183"/>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11,681</w:t>
            </w:r>
          </w:p>
        </w:tc>
        <w:tc>
          <w:tcPr>
            <w:tcW w:w="11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11,498</w:t>
            </w: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20" w:type="dxa"/>
            <w:vAlign w:val="bottom"/>
          </w:tcPr>
          <w:p>
            <w:pPr>
              <w:spacing w:after="0"/>
              <w:rPr>
                <w:sz w:val="15"/>
                <w:szCs w:val="15"/>
                <w:color w:val="auto"/>
              </w:rPr>
            </w:pPr>
          </w:p>
        </w:tc>
      </w:tr>
      <w:tr>
        <w:trPr>
          <w:trHeight w:val="190"/>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2880" w:type="dxa"/>
            <w:vAlign w:val="bottom"/>
          </w:tcPr>
          <w:p>
            <w:pPr>
              <w:jc w:val="right"/>
              <w:ind w:right="508"/>
              <w:spacing w:after="0"/>
              <w:rPr>
                <w:sz w:val="20"/>
                <w:szCs w:val="20"/>
                <w:color w:val="auto"/>
              </w:rPr>
            </w:pPr>
            <w:r>
              <w:rPr>
                <w:rFonts w:ascii="Arial" w:cs="Arial" w:eastAsia="Arial" w:hAnsi="Arial"/>
                <w:sz w:val="14"/>
                <w:szCs w:val="14"/>
                <w:b w:val="1"/>
                <w:bCs w:val="1"/>
                <w:color w:val="auto"/>
              </w:rPr>
              <w:t>957</w:t>
            </w:r>
          </w:p>
        </w:tc>
        <w:tc>
          <w:tcPr>
            <w:tcW w:w="1160" w:type="dxa"/>
            <w:vAlign w:val="bottom"/>
          </w:tcPr>
          <w:p>
            <w:pPr>
              <w:jc w:val="right"/>
              <w:ind w:right="628"/>
              <w:spacing w:after="0"/>
              <w:rPr>
                <w:sz w:val="20"/>
                <w:szCs w:val="20"/>
                <w:color w:val="auto"/>
              </w:rPr>
            </w:pPr>
            <w:r>
              <w:rPr>
                <w:rFonts w:ascii="Arial" w:cs="Arial" w:eastAsia="Arial" w:hAnsi="Arial"/>
                <w:sz w:val="14"/>
                <w:szCs w:val="14"/>
                <w:b w:val="1"/>
                <w:bCs w:val="1"/>
                <w:color w:val="auto"/>
              </w:rPr>
              <w:t>1,176</w:t>
            </w:r>
          </w:p>
        </w:tc>
        <w:tc>
          <w:tcPr>
            <w:tcW w:w="1740" w:type="dxa"/>
            <w:vAlign w:val="bottom"/>
          </w:tcPr>
          <w:p>
            <w:pPr>
              <w:jc w:val="right"/>
              <w:ind w:right="588"/>
              <w:spacing w:after="0"/>
              <w:rPr>
                <w:sz w:val="20"/>
                <w:szCs w:val="20"/>
                <w:color w:val="auto"/>
              </w:rPr>
            </w:pPr>
            <w:r>
              <w:rPr>
                <w:rFonts w:ascii="Arial" w:cs="Arial" w:eastAsia="Arial" w:hAnsi="Arial"/>
                <w:sz w:val="14"/>
                <w:szCs w:val="14"/>
                <w:b w:val="1"/>
                <w:bCs w:val="1"/>
                <w:color w:val="auto"/>
              </w:rPr>
              <w:t>66</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20" w:type="dxa"/>
            <w:vAlign w:val="bottom"/>
          </w:tcPr>
          <w:p>
            <w:pPr>
              <w:spacing w:after="0"/>
              <w:rPr>
                <w:sz w:val="16"/>
                <w:szCs w:val="16"/>
                <w:color w:val="auto"/>
              </w:rPr>
            </w:pPr>
          </w:p>
        </w:tc>
      </w:tr>
    </w:tbl>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4.7% to $5.4 billion in the first quarter of 2018,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2.9% increase in operating expenses. Video programming costs increased 3.0%, primarily reflecting higher retransmission consent fees and sports programming costs. Non-programming expenses increased 2.8%, primarily reflecting increases in technical and product support expenses, advertising, marketing and promotion costs and other operating costs, partially offset by a decline in customer service expenses. This quarter’s Adjusted EBITDA margin was 40.1%, compared to 39.6% in the first quarter of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0" w:gutter="0" w:footer="0" w:header="0"/>
        </w:sectPr>
      </w:pPr>
    </w:p>
    <w:bookmarkStart w:id="4" w:name="page5"/>
    <w:bookmarkEnd w:id="4"/>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4"/>
                <w:szCs w:val="14"/>
                <w:color w:val="auto"/>
              </w:rPr>
            </w:pPr>
          </w:p>
        </w:tc>
        <w:tc>
          <w:tcPr>
            <w:tcW w:w="3220" w:type="dxa"/>
            <w:vAlign w:val="bottom"/>
            <w:vMerge w:val="restart"/>
          </w:tcPr>
          <w:p>
            <w:pPr>
              <w:jc w:val="right"/>
              <w:ind w:right="24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21"/>
                <w:szCs w:val="21"/>
                <w:color w:val="auto"/>
                <w:vertAlign w:val="superscript"/>
              </w:rPr>
              <w:t>3</w:t>
            </w: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1st Quarter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2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89"/>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3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8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3220" w:type="dxa"/>
            <w:vAlign w:val="bottom"/>
          </w:tcPr>
          <w:p>
            <w:pPr>
              <w:jc w:val="right"/>
              <w:ind w:right="248"/>
              <w:spacing w:after="0"/>
              <w:rPr>
                <w:sz w:val="20"/>
                <w:szCs w:val="20"/>
                <w:color w:val="auto"/>
              </w:rPr>
            </w:pPr>
            <w:r>
              <w:rPr>
                <w:rFonts w:ascii="Arial" w:cs="Arial" w:eastAsia="Arial" w:hAnsi="Arial"/>
                <w:sz w:val="14"/>
                <w:szCs w:val="14"/>
                <w:color w:val="auto"/>
              </w:rPr>
              <w:t>$2,640</w:t>
            </w: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$3,194</w:t>
            </w:r>
          </w:p>
        </w:tc>
        <w:tc>
          <w:tcPr>
            <w:tcW w:w="9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8"/>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2,640</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i w:val="1"/>
                <w:iCs w:val="1"/>
                <w:color w:val="auto"/>
              </w:rPr>
              <w:t>2,816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6.6%</w:t>
            </w:r>
          </w:p>
        </w:tc>
        <w:tc>
          <w:tcPr>
            <w:tcW w:w="0" w:type="dxa"/>
            <w:vAlign w:val="bottom"/>
          </w:tcPr>
          <w:p>
            <w:pPr>
              <w:spacing w:after="0"/>
              <w:rPr>
                <w:sz w:val="1"/>
                <w:szCs w:val="1"/>
                <w:color w:val="auto"/>
              </w:rPr>
            </w:pPr>
          </w:p>
        </w:tc>
      </w:tr>
      <w:tr>
        <w:trPr>
          <w:trHeight w:val="184"/>
        </w:trPr>
        <w:tc>
          <w:tcPr>
            <w:tcW w:w="568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3220" w:type="dxa"/>
            <w:vAlign w:val="bottom"/>
          </w:tcPr>
          <w:p>
            <w:pPr>
              <w:jc w:val="right"/>
              <w:ind w:right="248"/>
              <w:spacing w:after="0"/>
              <w:rPr>
                <w:sz w:val="20"/>
                <w:szCs w:val="20"/>
                <w:color w:val="auto"/>
              </w:rPr>
            </w:pPr>
            <w:r>
              <w:rPr>
                <w:rFonts w:ascii="Arial" w:cs="Arial" w:eastAsia="Arial" w:hAnsi="Arial"/>
                <w:sz w:val="14"/>
                <w:szCs w:val="14"/>
                <w:color w:val="auto"/>
              </w:rPr>
              <w:t>2,208</w:t>
            </w: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3,497</w:t>
            </w:r>
          </w:p>
        </w:tc>
        <w:tc>
          <w:tcPr>
            <w:tcW w:w="98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88"/>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2,208</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i w:val="1"/>
                <w:iCs w:val="1"/>
                <w:color w:val="auto"/>
              </w:rPr>
              <w:t>2,304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4.3%</w:t>
            </w:r>
          </w:p>
        </w:tc>
        <w:tc>
          <w:tcPr>
            <w:tcW w:w="0" w:type="dxa"/>
            <w:vAlign w:val="bottom"/>
          </w:tcPr>
          <w:p>
            <w:pPr>
              <w:spacing w:after="0"/>
              <w:rPr>
                <w:sz w:val="1"/>
                <w:szCs w:val="1"/>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1,967</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1,647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1,118</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1,281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(80)</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3220" w:type="dxa"/>
            <w:vAlign w:val="bottom"/>
          </w:tcPr>
          <w:p>
            <w:pPr>
              <w:jc w:val="right"/>
              <w:ind w:right="248"/>
              <w:spacing w:after="0"/>
              <w:rPr>
                <w:sz w:val="20"/>
                <w:szCs w:val="20"/>
                <w:color w:val="auto"/>
              </w:rPr>
            </w:pPr>
            <w:r>
              <w:rPr>
                <w:rFonts w:ascii="Arial" w:cs="Arial" w:eastAsia="Arial" w:hAnsi="Arial"/>
                <w:sz w:val="14"/>
                <w:szCs w:val="14"/>
                <w:b w:val="1"/>
                <w:bCs w:val="1"/>
                <w:color w:val="auto"/>
              </w:rPr>
              <w:t>$7,853</w:t>
            </w:r>
          </w:p>
        </w:tc>
        <w:tc>
          <w:tcPr>
            <w:tcW w:w="1540" w:type="dxa"/>
            <w:vAlign w:val="bottom"/>
          </w:tcPr>
          <w:p>
            <w:pPr>
              <w:jc w:val="right"/>
              <w:ind w:right="428"/>
              <w:spacing w:after="0"/>
              <w:rPr>
                <w:sz w:val="20"/>
                <w:szCs w:val="20"/>
                <w:color w:val="auto"/>
              </w:rPr>
            </w:pPr>
            <w:r>
              <w:rPr>
                <w:rFonts w:ascii="Arial" w:cs="Arial" w:eastAsia="Arial" w:hAnsi="Arial"/>
                <w:sz w:val="14"/>
                <w:szCs w:val="14"/>
                <w:b w:val="1"/>
                <w:bCs w:val="1"/>
                <w:color w:val="auto"/>
              </w:rPr>
              <w:t>$9,530</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195"/>
        </w:trPr>
        <w:tc>
          <w:tcPr>
            <w:tcW w:w="56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3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$1,115</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$1,268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322</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507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371</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397</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3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(186)</w:t>
            </w:r>
          </w:p>
        </w:tc>
        <w:tc>
          <w:tcPr>
            <w:tcW w:w="15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(188)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32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540" w:type="dxa"/>
            <w:vAlign w:val="bottom"/>
          </w:tcPr>
          <w:p>
            <w:pPr>
              <w:jc w:val="right"/>
              <w:ind w:right="428"/>
              <w:spacing w:after="0"/>
              <w:rPr>
                <w:sz w:val="20"/>
                <w:szCs w:val="20"/>
                <w:color w:val="auto"/>
              </w:rPr>
            </w:pPr>
            <w:r>
              <w:rPr>
                <w:rFonts w:ascii="Arial" w:cs="Arial" w:eastAsia="Arial" w:hAnsi="Arial"/>
                <w:sz w:val="14"/>
                <w:szCs w:val="14"/>
                <w:b w:val="1"/>
                <w:bCs w:val="1"/>
                <w:color w:val="auto"/>
              </w:rPr>
              <w:t>$2,285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203"/>
        </w:trPr>
        <w:tc>
          <w:tcPr>
            <w:tcW w:w="568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3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21.3% to $ 9.5 billion in the first quarter of 2018, primarily driven by the broadcasts of the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PyeongChang Olympics and the NFL’s Super Bowl which generated an incremental $1.6 billion of revenue at our TV businesses. </w:t>
      </w:r>
      <w:r>
        <w:rPr>
          <w:rFonts w:ascii="Arial" w:cs="Arial" w:eastAsia="Arial" w:hAnsi="Arial"/>
          <w:sz w:val="18"/>
          <w:szCs w:val="18"/>
          <w:b w:val="1"/>
          <w:bCs w:val="1"/>
          <w:i w:val="1"/>
          <w:iCs w:val="1"/>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increased 13.1% to $2.3 billion, reflecting increases at Broadcast, Cable Networks and Theme Parks, partially offset by a decline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Filmed Entertainment.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increased 21.0% to $3.2 billion in the first quarter of 2018, primarily reflecting higher distribution and advertising revenue. Distribution revenue increased 20.8%, driven by the broadcast of the 2018 PyeongChang Olympics, as well as contractual rate increases and the timing of contract renewals, partially offset by a decline in subscribers at our cable networks. Advertising revenue increased 19.6%, primarily due to the broadcast of the 2018 PyeongChang Olympics. Excluding $378 million of revenue generated by the broadcast of the 2018 PyeongChang Olympics, Cable Networks revenue increased 6.6% (see Table 6). Adjusted EBITDA increased 13.7% to $1.3 billion in the first quarter of 2018, reflecting higher revenue, partially offset by an increase in programming and production costs associated with the broadcast of the 2018 PyeongChang Olympics.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Broadcast Television revenue increased 58.3% to $3.5 billion in the first quarter of 2018, reflecting higher advertising and distribution and other revenue. Advertising revenue increased 84.9%, primarily driven by the broadcasts of the 2018 PyeongChang Olympics and the NFL’s Super Bowl. Distribution and other revenue increased 42.9%, due to the broadcast of the 2018 PyeongChang Olympics, as well as higher retransmission consent fees. Excluding $770 million of revenue generated by the broadcast of the 2018 PyeongChang Olympics and $423 million of revenue generated by the broadcast of the NFL’s Super Bowl, Broadcast Television revenue increased 4.3% (see Table 6). Adjusted EBITDA increased 57.5% to $507 million in the first quarter of 2018, reflecting higher revenue, partially offset by increased programming and production costs primarily associated with the broadcasts of the 2018 PyeongChang Olympics and the NFL’s Super Bowl.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Filmed Entertainment revenue decreased 16.3% to $1.6 billion in the first quarter of 2018, primarily reflecting lower theatrical revenue. Theatrical revenue decreased 35.0% due to the higher number of films in last year’s first quarter, including </w:t>
      </w:r>
      <w:r>
        <w:rPr>
          <w:rFonts w:ascii="Arial" w:cs="Arial" w:eastAsia="Arial" w:hAnsi="Arial"/>
          <w:sz w:val="18"/>
          <w:szCs w:val="18"/>
          <w:i w:val="1"/>
          <w:iCs w:val="1"/>
          <w:color w:val="auto"/>
        </w:rPr>
        <w:t>Fifty Shades Darker</w:t>
      </w:r>
      <w:r>
        <w:rPr>
          <w:rFonts w:ascii="Arial" w:cs="Arial" w:eastAsia="Arial" w:hAnsi="Arial"/>
          <w:sz w:val="18"/>
          <w:szCs w:val="18"/>
          <w:color w:val="auto"/>
        </w:rPr>
        <w:t xml:space="preserve">, </w:t>
      </w:r>
      <w:r>
        <w:rPr>
          <w:rFonts w:ascii="Arial" w:cs="Arial" w:eastAsia="Arial" w:hAnsi="Arial"/>
          <w:sz w:val="18"/>
          <w:szCs w:val="18"/>
          <w:i w:val="1"/>
          <w:iCs w:val="1"/>
          <w:color w:val="auto"/>
        </w:rPr>
        <w:t>Sing</w:t>
      </w:r>
      <w:r>
        <w:rPr>
          <w:rFonts w:ascii="Arial" w:cs="Arial" w:eastAsia="Arial" w:hAnsi="Arial"/>
          <w:sz w:val="18"/>
          <w:szCs w:val="18"/>
          <w:color w:val="auto"/>
        </w:rPr>
        <w:t xml:space="preserve">, </w:t>
      </w:r>
      <w:r>
        <w:rPr>
          <w:rFonts w:ascii="Arial" w:cs="Arial" w:eastAsia="Arial" w:hAnsi="Arial"/>
          <w:sz w:val="18"/>
          <w:szCs w:val="18"/>
          <w:i w:val="1"/>
          <w:iCs w:val="1"/>
          <w:color w:val="auto"/>
        </w:rPr>
        <w:t>Split</w:t>
      </w:r>
      <w:r>
        <w:rPr>
          <w:rFonts w:ascii="Arial" w:cs="Arial" w:eastAsia="Arial" w:hAnsi="Arial"/>
          <w:sz w:val="18"/>
          <w:szCs w:val="18"/>
          <w:color w:val="auto"/>
        </w:rPr>
        <w:t xml:space="preserve"> and </w:t>
      </w:r>
      <w:r>
        <w:rPr>
          <w:rFonts w:ascii="Arial" w:cs="Arial" w:eastAsia="Arial" w:hAnsi="Arial"/>
          <w:sz w:val="18"/>
          <w:szCs w:val="18"/>
          <w:i w:val="1"/>
          <w:iCs w:val="1"/>
          <w:color w:val="auto"/>
        </w:rPr>
        <w:t>Get Out</w:t>
      </w:r>
      <w:r>
        <w:rPr>
          <w:rFonts w:ascii="Arial" w:cs="Arial" w:eastAsia="Arial" w:hAnsi="Arial"/>
          <w:sz w:val="18"/>
          <w:szCs w:val="18"/>
          <w:color w:val="auto"/>
        </w:rPr>
        <w:t>, partially offset by the performances of</w:t>
      </w:r>
      <w:r>
        <w:rPr>
          <w:rFonts w:ascii="Arial" w:cs="Arial" w:eastAsia="Arial" w:hAnsi="Arial"/>
          <w:sz w:val="18"/>
          <w:szCs w:val="18"/>
          <w:i w:val="1"/>
          <w:iCs w:val="1"/>
          <w:color w:val="auto"/>
        </w:rPr>
        <w:t xml:space="preserve"> Fifty Shades Freed</w:t>
      </w:r>
      <w:r>
        <w:rPr>
          <w:rFonts w:ascii="Arial" w:cs="Arial" w:eastAsia="Arial" w:hAnsi="Arial"/>
          <w:sz w:val="18"/>
          <w:szCs w:val="18"/>
          <w:color w:val="auto"/>
        </w:rPr>
        <w:t>,</w:t>
      </w:r>
      <w:r>
        <w:rPr>
          <w:rFonts w:ascii="Arial" w:cs="Arial" w:eastAsia="Arial" w:hAnsi="Arial"/>
          <w:sz w:val="18"/>
          <w:szCs w:val="18"/>
          <w:i w:val="1"/>
          <w:iCs w:val="1"/>
          <w:color w:val="auto"/>
        </w:rPr>
        <w:t xml:space="preserve"> Pacific Rim Uprising</w:t>
      </w:r>
      <w:r>
        <w:rPr>
          <w:rFonts w:ascii="Arial" w:cs="Arial" w:eastAsia="Arial" w:hAnsi="Arial"/>
          <w:sz w:val="18"/>
          <w:szCs w:val="18"/>
          <w:color w:val="auto"/>
        </w:rPr>
        <w:t>,</w:t>
      </w:r>
      <w:r>
        <w:rPr>
          <w:rFonts w:ascii="Arial" w:cs="Arial" w:eastAsia="Arial" w:hAnsi="Arial"/>
          <w:sz w:val="18"/>
          <w:szCs w:val="18"/>
          <w:i w:val="1"/>
          <w:iCs w:val="1"/>
          <w:color w:val="auto"/>
        </w:rPr>
        <w:t xml:space="preserve"> Darkest Hour </w:t>
      </w:r>
      <w:r>
        <w:rPr>
          <w:rFonts w:ascii="Arial" w:cs="Arial" w:eastAsia="Arial" w:hAnsi="Arial"/>
          <w:sz w:val="18"/>
          <w:szCs w:val="18"/>
          <w:color w:val="auto"/>
        </w:rPr>
        <w:t>and</w:t>
      </w:r>
      <w:r>
        <w:rPr>
          <w:rFonts w:ascii="Arial" w:cs="Arial" w:eastAsia="Arial" w:hAnsi="Arial"/>
          <w:sz w:val="18"/>
          <w:szCs w:val="18"/>
          <w:i w:val="1"/>
          <w:iCs w:val="1"/>
          <w:color w:val="auto"/>
        </w:rPr>
        <w:t xml:space="preserve"> Pitch Perfect 3 </w:t>
      </w:r>
      <w:r>
        <w:rPr>
          <w:rFonts w:ascii="Arial" w:cs="Arial" w:eastAsia="Arial" w:hAnsi="Arial"/>
          <w:sz w:val="18"/>
          <w:szCs w:val="18"/>
          <w:color w:val="auto"/>
        </w:rPr>
        <w:t>in this year’s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Adjusted EBITDA decreased by 45.2% to $203 million in the first quarter of 2018, reflecting the decline in revenue, partially offset by lower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Theme Parks revenue increased 14.5% to $1.3 billion in the first quarter of 2018 due to higher per capita spending, which benefited from the timing of spring holidays, as well as the continued success of </w:t>
      </w:r>
      <w:r>
        <w:rPr>
          <w:rFonts w:ascii="Arial" w:cs="Arial" w:eastAsia="Arial" w:hAnsi="Arial"/>
          <w:sz w:val="18"/>
          <w:szCs w:val="18"/>
          <w:i w:val="1"/>
          <w:iCs w:val="1"/>
          <w:color w:val="auto"/>
        </w:rPr>
        <w:t>Volcano Bay</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Orlando, </w:t>
      </w:r>
      <w:r>
        <w:rPr>
          <w:rFonts w:ascii="Arial" w:cs="Arial" w:eastAsia="Arial" w:hAnsi="Arial"/>
          <w:sz w:val="18"/>
          <w:szCs w:val="18"/>
          <w:i w:val="1"/>
          <w:iCs w:val="1"/>
          <w:color w:val="auto"/>
        </w:rPr>
        <w:t>Minion Park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Japan and </w:t>
      </w:r>
      <w:r>
        <w:rPr>
          <w:rFonts w:ascii="Arial" w:cs="Arial" w:eastAsia="Arial" w:hAnsi="Arial"/>
          <w:sz w:val="18"/>
          <w:szCs w:val="18"/>
          <w:i w:val="1"/>
          <w:iCs w:val="1"/>
          <w:color w:val="auto"/>
        </w:rPr>
        <w:t>The Wizarding World of</w:t>
      </w:r>
      <w:r>
        <w:rPr>
          <w:rFonts w:ascii="Arial" w:cs="Arial" w:eastAsia="Arial" w:hAnsi="Arial"/>
          <w:sz w:val="18"/>
          <w:szCs w:val="18"/>
          <w:color w:val="auto"/>
        </w:rPr>
        <w:t xml:space="preserve"> </w:t>
      </w:r>
      <w:r>
        <w:rPr>
          <w:rFonts w:ascii="Arial" w:cs="Arial" w:eastAsia="Arial" w:hAnsi="Arial"/>
          <w:sz w:val="18"/>
          <w:szCs w:val="18"/>
          <w:i w:val="1"/>
          <w:iCs w:val="1"/>
          <w:color w:val="auto"/>
        </w:rPr>
        <w:t>Harry Potter</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 Hollywood. Adjusted EBITDA increased 24.6% to $495 million in the first quarter of 2018, reflecting higher revenue,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an increase in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2018, NBCUniversal Headquarters, Other and Eliminations Adjusted EBITDA loss was $188 million, compared to a loss of $186 million in the first quarter of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our new wireless initiative, Xfinity Mobile, and Comcast Spectacor, as well as eliminations among Comcast’s businesses. For the quarter ended March 31, 2018, the Corporate, Other and Eliminations Adjusted EBITDA loss was $456 million, which includes a loss of $189 million from Xfinity Mobile and an increase in eliminations associated with the 2018 PyeongChang Olympics, compared to a loss of $183 million in the first quarter of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left="200" w:hanging="192"/>
        <w:spacing w:after="0" w:line="237" w:lineRule="auto"/>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Comcast Corporation before net income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ectPr>
          <w:pgSz w:w="11900" w:h="16880" w:orient="portrait"/>
          <w:cols w:equalWidth="0" w:num="1">
            <w:col w:w="11420"/>
          </w:cols>
          <w:pgMar w:left="240" w:top="144"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98" w:lineRule="exact"/>
        <w:rPr>
          <w:sz w:val="20"/>
          <w:szCs w:val="20"/>
          <w:color w:val="auto"/>
        </w:rPr>
      </w:pPr>
    </w:p>
    <w:p>
      <w:pPr>
        <w:jc w:val="both"/>
        <w:ind w:left="200" w:hanging="192"/>
        <w:spacing w:after="0" w:line="236"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January 1, 2018, we adopted the new accounting standard related to revenue recognition. In connection with the adoption, we implemented changes in classification for our Cable Communications segment’s Video, High-Speed Internet, Voice, Business Services and Other revenues and costs and expenses. In addition, the new guidance impacted the timing of recognition for Cable Communications installation revenue and commissions expense, and Cable Networks, Broadcast Television and Filmed Entertainment content licensing renewals and extensions. These changes affected Operating Income and Adjusted EBITDA for Comcast Consolidated and the Cable Communications, Cable Networks, Broadcast Television and Filmed Entertainment segments. The adoption did not impact Consolidated Free Cash Flow; however, Cash Paid for Capitalized Software and Other Intangible Assets, and Changes in Operating Assets and Liabilities were affected. We adopted the guidance using the full retrospective method and all periods presented have been adjusted. To be consistent with our current management reporting presentation, certain 2017 operating results were reclassified within the Cable Communications segment.</w:t>
      </w:r>
    </w:p>
    <w:p>
      <w:pPr>
        <w:spacing w:after="0" w:line="193" w:lineRule="exact"/>
        <w:rPr>
          <w:sz w:val="20"/>
          <w:szCs w:val="20"/>
          <w:color w:val="auto"/>
        </w:rPr>
      </w:pPr>
    </w:p>
    <w:p>
      <w:pPr>
        <w:jc w:val="both"/>
        <w:ind w:left="200" w:hanging="192"/>
        <w:spacing w:after="0" w:line="238" w:lineRule="auto"/>
        <w:tabs>
          <w:tab w:leader="none" w:pos="254"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Consistent with our previous definition, cash payments for acquisitions and construction of real estate properties are presented separately in 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 See Table 5 for reconciliation of non-GAAP financial measures.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25, 2018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2589896. A replay of the call will be available starting at 12:00 p.m. ET on April 25, 2018, on the Investor Relations website or by telephone. To access the telephone replay, which will be available until Wednesday, May 2, 2018 at midnight ET, please dial (855) 859-2056 and enter the conference ID number 2589896.</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Comcast Corporation’s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to access a copy of this press release.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680" w:type="dxa"/>
            <w:vAlign w:val="bottom"/>
          </w:tcPr>
          <w:p>
            <w:pPr>
              <w:jc w:val="right"/>
              <w:ind w:right="2419"/>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386"/>
        </w:trPr>
        <w:tc>
          <w:tcPr>
            <w:tcW w:w="202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68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1640" w:type="dxa"/>
            <w:vAlign w:val="bottom"/>
          </w:tcPr>
          <w:p>
            <w:pPr>
              <w:spacing w:after="0"/>
              <w:rPr>
                <w:sz w:val="24"/>
                <w:szCs w:val="24"/>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Jason Armstrong</w:t>
            </w:r>
          </w:p>
        </w:tc>
        <w:tc>
          <w:tcPr>
            <w:tcW w:w="2640" w:type="dxa"/>
            <w:vAlign w:val="bottom"/>
          </w:tcPr>
          <w:p>
            <w:pPr>
              <w:jc w:val="right"/>
              <w:ind w:right="859"/>
              <w:spacing w:after="0"/>
              <w:rPr>
                <w:sz w:val="20"/>
                <w:szCs w:val="20"/>
                <w:color w:val="auto"/>
              </w:rPr>
            </w:pPr>
            <w:r>
              <w:rPr>
                <w:rFonts w:ascii="Arial" w:cs="Arial" w:eastAsia="Arial" w:hAnsi="Arial"/>
                <w:sz w:val="16"/>
                <w:szCs w:val="16"/>
                <w:color w:val="auto"/>
              </w:rPr>
              <w:t>(215) 286-7972</w:t>
            </w:r>
          </w:p>
        </w:tc>
        <w:tc>
          <w:tcPr>
            <w:tcW w:w="3680" w:type="dxa"/>
            <w:vAlign w:val="bottom"/>
          </w:tcPr>
          <w:p>
            <w:pPr>
              <w:ind w:left="1920"/>
              <w:spacing w:after="0"/>
              <w:rPr>
                <w:sz w:val="20"/>
                <w:szCs w:val="20"/>
                <w:color w:val="auto"/>
              </w:rPr>
            </w:pPr>
            <w:r>
              <w:rPr>
                <w:rFonts w:ascii="Arial" w:cs="Arial" w:eastAsia="Arial" w:hAnsi="Arial"/>
                <w:sz w:val="16"/>
                <w:szCs w:val="16"/>
                <w:color w:val="auto"/>
              </w:rPr>
              <w:t>D’Arcy Rudnay</w:t>
            </w:r>
          </w:p>
        </w:tc>
        <w:tc>
          <w:tcPr>
            <w:tcW w:w="16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2020" w:type="dxa"/>
            <w:vAlign w:val="bottom"/>
          </w:tcPr>
          <w:p>
            <w:pPr>
              <w:spacing w:after="0"/>
              <w:rPr>
                <w:sz w:val="20"/>
                <w:szCs w:val="20"/>
                <w:color w:val="auto"/>
              </w:rPr>
            </w:pPr>
            <w:r>
              <w:rPr>
                <w:rFonts w:ascii="Arial" w:cs="Arial" w:eastAsia="Arial" w:hAnsi="Arial"/>
                <w:sz w:val="16"/>
                <w:szCs w:val="16"/>
                <w:color w:val="auto"/>
              </w:rPr>
              <w:t>Jane Kearns</w:t>
            </w:r>
          </w:p>
        </w:tc>
        <w:tc>
          <w:tcPr>
            <w:tcW w:w="2640" w:type="dxa"/>
            <w:vAlign w:val="bottom"/>
          </w:tcPr>
          <w:p>
            <w:pPr>
              <w:jc w:val="right"/>
              <w:ind w:right="859"/>
              <w:spacing w:after="0"/>
              <w:rPr>
                <w:sz w:val="20"/>
                <w:szCs w:val="20"/>
                <w:color w:val="auto"/>
              </w:rPr>
            </w:pPr>
            <w:r>
              <w:rPr>
                <w:rFonts w:ascii="Arial" w:cs="Arial" w:eastAsia="Arial" w:hAnsi="Arial"/>
                <w:sz w:val="16"/>
                <w:szCs w:val="16"/>
                <w:color w:val="auto"/>
              </w:rPr>
              <w:t>(215) 286-4794</w:t>
            </w:r>
          </w:p>
        </w:tc>
        <w:tc>
          <w:tcPr>
            <w:tcW w:w="3680" w:type="dxa"/>
            <w:vAlign w:val="bottom"/>
          </w:tcPr>
          <w:p>
            <w:pPr>
              <w:ind w:left="1920"/>
              <w:spacing w:after="0"/>
              <w:rPr>
                <w:sz w:val="20"/>
                <w:szCs w:val="20"/>
                <w:color w:val="auto"/>
              </w:rPr>
            </w:pPr>
            <w:r>
              <w:rPr>
                <w:rFonts w:ascii="Arial" w:cs="Arial" w:eastAsia="Arial" w:hAnsi="Arial"/>
                <w:sz w:val="16"/>
                <w:szCs w:val="16"/>
                <w:color w:val="auto"/>
              </w:rPr>
              <w:t>John Demming</w:t>
            </w:r>
          </w:p>
        </w:tc>
        <w:tc>
          <w:tcPr>
            <w:tcW w:w="16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-162560</wp:posOffset>
            </wp:positionV>
            <wp:extent cx="1029335" cy="438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43878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ectPr>
          <w:pgSz w:w="11900" w:h="16838" w:orient="portrait"/>
          <w:cols w:equalWidth="0" w:num="1">
            <w:col w:w="11420"/>
          </w:cols>
          <w:pgMar w:left="240" w:top="34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5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70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rPr>
              <w:t>March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4"/>
        </w:trPr>
        <w:tc>
          <w:tcPr>
            <w:tcW w:w="89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120" w:type="dxa"/>
            <w:vAlign w:val="bottom"/>
          </w:tcPr>
          <w:p>
            <w:pPr>
              <w:jc w:val="right"/>
              <w:spacing w:after="0"/>
              <w:rPr>
                <w:sz w:val="20"/>
                <w:szCs w:val="20"/>
                <w:color w:val="auto"/>
              </w:rPr>
            </w:pPr>
            <w:r>
              <w:rPr>
                <w:rFonts w:ascii="Arial" w:cs="Arial" w:eastAsia="Arial" w:hAnsi="Arial"/>
                <w:sz w:val="16"/>
                <w:szCs w:val="16"/>
                <w:color w:val="auto"/>
              </w:rPr>
              <w:t>$20,587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$22,791</w:t>
            </w:r>
          </w:p>
        </w:tc>
        <w:tc>
          <w:tcPr>
            <w:tcW w:w="0" w:type="dxa"/>
            <w:vAlign w:val="bottom"/>
          </w:tcPr>
          <w:p>
            <w:pPr>
              <w:spacing w:after="0"/>
              <w:rPr>
                <w:sz w:val="1"/>
                <w:szCs w:val="1"/>
                <w:color w:val="auto"/>
              </w:rPr>
            </w:pPr>
          </w:p>
        </w:tc>
      </w:tr>
      <w:tr>
        <w:trPr>
          <w:trHeight w:val="441"/>
        </w:trPr>
        <w:tc>
          <w:tcPr>
            <w:tcW w:w="8900" w:type="dxa"/>
            <w:vAlign w:val="bottom"/>
          </w:tcPr>
          <w:p>
            <w:pPr>
              <w:ind w:left="420"/>
              <w:spacing w:after="0"/>
              <w:rPr>
                <w:sz w:val="20"/>
                <w:szCs w:val="20"/>
                <w:color w:val="auto"/>
              </w:rPr>
            </w:pPr>
            <w:r>
              <w:rPr>
                <w:rFonts w:ascii="Arial" w:cs="Arial" w:eastAsia="Arial" w:hAnsi="Arial"/>
                <w:sz w:val="16"/>
                <w:szCs w:val="16"/>
                <w:color w:val="auto"/>
              </w:rPr>
              <w:t>Programming and production</w:t>
            </w:r>
          </w:p>
        </w:tc>
        <w:tc>
          <w:tcPr>
            <w:tcW w:w="1120" w:type="dxa"/>
            <w:vAlign w:val="bottom"/>
          </w:tcPr>
          <w:p>
            <w:pPr>
              <w:jc w:val="right"/>
              <w:spacing w:after="0"/>
              <w:rPr>
                <w:sz w:val="20"/>
                <w:szCs w:val="20"/>
                <w:color w:val="auto"/>
              </w:rPr>
            </w:pPr>
            <w:r>
              <w:rPr>
                <w:rFonts w:ascii="Arial" w:cs="Arial" w:eastAsia="Arial" w:hAnsi="Arial"/>
                <w:sz w:val="16"/>
                <w:szCs w:val="16"/>
                <w:color w:val="auto"/>
              </w:rPr>
              <w:t>6,061</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7,429</w:t>
            </w:r>
          </w:p>
        </w:tc>
        <w:tc>
          <w:tcPr>
            <w:tcW w:w="0" w:type="dxa"/>
            <w:vAlign w:val="bottom"/>
          </w:tcPr>
          <w:p>
            <w:pPr>
              <w:spacing w:after="0"/>
              <w:rPr>
                <w:sz w:val="1"/>
                <w:szCs w:val="1"/>
                <w:color w:val="auto"/>
              </w:rPr>
            </w:pPr>
          </w:p>
        </w:tc>
      </w:tr>
      <w:tr>
        <w:trPr>
          <w:trHeight w:val="216"/>
        </w:trPr>
        <w:tc>
          <w:tcPr>
            <w:tcW w:w="8900" w:type="dxa"/>
            <w:vAlign w:val="bottom"/>
          </w:tcPr>
          <w:p>
            <w:pPr>
              <w:ind w:left="420"/>
              <w:spacing w:after="0"/>
              <w:rPr>
                <w:sz w:val="20"/>
                <w:szCs w:val="20"/>
                <w:color w:val="auto"/>
              </w:rPr>
            </w:pPr>
            <w:r>
              <w:rPr>
                <w:rFonts w:ascii="Arial" w:cs="Arial" w:eastAsia="Arial" w:hAnsi="Arial"/>
                <w:sz w:val="16"/>
                <w:szCs w:val="16"/>
                <w:color w:val="auto"/>
              </w:rPr>
              <w:t>Other operating and administrative</w:t>
            </w:r>
          </w:p>
        </w:tc>
        <w:tc>
          <w:tcPr>
            <w:tcW w:w="1120" w:type="dxa"/>
            <w:vAlign w:val="bottom"/>
          </w:tcPr>
          <w:p>
            <w:pPr>
              <w:jc w:val="right"/>
              <w:spacing w:after="0"/>
              <w:rPr>
                <w:sz w:val="20"/>
                <w:szCs w:val="20"/>
                <w:color w:val="auto"/>
              </w:rPr>
            </w:pPr>
            <w:r>
              <w:rPr>
                <w:rFonts w:ascii="Arial" w:cs="Arial" w:eastAsia="Arial" w:hAnsi="Arial"/>
                <w:sz w:val="16"/>
                <w:szCs w:val="16"/>
                <w:color w:val="auto"/>
              </w:rPr>
              <w:t>5,939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6,514</w:t>
            </w:r>
          </w:p>
        </w:tc>
        <w:tc>
          <w:tcPr>
            <w:tcW w:w="0" w:type="dxa"/>
            <w:vAlign w:val="bottom"/>
          </w:tcPr>
          <w:p>
            <w:pPr>
              <w:spacing w:after="0"/>
              <w:rPr>
                <w:sz w:val="1"/>
                <w:szCs w:val="1"/>
                <w:color w:val="auto"/>
              </w:rPr>
            </w:pPr>
          </w:p>
        </w:tc>
      </w:tr>
      <w:tr>
        <w:trPr>
          <w:trHeight w:val="219"/>
        </w:trPr>
        <w:tc>
          <w:tcPr>
            <w:tcW w:w="8900" w:type="dxa"/>
            <w:vAlign w:val="bottom"/>
          </w:tcPr>
          <w:p>
            <w:pPr>
              <w:ind w:left="420"/>
              <w:spacing w:after="0"/>
              <w:rPr>
                <w:sz w:val="20"/>
                <w:szCs w:val="20"/>
                <w:color w:val="auto"/>
              </w:rPr>
            </w:pPr>
            <w:r>
              <w:rPr>
                <w:rFonts w:ascii="Arial" w:cs="Arial" w:eastAsia="Arial" w:hAnsi="Arial"/>
                <w:sz w:val="16"/>
                <w:szCs w:val="16"/>
                <w:color w:val="auto"/>
              </w:rPr>
              <w:t>Advertising, marketing and promotion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1,604</w:t>
            </w:r>
          </w:p>
        </w:tc>
        <w:tc>
          <w:tcPr>
            <w:tcW w:w="0" w:type="dxa"/>
            <w:vAlign w:val="bottom"/>
          </w:tcPr>
          <w:p>
            <w:pPr>
              <w:spacing w:after="0"/>
              <w:rPr>
                <w:sz w:val="1"/>
                <w:szCs w:val="1"/>
                <w:color w:val="auto"/>
              </w:rPr>
            </w:pPr>
          </w:p>
        </w:tc>
      </w:tr>
      <w:tr>
        <w:trPr>
          <w:trHeight w:val="211"/>
        </w:trPr>
        <w:tc>
          <w:tcPr>
            <w:tcW w:w="89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15,547</w:t>
            </w:r>
          </w:p>
        </w:tc>
        <w:tc>
          <w:tcPr>
            <w:tcW w:w="0" w:type="dxa"/>
            <w:vAlign w:val="bottom"/>
          </w:tcPr>
          <w:p>
            <w:pPr>
              <w:spacing w:after="0"/>
              <w:rPr>
                <w:sz w:val="1"/>
                <w:szCs w:val="1"/>
                <w:color w:val="auto"/>
              </w:rPr>
            </w:pPr>
          </w:p>
        </w:tc>
      </w:tr>
      <w:tr>
        <w:trPr>
          <w:trHeight w:val="498"/>
        </w:trPr>
        <w:tc>
          <w:tcPr>
            <w:tcW w:w="890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6"/>
                <w:szCs w:val="16"/>
                <w:color w:val="auto"/>
              </w:rPr>
              <w:t>7,010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7,244</w:t>
            </w:r>
          </w:p>
        </w:tc>
        <w:tc>
          <w:tcPr>
            <w:tcW w:w="0" w:type="dxa"/>
            <w:vAlign w:val="bottom"/>
          </w:tcPr>
          <w:p>
            <w:pPr>
              <w:spacing w:after="0"/>
              <w:rPr>
                <w:sz w:val="1"/>
                <w:szCs w:val="1"/>
                <w:color w:val="auto"/>
              </w:rPr>
            </w:pPr>
          </w:p>
        </w:tc>
      </w:tr>
      <w:tr>
        <w:trPr>
          <w:trHeight w:val="383"/>
        </w:trPr>
        <w:tc>
          <w:tcPr>
            <w:tcW w:w="8900" w:type="dxa"/>
            <w:vAlign w:val="bottom"/>
          </w:tcPr>
          <w:p>
            <w:pPr>
              <w:ind w:left="420"/>
              <w:spacing w:after="0"/>
              <w:rPr>
                <w:sz w:val="20"/>
                <w:szCs w:val="20"/>
                <w:color w:val="auto"/>
              </w:rPr>
            </w:pPr>
            <w:r>
              <w:rPr>
                <w:rFonts w:ascii="Arial" w:cs="Arial" w:eastAsia="Arial" w:hAnsi="Arial"/>
                <w:sz w:val="16"/>
                <w:szCs w:val="16"/>
                <w:color w:val="auto"/>
              </w:rPr>
              <w:t>Depreciation expense</w:t>
            </w:r>
          </w:p>
        </w:tc>
        <w:tc>
          <w:tcPr>
            <w:tcW w:w="1120" w:type="dxa"/>
            <w:vAlign w:val="bottom"/>
          </w:tcPr>
          <w:p>
            <w:pPr>
              <w:jc w:val="right"/>
              <w:spacing w:after="0"/>
              <w:rPr>
                <w:sz w:val="20"/>
                <w:szCs w:val="20"/>
                <w:color w:val="auto"/>
              </w:rPr>
            </w:pPr>
            <w:r>
              <w:rPr>
                <w:rFonts w:ascii="Arial" w:cs="Arial" w:eastAsia="Arial" w:hAnsi="Arial"/>
                <w:sz w:val="16"/>
                <w:szCs w:val="16"/>
                <w:color w:val="auto"/>
              </w:rPr>
              <w:t>1,915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19"/>
        </w:trPr>
        <w:tc>
          <w:tcPr>
            <w:tcW w:w="8900" w:type="dxa"/>
            <w:vAlign w:val="bottom"/>
          </w:tcPr>
          <w:p>
            <w:pPr>
              <w:ind w:left="420"/>
              <w:spacing w:after="0"/>
              <w:rPr>
                <w:sz w:val="20"/>
                <w:szCs w:val="20"/>
                <w:color w:val="auto"/>
              </w:rPr>
            </w:pPr>
            <w:r>
              <w:rPr>
                <w:rFonts w:ascii="Arial" w:cs="Arial" w:eastAsia="Arial" w:hAnsi="Arial"/>
                <w:sz w:val="16"/>
                <w:szCs w:val="16"/>
                <w:color w:val="auto"/>
              </w:rPr>
              <w:t>Amortization expense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588</w:t>
            </w:r>
          </w:p>
        </w:tc>
        <w:tc>
          <w:tcPr>
            <w:tcW w:w="0" w:type="dxa"/>
            <w:vAlign w:val="bottom"/>
          </w:tcPr>
          <w:p>
            <w:pPr>
              <w:spacing w:after="0"/>
              <w:rPr>
                <w:sz w:val="1"/>
                <w:szCs w:val="1"/>
                <w:color w:val="auto"/>
              </w:rPr>
            </w:pPr>
          </w:p>
        </w:tc>
      </w:tr>
      <w:tr>
        <w:trPr>
          <w:trHeight w:val="436"/>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4,542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4,645</w:t>
            </w:r>
          </w:p>
        </w:tc>
        <w:tc>
          <w:tcPr>
            <w:tcW w:w="0" w:type="dxa"/>
            <w:vAlign w:val="bottom"/>
          </w:tcPr>
          <w:p>
            <w:pPr>
              <w:spacing w:after="0"/>
              <w:rPr>
                <w:sz w:val="1"/>
                <w:szCs w:val="1"/>
                <w:color w:val="auto"/>
              </w:rPr>
            </w:pPr>
          </w:p>
        </w:tc>
      </w:tr>
      <w:tr>
        <w:trPr>
          <w:trHeight w:val="446"/>
        </w:trPr>
        <w:tc>
          <w:tcPr>
            <w:tcW w:w="8900" w:type="dxa"/>
            <w:vAlign w:val="bottom"/>
          </w:tcPr>
          <w:p>
            <w:pPr>
              <w:spacing w:after="0"/>
              <w:rPr>
                <w:sz w:val="20"/>
                <w:szCs w:val="20"/>
                <w:color w:val="auto"/>
              </w:rPr>
            </w:pPr>
            <w:r>
              <w:rPr>
                <w:rFonts w:ascii="Arial" w:cs="Arial" w:eastAsia="Arial" w:hAnsi="Arial"/>
                <w:sz w:val="16"/>
                <w:szCs w:val="16"/>
                <w:color w:val="auto"/>
              </w:rPr>
              <w:t>Interest expense</w:t>
            </w:r>
          </w:p>
        </w:tc>
        <w:tc>
          <w:tcPr>
            <w:tcW w:w="1120" w:type="dxa"/>
            <w:vAlign w:val="bottom"/>
          </w:tcPr>
          <w:p>
            <w:pPr>
              <w:jc w:val="right"/>
              <w:spacing w:after="0"/>
              <w:rPr>
                <w:sz w:val="20"/>
                <w:szCs w:val="20"/>
                <w:color w:val="auto"/>
              </w:rPr>
            </w:pPr>
            <w:r>
              <w:rPr>
                <w:rFonts w:ascii="Arial" w:cs="Arial" w:eastAsia="Arial" w:hAnsi="Arial"/>
                <w:sz w:val="16"/>
                <w:szCs w:val="16"/>
                <w:color w:val="auto"/>
              </w:rPr>
              <w:t>(755)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0" w:type="dxa"/>
            <w:vAlign w:val="bottom"/>
          </w:tcPr>
          <w:p>
            <w:pPr>
              <w:spacing w:after="0"/>
              <w:rPr>
                <w:sz w:val="1"/>
                <w:szCs w:val="1"/>
                <w:color w:val="auto"/>
              </w:rPr>
            </w:pPr>
          </w:p>
        </w:tc>
      </w:tr>
      <w:tr>
        <w:trPr>
          <w:trHeight w:val="446"/>
        </w:trPr>
        <w:tc>
          <w:tcPr>
            <w:tcW w:w="890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20"/>
              <w:spacing w:after="0"/>
              <w:rPr>
                <w:sz w:val="20"/>
                <w:szCs w:val="20"/>
                <w:color w:val="auto"/>
              </w:rPr>
            </w:pPr>
            <w:r>
              <w:rPr>
                <w:rFonts w:ascii="Arial" w:cs="Arial" w:eastAsia="Arial" w:hAnsi="Arial"/>
                <w:sz w:val="16"/>
                <w:szCs w:val="16"/>
                <w:color w:val="auto"/>
              </w:rPr>
              <w:t>Equity in net income (losses) of investees, net</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16"/>
        </w:trPr>
        <w:tc>
          <w:tcPr>
            <w:tcW w:w="8900" w:type="dxa"/>
            <w:vAlign w:val="bottom"/>
          </w:tcPr>
          <w:p>
            <w:pPr>
              <w:ind w:left="420"/>
              <w:spacing w:after="0"/>
              <w:rPr>
                <w:sz w:val="20"/>
                <w:szCs w:val="20"/>
                <w:color w:val="auto"/>
              </w:rPr>
            </w:pPr>
            <w:r>
              <w:rPr>
                <w:rFonts w:ascii="Arial" w:cs="Arial" w:eastAsia="Arial" w:hAnsi="Arial"/>
                <w:sz w:val="16"/>
                <w:szCs w:val="16"/>
                <w:color w:val="auto"/>
              </w:rPr>
              <w:t>Realized and unrealized gains (losses) on equity securities, net</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19"/>
        </w:trPr>
        <w:tc>
          <w:tcPr>
            <w:tcW w:w="8900" w:type="dxa"/>
            <w:vAlign w:val="bottom"/>
          </w:tcPr>
          <w:p>
            <w:pPr>
              <w:ind w:left="420"/>
              <w:spacing w:after="0"/>
              <w:rPr>
                <w:sz w:val="20"/>
                <w:szCs w:val="20"/>
                <w:color w:val="auto"/>
              </w:rPr>
            </w:pPr>
            <w:r>
              <w:rPr>
                <w:rFonts w:ascii="Arial" w:cs="Arial" w:eastAsia="Arial" w:hAnsi="Arial"/>
                <w:sz w:val="16"/>
                <w:szCs w:val="16"/>
                <w:color w:val="auto"/>
              </w:rPr>
              <w:t>Other income (loss), net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147</w:t>
            </w:r>
          </w:p>
        </w:tc>
        <w:tc>
          <w:tcPr>
            <w:tcW w:w="0" w:type="dxa"/>
            <w:vAlign w:val="bottom"/>
          </w:tcPr>
          <w:p>
            <w:pPr>
              <w:spacing w:after="0"/>
              <w:rPr>
                <w:sz w:val="1"/>
                <w:szCs w:val="1"/>
                <w:color w:val="auto"/>
              </w:rPr>
            </w:pPr>
          </w:p>
        </w:tc>
      </w:tr>
      <w:tr>
        <w:trPr>
          <w:trHeight w:val="212"/>
        </w:trPr>
        <w:tc>
          <w:tcPr>
            <w:tcW w:w="89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w:t>
            </w:r>
          </w:p>
        </w:tc>
        <w:tc>
          <w:tcPr>
            <w:tcW w:w="0" w:type="dxa"/>
            <w:vAlign w:val="bottom"/>
          </w:tcPr>
          <w:p>
            <w:pPr>
              <w:spacing w:after="0"/>
              <w:rPr>
                <w:sz w:val="1"/>
                <w:szCs w:val="1"/>
                <w:color w:val="auto"/>
              </w:rPr>
            </w:pPr>
          </w:p>
        </w:tc>
      </w:tr>
      <w:tr>
        <w:trPr>
          <w:trHeight w:val="434"/>
        </w:trPr>
        <w:tc>
          <w:tcPr>
            <w:tcW w:w="89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120" w:type="dxa"/>
            <w:vAlign w:val="bottom"/>
          </w:tcPr>
          <w:p>
            <w:pPr>
              <w:jc w:val="right"/>
              <w:spacing w:after="0"/>
              <w:rPr>
                <w:sz w:val="20"/>
                <w:szCs w:val="20"/>
                <w:color w:val="auto"/>
              </w:rPr>
            </w:pPr>
            <w:r>
              <w:rPr>
                <w:rFonts w:ascii="Arial" w:cs="Arial" w:eastAsia="Arial" w:hAnsi="Arial"/>
                <w:sz w:val="16"/>
                <w:szCs w:val="16"/>
                <w:color w:val="auto"/>
              </w:rPr>
              <w:t>3,917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3,994</w:t>
            </w:r>
          </w:p>
        </w:tc>
        <w:tc>
          <w:tcPr>
            <w:tcW w:w="0" w:type="dxa"/>
            <w:vAlign w:val="bottom"/>
          </w:tcPr>
          <w:p>
            <w:pPr>
              <w:spacing w:after="0"/>
              <w:rPr>
                <w:sz w:val="1"/>
                <w:szCs w:val="1"/>
                <w:color w:val="auto"/>
              </w:rPr>
            </w:pPr>
          </w:p>
        </w:tc>
      </w:tr>
      <w:tr>
        <w:trPr>
          <w:trHeight w:val="449"/>
        </w:trPr>
        <w:tc>
          <w:tcPr>
            <w:tcW w:w="890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(818)</w:t>
            </w:r>
          </w:p>
        </w:tc>
        <w:tc>
          <w:tcPr>
            <w:tcW w:w="0" w:type="dxa"/>
            <w:vAlign w:val="bottom"/>
          </w:tcPr>
          <w:p>
            <w:pPr>
              <w:spacing w:after="0"/>
              <w:rPr>
                <w:sz w:val="1"/>
                <w:szCs w:val="1"/>
                <w:color w:val="auto"/>
              </w:rPr>
            </w:pPr>
          </w:p>
        </w:tc>
      </w:tr>
      <w:tr>
        <w:trPr>
          <w:trHeight w:val="436"/>
        </w:trPr>
        <w:tc>
          <w:tcPr>
            <w:tcW w:w="89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2,655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3,176</w:t>
            </w:r>
          </w:p>
        </w:tc>
        <w:tc>
          <w:tcPr>
            <w:tcW w:w="0" w:type="dxa"/>
            <w:vAlign w:val="bottom"/>
          </w:tcPr>
          <w:p>
            <w:pPr>
              <w:spacing w:after="0"/>
              <w:rPr>
                <w:sz w:val="1"/>
                <w:szCs w:val="1"/>
                <w:color w:val="auto"/>
              </w:rPr>
            </w:pPr>
          </w:p>
        </w:tc>
      </w:tr>
      <w:tr>
        <w:trPr>
          <w:trHeight w:val="446"/>
        </w:trPr>
        <w:tc>
          <w:tcPr>
            <w:tcW w:w="890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 and redeemable subsidiary preferred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236"/>
        </w:trPr>
        <w:tc>
          <w:tcPr>
            <w:tcW w:w="890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$3,118</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90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$0.66</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$0.1575</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4,705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 See Table 4 for a reconciliation of non-GAAP financial measures.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443865</wp:posOffset>
            </wp:positionV>
            <wp:extent cx="1029335"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8920" w:type="dxa"/>
            <w:vAlign w:val="bottom"/>
          </w:tcPr>
          <w:p>
            <w:pPr>
              <w:spacing w:after="0"/>
              <w:rPr>
                <w:sz w:val="20"/>
                <w:szCs w:val="20"/>
                <w:color w:val="auto"/>
              </w:rPr>
            </w:pPr>
            <w:r>
              <w:rPr>
                <w:rFonts w:ascii="Arial" w:cs="Arial" w:eastAsia="Arial" w:hAnsi="Arial"/>
                <w:sz w:val="16"/>
                <w:szCs w:val="16"/>
                <w:color w:val="auto"/>
              </w:rPr>
              <w:t>(in millions)</w:t>
            </w:r>
          </w:p>
        </w:tc>
        <w:tc>
          <w:tcPr>
            <w:tcW w:w="168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rPr>
              <w:t>March 31,</w:t>
            </w: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3"/>
        </w:trPr>
        <w:tc>
          <w:tcPr>
            <w:tcW w:w="8920" w:type="dxa"/>
            <w:vAlign w:val="bottom"/>
          </w:tcPr>
          <w:p>
            <w:pPr>
              <w:spacing w:after="0"/>
              <w:rPr>
                <w:sz w:val="17"/>
                <w:szCs w:val="17"/>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9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$3,176</w:t>
            </w: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$2,655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2,599</w:t>
            </w:r>
          </w:p>
        </w:tc>
        <w:tc>
          <w:tcPr>
            <w:tcW w:w="0" w:type="dxa"/>
            <w:vAlign w:val="bottom"/>
          </w:tcPr>
          <w:p>
            <w:pPr>
              <w:spacing w:after="0"/>
              <w:rPr>
                <w:sz w:val="1"/>
                <w:szCs w:val="1"/>
                <w:color w:val="auto"/>
              </w:rPr>
            </w:pPr>
          </w:p>
        </w:tc>
      </w:tr>
      <w:tr>
        <w:trPr>
          <w:trHeight w:val="190"/>
        </w:trPr>
        <w:tc>
          <w:tcPr>
            <w:tcW w:w="89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6"/>
                <w:szCs w:val="16"/>
                <w:color w:val="auto"/>
              </w:rPr>
              <w:t>2,468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500"/>
              <w:spacing w:after="0"/>
              <w:rPr>
                <w:sz w:val="20"/>
                <w:szCs w:val="20"/>
                <w:color w:val="auto"/>
              </w:rPr>
            </w:pPr>
            <w:r>
              <w:rPr>
                <w:rFonts w:ascii="Arial" w:cs="Arial" w:eastAsia="Arial" w:hAnsi="Arial"/>
                <w:sz w:val="16"/>
                <w:szCs w:val="16"/>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199</w:t>
            </w:r>
          </w:p>
        </w:tc>
        <w:tc>
          <w:tcPr>
            <w:tcW w:w="0" w:type="dxa"/>
            <w:vAlign w:val="bottom"/>
          </w:tcPr>
          <w:p>
            <w:pPr>
              <w:spacing w:after="0"/>
              <w:rPr>
                <w:sz w:val="1"/>
                <w:szCs w:val="1"/>
                <w:color w:val="auto"/>
              </w:rPr>
            </w:pPr>
          </w:p>
        </w:tc>
      </w:tr>
      <w:tr>
        <w:trPr>
          <w:trHeight w:val="203"/>
        </w:trPr>
        <w:tc>
          <w:tcPr>
            <w:tcW w:w="8920" w:type="dxa"/>
            <w:vAlign w:val="bottom"/>
          </w:tcPr>
          <w:p>
            <w:pPr>
              <w:ind w:left="500"/>
              <w:spacing w:after="0"/>
              <w:rPr>
                <w:sz w:val="20"/>
                <w:szCs w:val="20"/>
                <w:color w:val="auto"/>
              </w:rPr>
            </w:pPr>
            <w:r>
              <w:rPr>
                <w:rFonts w:ascii="Arial" w:cs="Arial" w:eastAsia="Arial" w:hAnsi="Arial"/>
                <w:sz w:val="16"/>
                <w:szCs w:val="16"/>
                <w:color w:val="auto"/>
              </w:rPr>
              <w:t>Noncash interest expense (income), net</w:t>
            </w: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03"/>
        </w:trPr>
        <w:tc>
          <w:tcPr>
            <w:tcW w:w="8920" w:type="dxa"/>
            <w:vAlign w:val="bottom"/>
          </w:tcPr>
          <w:p>
            <w:pPr>
              <w:ind w:left="500"/>
              <w:spacing w:after="0"/>
              <w:rPr>
                <w:sz w:val="20"/>
                <w:szCs w:val="20"/>
                <w:color w:val="auto"/>
              </w:rPr>
            </w:pPr>
            <w:r>
              <w:rPr>
                <w:rFonts w:ascii="Arial" w:cs="Arial" w:eastAsia="Arial" w:hAnsi="Arial"/>
                <w:sz w:val="16"/>
                <w:szCs w:val="16"/>
                <w:color w:val="auto"/>
              </w:rPr>
              <w:t>Net (gain) loss on investment activity and other</w:t>
            </w: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15"/>
        </w:trPr>
        <w:tc>
          <w:tcPr>
            <w:tcW w:w="892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1140" w:type="dxa"/>
            <w:vAlign w:val="bottom"/>
          </w:tcPr>
          <w:p>
            <w:pPr>
              <w:jc w:val="right"/>
              <w:spacing w:after="0"/>
              <w:rPr>
                <w:sz w:val="20"/>
                <w:szCs w:val="20"/>
                <w:color w:val="auto"/>
              </w:rPr>
            </w:pPr>
            <w:r>
              <w:rPr>
                <w:rFonts w:ascii="Arial" w:cs="Arial" w:eastAsia="Arial" w:hAnsi="Arial"/>
                <w:sz w:val="16"/>
                <w:szCs w:val="16"/>
                <w:color w:val="auto"/>
              </w:rPr>
              <w:t>269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389</w:t>
            </w: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190"/>
        </w:trPr>
        <w:tc>
          <w:tcPr>
            <w:tcW w:w="8920" w:type="dxa"/>
            <w:vAlign w:val="bottom"/>
          </w:tcPr>
          <w:p>
            <w:pPr>
              <w:ind w:left="500"/>
              <w:spacing w:after="0"/>
              <w:rPr>
                <w:sz w:val="20"/>
                <w:szCs w:val="20"/>
                <w:color w:val="auto"/>
              </w:rPr>
            </w:pPr>
            <w:r>
              <w:rPr>
                <w:rFonts w:ascii="Arial" w:cs="Arial" w:eastAsia="Arial" w:hAnsi="Arial"/>
                <w:sz w:val="16"/>
                <w:szCs w:val="16"/>
                <w:color w:val="auto"/>
              </w:rPr>
              <w:t>Current and noncurrent receivables, net</w:t>
            </w:r>
          </w:p>
        </w:tc>
        <w:tc>
          <w:tcPr>
            <w:tcW w:w="1140" w:type="dxa"/>
            <w:vAlign w:val="bottom"/>
          </w:tcPr>
          <w:p>
            <w:pPr>
              <w:jc w:val="right"/>
              <w:spacing w:after="0"/>
              <w:rPr>
                <w:sz w:val="20"/>
                <w:szCs w:val="20"/>
                <w:color w:val="auto"/>
              </w:rPr>
            </w:pPr>
            <w:r>
              <w:rPr>
                <w:rFonts w:ascii="Arial" w:cs="Arial" w:eastAsia="Arial" w:hAnsi="Arial"/>
                <w:sz w:val="16"/>
                <w:szCs w:val="16"/>
                <w:color w:val="auto"/>
              </w:rPr>
              <w:t>522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500"/>
              <w:spacing w:after="0"/>
              <w:rPr>
                <w:sz w:val="20"/>
                <w:szCs w:val="20"/>
                <w:color w:val="auto"/>
              </w:rPr>
            </w:pPr>
            <w:r>
              <w:rPr>
                <w:rFonts w:ascii="Arial" w:cs="Arial" w:eastAsia="Arial" w:hAnsi="Arial"/>
                <w:sz w:val="16"/>
                <w:szCs w:val="16"/>
                <w:color w:val="auto"/>
              </w:rPr>
              <w:t>Film and television costs, net</w:t>
            </w: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03"/>
        </w:trPr>
        <w:tc>
          <w:tcPr>
            <w:tcW w:w="8920" w:type="dxa"/>
            <w:vAlign w:val="bottom"/>
          </w:tcPr>
          <w:p>
            <w:pPr>
              <w:ind w:left="50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200</w:t>
            </w:r>
          </w:p>
        </w:tc>
        <w:tc>
          <w:tcPr>
            <w:tcW w:w="0" w:type="dxa"/>
            <w:vAlign w:val="bottom"/>
          </w:tcPr>
          <w:p>
            <w:pPr>
              <w:spacing w:after="0"/>
              <w:rPr>
                <w:sz w:val="1"/>
                <w:szCs w:val="1"/>
                <w:color w:val="auto"/>
              </w:rPr>
            </w:pPr>
          </w:p>
        </w:tc>
      </w:tr>
      <w:tr>
        <w:trPr>
          <w:trHeight w:val="218"/>
        </w:trPr>
        <w:tc>
          <w:tcPr>
            <w:tcW w:w="8920" w:type="dxa"/>
            <w:vAlign w:val="bottom"/>
          </w:tcPr>
          <w:p>
            <w:pPr>
              <w:ind w:left="500"/>
              <w:spacing w:after="0"/>
              <w:rPr>
                <w:sz w:val="20"/>
                <w:szCs w:val="20"/>
                <w:color w:val="auto"/>
              </w:rPr>
            </w:pPr>
            <w:r>
              <w:rPr>
                <w:rFonts w:ascii="Arial" w:cs="Arial" w:eastAsia="Arial" w:hAnsi="Arial"/>
                <w:sz w:val="16"/>
                <w:szCs w:val="16"/>
                <w:color w:val="auto"/>
              </w:rPr>
              <w:t>Other operating assets and liabilities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(1,130)</w:t>
            </w:r>
          </w:p>
        </w:tc>
        <w:tc>
          <w:tcPr>
            <w:tcW w:w="0" w:type="dxa"/>
            <w:vAlign w:val="bottom"/>
          </w:tcPr>
          <w:p>
            <w:pPr>
              <w:spacing w:after="0"/>
              <w:rPr>
                <w:sz w:val="1"/>
                <w:szCs w:val="1"/>
                <w:color w:val="auto"/>
              </w:rPr>
            </w:pPr>
          </w:p>
        </w:tc>
      </w:tr>
      <w:tr>
        <w:trPr>
          <w:trHeight w:val="412"/>
        </w:trPr>
        <w:tc>
          <w:tcPr>
            <w:tcW w:w="8920" w:type="dxa"/>
            <w:vAlign w:val="bottom"/>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1" w:right="239" w:bottom="0" w:gutter="0" w:footer="0" w:header="0"/>
        </w:sectPr>
      </w:pPr>
    </w:p>
    <w:bookmarkStart w:id="7" w:name="page8"/>
    <w:bookmarkEnd w:id="7"/>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9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140" w:type="dxa"/>
            <w:vAlign w:val="bottom"/>
          </w:tcPr>
          <w:p>
            <w:pPr>
              <w:jc w:val="right"/>
              <w:spacing w:after="0"/>
              <w:rPr>
                <w:sz w:val="20"/>
                <w:szCs w:val="20"/>
                <w:color w:val="auto"/>
              </w:rPr>
            </w:pPr>
            <w:r>
              <w:rPr>
                <w:rFonts w:ascii="Arial" w:cs="Arial" w:eastAsia="Arial" w:hAnsi="Arial"/>
                <w:sz w:val="16"/>
                <w:szCs w:val="16"/>
                <w:color w:val="auto"/>
              </w:rPr>
              <w:t>(2,078)</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Cash paid for intangible assets</w:t>
            </w:r>
          </w:p>
        </w:tc>
        <w:tc>
          <w:tcPr>
            <w:tcW w:w="1140" w:type="dxa"/>
            <w:vAlign w:val="bottom"/>
          </w:tcPr>
          <w:p>
            <w:pPr>
              <w:jc w:val="right"/>
              <w:spacing w:after="0"/>
              <w:rPr>
                <w:sz w:val="20"/>
                <w:szCs w:val="20"/>
                <w:color w:val="auto"/>
              </w:rPr>
            </w:pPr>
            <w:r>
              <w:rPr>
                <w:rFonts w:ascii="Arial" w:cs="Arial" w:eastAsia="Arial" w:hAnsi="Arial"/>
                <w:sz w:val="16"/>
                <w:szCs w:val="16"/>
                <w:color w:val="auto"/>
              </w:rPr>
              <w:t>(385)</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Acquisitions and construction of real estate properties</w:t>
            </w: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Proceeds from sales of investments</w:t>
            </w: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1140" w:type="dxa"/>
            <w:vAlign w:val="bottom"/>
          </w:tcPr>
          <w:p>
            <w:pPr>
              <w:jc w:val="right"/>
              <w:spacing w:after="0"/>
              <w:rPr>
                <w:sz w:val="20"/>
                <w:szCs w:val="20"/>
                <w:color w:val="auto"/>
              </w:rPr>
            </w:pPr>
            <w:r>
              <w:rPr>
                <w:rFonts w:ascii="Arial" w:cs="Arial" w:eastAsia="Arial" w:hAnsi="Arial"/>
                <w:sz w:val="16"/>
                <w:szCs w:val="16"/>
                <w:color w:val="auto"/>
              </w:rPr>
              <w:t>(1,062)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920" w:type="dxa"/>
            <w:vAlign w:val="bottom"/>
          </w:tcPr>
          <w:p>
            <w:pPr>
              <w:ind w:left="18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920" w:type="dxa"/>
            <w:vAlign w:val="bottom"/>
          </w:tcPr>
          <w:p>
            <w:pPr>
              <w:ind w:left="900"/>
              <w:spacing w:after="0"/>
              <w:rPr>
                <w:sz w:val="20"/>
                <w:szCs w:val="20"/>
                <w:color w:val="auto"/>
              </w:rPr>
            </w:pPr>
            <w:r>
              <w:rPr>
                <w:rFonts w:ascii="Arial" w:cs="Arial" w:eastAsia="Arial" w:hAnsi="Arial"/>
                <w:sz w:val="16"/>
                <w:szCs w:val="16"/>
                <w:color w:val="auto"/>
              </w:rPr>
              <w:t>Net cash provided by (used in) investing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9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920" w:type="dxa"/>
            <w:vAlign w:val="bottom"/>
          </w:tcPr>
          <w:p>
            <w:pPr>
              <w:ind w:left="180"/>
              <w:spacing w:after="0"/>
              <w:rPr>
                <w:sz w:val="20"/>
                <w:szCs w:val="20"/>
                <w:color w:val="auto"/>
              </w:rPr>
            </w:pPr>
            <w:r>
              <w:rPr>
                <w:rFonts w:ascii="Arial" w:cs="Arial" w:eastAsia="Arial" w:hAnsi="Arial"/>
                <w:sz w:val="16"/>
                <w:szCs w:val="16"/>
                <w:color w:val="auto"/>
              </w:rPr>
              <w:t>Proceeds from (repayments of) short-term borrowings, net</w:t>
            </w:r>
          </w:p>
        </w:tc>
        <w:tc>
          <w:tcPr>
            <w:tcW w:w="1140" w:type="dxa"/>
            <w:vAlign w:val="bottom"/>
          </w:tcPr>
          <w:p>
            <w:pPr>
              <w:jc w:val="right"/>
              <w:spacing w:after="0"/>
              <w:rPr>
                <w:sz w:val="20"/>
                <w:szCs w:val="20"/>
                <w:color w:val="auto"/>
              </w:rPr>
            </w:pPr>
            <w:r>
              <w:rPr>
                <w:rFonts w:ascii="Arial" w:cs="Arial" w:eastAsia="Arial" w:hAnsi="Arial"/>
                <w:sz w:val="16"/>
                <w:szCs w:val="16"/>
                <w:color w:val="auto"/>
              </w:rPr>
              <w:t>(1,893)</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Proceeds from borrowings</w:t>
            </w:r>
          </w:p>
        </w:tc>
        <w:tc>
          <w:tcPr>
            <w:tcW w:w="1140" w:type="dxa"/>
            <w:vAlign w:val="bottom"/>
          </w:tcPr>
          <w:p>
            <w:pPr>
              <w:jc w:val="right"/>
              <w:spacing w:after="0"/>
              <w:rPr>
                <w:sz w:val="20"/>
                <w:szCs w:val="20"/>
                <w:color w:val="auto"/>
              </w:rPr>
            </w:pPr>
            <w:r>
              <w:rPr>
                <w:rFonts w:ascii="Arial" w:cs="Arial" w:eastAsia="Arial" w:hAnsi="Arial"/>
                <w:sz w:val="16"/>
                <w:szCs w:val="16"/>
                <w:color w:val="auto"/>
              </w:rPr>
              <w:t>3,500</w:t>
            </w:r>
          </w:p>
        </w:tc>
        <w:tc>
          <w:tcPr>
            <w:tcW w:w="22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4,043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Repurchases and repayments of debt</w:t>
            </w:r>
          </w:p>
        </w:tc>
        <w:tc>
          <w:tcPr>
            <w:tcW w:w="1140" w:type="dxa"/>
            <w:vAlign w:val="bottom"/>
          </w:tcPr>
          <w:p>
            <w:pPr>
              <w:jc w:val="right"/>
              <w:spacing w:after="0"/>
              <w:rPr>
                <w:sz w:val="20"/>
                <w:szCs w:val="20"/>
                <w:color w:val="auto"/>
              </w:rPr>
            </w:pPr>
            <w:r>
              <w:rPr>
                <w:rFonts w:ascii="Arial" w:cs="Arial" w:eastAsia="Arial" w:hAnsi="Arial"/>
                <w:sz w:val="16"/>
                <w:szCs w:val="16"/>
                <w:color w:val="auto"/>
              </w:rPr>
              <w:t>(1,059)</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1140" w:type="dxa"/>
            <w:vAlign w:val="bottom"/>
          </w:tcPr>
          <w:p>
            <w:pPr>
              <w:jc w:val="right"/>
              <w:spacing w:after="0"/>
              <w:rPr>
                <w:sz w:val="20"/>
                <w:szCs w:val="20"/>
                <w:color w:val="auto"/>
              </w:rPr>
            </w:pPr>
            <w:r>
              <w:rPr>
                <w:rFonts w:ascii="Arial" w:cs="Arial" w:eastAsia="Arial" w:hAnsi="Arial"/>
                <w:sz w:val="16"/>
                <w:szCs w:val="16"/>
                <w:color w:val="auto"/>
              </w:rPr>
              <w:t>(657)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920" w:type="dxa"/>
            <w:vAlign w:val="bottom"/>
          </w:tcPr>
          <w:p>
            <w:pPr>
              <w:ind w:left="18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920" w:type="dxa"/>
            <w:vAlign w:val="bottom"/>
          </w:tcPr>
          <w:p>
            <w:pPr>
              <w:ind w:left="900"/>
              <w:spacing w:after="0"/>
              <w:rPr>
                <w:sz w:val="20"/>
                <w:szCs w:val="20"/>
                <w:color w:val="auto"/>
              </w:rPr>
            </w:pPr>
            <w:r>
              <w:rPr>
                <w:rFonts w:ascii="Arial" w:cs="Arial" w:eastAsia="Arial" w:hAnsi="Arial"/>
                <w:sz w:val="16"/>
                <w:szCs w:val="16"/>
                <w:color w:val="auto"/>
              </w:rPr>
              <w:t>Net cash provided by (used in) financing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92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140" w:type="dxa"/>
            <w:vAlign w:val="bottom"/>
          </w:tcPr>
          <w:p>
            <w:pPr>
              <w:jc w:val="right"/>
              <w:spacing w:after="0"/>
              <w:rPr>
                <w:sz w:val="20"/>
                <w:szCs w:val="20"/>
                <w:color w:val="auto"/>
              </w:rPr>
            </w:pPr>
            <w:r>
              <w:rPr>
                <w:rFonts w:ascii="Arial" w:cs="Arial" w:eastAsia="Arial" w:hAnsi="Arial"/>
                <w:sz w:val="16"/>
                <w:szCs w:val="16"/>
                <w:color w:val="auto"/>
              </w:rPr>
              <w:t>731</w:t>
            </w: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2,606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92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9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$6,177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92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9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9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349250</wp:posOffset>
            </wp:positionV>
            <wp:extent cx="1029335"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color w:val="auto"/>
              </w:rPr>
              <w:t>(in millions)</w:t>
            </w:r>
          </w:p>
        </w:tc>
        <w:tc>
          <w:tcPr>
            <w:tcW w:w="1880" w:type="dxa"/>
            <w:vAlign w:val="bottom"/>
            <w:gridSpan w:val="2"/>
          </w:tcPr>
          <w:p>
            <w:pPr>
              <w:ind w:left="240"/>
              <w:spacing w:after="0"/>
              <w:rPr>
                <w:sz w:val="20"/>
                <w:szCs w:val="20"/>
                <w:color w:val="auto"/>
              </w:rPr>
            </w:pPr>
            <w:r>
              <w:rPr>
                <w:rFonts w:ascii="Arial" w:cs="Arial" w:eastAsia="Arial" w:hAnsi="Arial"/>
                <w:sz w:val="18"/>
                <w:szCs w:val="18"/>
                <w:color w:val="auto"/>
              </w:rPr>
              <w:t>December 31,</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6"/>
        </w:trPr>
        <w:tc>
          <w:tcPr>
            <w:tcW w:w="79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$6,030</w:t>
            </w:r>
          </w:p>
        </w:tc>
        <w:tc>
          <w:tcPr>
            <w:tcW w:w="0" w:type="dxa"/>
            <w:vAlign w:val="bottom"/>
          </w:tcPr>
          <w:p>
            <w:pPr>
              <w:spacing w:after="0"/>
              <w:rPr>
                <w:sz w:val="1"/>
                <w:szCs w:val="1"/>
                <w:color w:val="auto"/>
              </w:rPr>
            </w:pPr>
          </w:p>
        </w:tc>
      </w:tr>
      <w:tr>
        <w:trPr>
          <w:trHeight w:val="181"/>
        </w:trPr>
        <w:tc>
          <w:tcPr>
            <w:tcW w:w="7940" w:type="dxa"/>
            <w:vAlign w:val="bottom"/>
          </w:tcPr>
          <w:p>
            <w:pPr>
              <w:ind w:left="300"/>
              <w:spacing w:after="0" w:line="181" w:lineRule="exact"/>
              <w:rPr>
                <w:sz w:val="20"/>
                <w:szCs w:val="20"/>
                <w:color w:val="auto"/>
              </w:rPr>
            </w:pPr>
            <w:r>
              <w:rPr>
                <w:rFonts w:ascii="Arial" w:cs="Arial" w:eastAsia="Arial" w:hAnsi="Arial"/>
                <w:sz w:val="18"/>
                <w:szCs w:val="18"/>
                <w:color w:val="auto"/>
              </w:rPr>
              <w:t>Cash and cash equivalents</w:t>
            </w:r>
          </w:p>
        </w:tc>
        <w:tc>
          <w:tcPr>
            <w:tcW w:w="1600" w:type="dxa"/>
            <w:vAlign w:val="bottom"/>
          </w:tcPr>
          <w:p>
            <w:pPr>
              <w:jc w:val="right"/>
              <w:spacing w:after="0" w:line="181" w:lineRule="exact"/>
              <w:rPr>
                <w:sz w:val="20"/>
                <w:szCs w:val="20"/>
                <w:color w:val="auto"/>
              </w:rPr>
            </w:pPr>
            <w:r>
              <w:rPr>
                <w:rFonts w:ascii="Arial" w:cs="Arial" w:eastAsia="Arial" w:hAnsi="Arial"/>
                <w:sz w:val="18"/>
                <w:szCs w:val="18"/>
                <w:color w:val="auto"/>
              </w:rPr>
              <w:t>$3,428</w:t>
            </w:r>
          </w:p>
        </w:tc>
        <w:tc>
          <w:tcPr>
            <w:tcW w:w="2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8,834</w:t>
            </w:r>
          </w:p>
        </w:tc>
        <w:tc>
          <w:tcPr>
            <w:tcW w:w="28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8,759</w:t>
            </w:r>
          </w:p>
        </w:tc>
        <w:tc>
          <w:tcPr>
            <w:tcW w:w="0" w:type="dxa"/>
            <w:vAlign w:val="bottom"/>
          </w:tcPr>
          <w:p>
            <w:pPr>
              <w:spacing w:after="0"/>
              <w:rPr>
                <w:sz w:val="1"/>
                <w:szCs w:val="1"/>
                <w:color w:val="auto"/>
              </w:rPr>
            </w:pPr>
          </w:p>
        </w:tc>
      </w:tr>
      <w:tr>
        <w:trPr>
          <w:trHeight w:val="203"/>
        </w:trPr>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rPr>
              <w:t>Programming rights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1,613</w:t>
            </w:r>
          </w:p>
        </w:tc>
        <w:tc>
          <w:tcPr>
            <w:tcW w:w="28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1,354</w:t>
            </w:r>
          </w:p>
        </w:tc>
        <w:tc>
          <w:tcPr>
            <w:tcW w:w="0" w:type="dxa"/>
            <w:vAlign w:val="bottom"/>
          </w:tcPr>
          <w:p>
            <w:pPr>
              <w:spacing w:after="0"/>
              <w:rPr>
                <w:sz w:val="1"/>
                <w:szCs w:val="1"/>
                <w:color w:val="auto"/>
              </w:rPr>
            </w:pPr>
          </w:p>
        </w:tc>
      </w:tr>
      <w:tr>
        <w:trPr>
          <w:trHeight w:val="225"/>
        </w:trPr>
        <w:tc>
          <w:tcPr>
            <w:tcW w:w="794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2,610</w:t>
            </w:r>
          </w:p>
        </w:tc>
        <w:tc>
          <w:tcPr>
            <w:tcW w:w="0" w:type="dxa"/>
            <w:vAlign w:val="bottom"/>
          </w:tcPr>
          <w:p>
            <w:pPr>
              <w:spacing w:after="0"/>
              <w:rPr>
                <w:sz w:val="1"/>
                <w:szCs w:val="1"/>
                <w:color w:val="auto"/>
              </w:rPr>
            </w:pPr>
          </w:p>
        </w:tc>
      </w:tr>
      <w:tr>
        <w:trPr>
          <w:trHeight w:val="197"/>
        </w:trPr>
        <w:tc>
          <w:tcPr>
            <w:tcW w:w="7940" w:type="dxa"/>
            <w:vAlign w:val="bottom"/>
          </w:tcPr>
          <w:p>
            <w:pPr>
              <w:ind w:left="420"/>
              <w:spacing w:after="0" w:line="197" w:lineRule="exact"/>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16,343</w:t>
            </w:r>
          </w:p>
        </w:tc>
        <w:tc>
          <w:tcPr>
            <w:tcW w:w="280" w:type="dxa"/>
            <w:vAlign w:val="bottom"/>
          </w:tcPr>
          <w:p>
            <w:pPr>
              <w:spacing w:after="0"/>
              <w:rPr>
                <w:sz w:val="17"/>
                <w:szCs w:val="17"/>
                <w:color w:val="auto"/>
              </w:rPr>
            </w:pPr>
          </w:p>
        </w:tc>
        <w:tc>
          <w:tcPr>
            <w:tcW w:w="160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18,753</w:t>
            </w:r>
          </w:p>
        </w:tc>
        <w:tc>
          <w:tcPr>
            <w:tcW w:w="0" w:type="dxa"/>
            <w:vAlign w:val="bottom"/>
          </w:tcPr>
          <w:p>
            <w:pPr>
              <w:spacing w:after="0"/>
              <w:rPr>
                <w:sz w:val="1"/>
                <w:szCs w:val="1"/>
                <w:color w:val="auto"/>
              </w:rPr>
            </w:pPr>
          </w:p>
        </w:tc>
      </w:tr>
      <w:tr>
        <w:trPr>
          <w:trHeight w:val="412"/>
        </w:trPr>
        <w:tc>
          <w:tcPr>
            <w:tcW w:w="794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color w:val="auto"/>
              </w:rPr>
              <w:t>7,087</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7,402</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color w:val="auto"/>
              </w:rPr>
              <w:t>6,931</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7,095</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color w:val="auto"/>
              </w:rPr>
              <w:t>38,470</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39,068</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59,365</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color w:val="auto"/>
              </w:rPr>
              <w:t>36,780</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37,147</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color w:val="auto"/>
              </w:rPr>
              <w:t>18,133</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18,339</w:t>
            </w:r>
          </w:p>
        </w:tc>
        <w:tc>
          <w:tcPr>
            <w:tcW w:w="0" w:type="dxa"/>
            <w:vAlign w:val="bottom"/>
          </w:tcPr>
          <w:p>
            <w:pPr>
              <w:spacing w:after="0"/>
              <w:rPr>
                <w:sz w:val="1"/>
                <w:szCs w:val="1"/>
                <w:color w:val="auto"/>
              </w:rPr>
            </w:pPr>
          </w:p>
        </w:tc>
      </w:tr>
      <w:tr>
        <w:trPr>
          <w:trHeight w:val="392"/>
        </w:trPr>
        <w:tc>
          <w:tcPr>
            <w:tcW w:w="794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280" w:type="dxa"/>
            <w:vAlign w:val="bottom"/>
          </w:tcPr>
          <w:p>
            <w:pPr>
              <w:spacing w:after="0"/>
              <w:rPr>
                <w:sz w:val="24"/>
                <w:szCs w:val="24"/>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3,707</w:t>
            </w:r>
          </w:p>
        </w:tc>
        <w:tc>
          <w:tcPr>
            <w:tcW w:w="0" w:type="dxa"/>
            <w:vAlign w:val="bottom"/>
          </w:tcPr>
          <w:p>
            <w:pPr>
              <w:spacing w:after="0"/>
              <w:rPr>
                <w:sz w:val="1"/>
                <w:szCs w:val="1"/>
                <w:color w:val="auto"/>
              </w:rPr>
            </w:pPr>
          </w:p>
        </w:tc>
      </w:tr>
      <w:tr>
        <w:trPr>
          <w:trHeight w:val="399"/>
        </w:trPr>
        <w:tc>
          <w:tcPr>
            <w:tcW w:w="79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280" w:type="dxa"/>
            <w:vAlign w:val="bottom"/>
          </w:tcPr>
          <w:p>
            <w:pPr>
              <w:spacing w:after="0"/>
              <w:rPr>
                <w:sz w:val="24"/>
                <w:szCs w:val="24"/>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$190,876</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$7,349</w:t>
            </w:r>
          </w:p>
        </w:tc>
        <w:tc>
          <w:tcPr>
            <w:tcW w:w="0" w:type="dxa"/>
            <w:vAlign w:val="bottom"/>
          </w:tcPr>
          <w:p>
            <w:pPr>
              <w:spacing w:after="0"/>
              <w:rPr>
                <w:sz w:val="1"/>
                <w:szCs w:val="1"/>
                <w:color w:val="auto"/>
              </w:rPr>
            </w:pPr>
          </w:p>
        </w:tc>
      </w:tr>
      <w:tr>
        <w:trPr>
          <w:trHeight w:val="181"/>
        </w:trPr>
        <w:tc>
          <w:tcPr>
            <w:tcW w:w="7940" w:type="dxa"/>
            <w:vAlign w:val="bottom"/>
          </w:tcPr>
          <w:p>
            <w:pPr>
              <w:ind w:left="30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tcPr>
          <w:p>
            <w:pPr>
              <w:jc w:val="right"/>
              <w:spacing w:after="0" w:line="181" w:lineRule="exact"/>
              <w:rPr>
                <w:sz w:val="20"/>
                <w:szCs w:val="20"/>
                <w:color w:val="auto"/>
              </w:rPr>
            </w:pPr>
            <w:r>
              <w:rPr>
                <w:rFonts w:ascii="Arial" w:cs="Arial" w:eastAsia="Arial" w:hAnsi="Arial"/>
                <w:sz w:val="18"/>
                <w:szCs w:val="18"/>
                <w:color w:val="auto"/>
              </w:rPr>
              <w:t>$6,908</w:t>
            </w:r>
          </w:p>
        </w:tc>
        <w:tc>
          <w:tcPr>
            <w:tcW w:w="2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c>
          <w:tcPr>
            <w:tcW w:w="28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1,659</w:t>
            </w:r>
          </w:p>
        </w:tc>
        <w:tc>
          <w:tcPr>
            <w:tcW w:w="0" w:type="dxa"/>
            <w:vAlign w:val="bottom"/>
          </w:tcPr>
          <w:p>
            <w:pPr>
              <w:spacing w:after="0"/>
              <w:rPr>
                <w:sz w:val="1"/>
                <w:szCs w:val="1"/>
                <w:color w:val="auto"/>
              </w:rPr>
            </w:pPr>
          </w:p>
        </w:tc>
      </w:tr>
      <w:tr>
        <w:trPr>
          <w:trHeight w:val="203"/>
        </w:trPr>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1,687</w:t>
            </w:r>
          </w:p>
        </w:tc>
        <w:tc>
          <w:tcPr>
            <w:tcW w:w="28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1,578</w:t>
            </w:r>
          </w:p>
        </w:tc>
        <w:tc>
          <w:tcPr>
            <w:tcW w:w="0" w:type="dxa"/>
            <w:vAlign w:val="bottom"/>
          </w:tcPr>
          <w:p>
            <w:pPr>
              <w:spacing w:after="0"/>
              <w:rPr>
                <w:sz w:val="1"/>
                <w:szCs w:val="1"/>
                <w:color w:val="auto"/>
              </w:rPr>
            </w:pPr>
          </w:p>
        </w:tc>
      </w:tr>
      <w:tr>
        <w:trPr>
          <w:trHeight w:val="203"/>
        </w:trPr>
        <w:tc>
          <w:tcPr>
            <w:tcW w:w="7940" w:type="dxa"/>
            <w:vAlign w:val="bottom"/>
          </w:tcPr>
          <w:p>
            <w:pPr>
              <w:ind w:left="3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6,620</w:t>
            </w:r>
          </w:p>
        </w:tc>
        <w:tc>
          <w:tcPr>
            <w:tcW w:w="28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5,554</w:t>
            </w:r>
          </w:p>
        </w:tc>
        <w:tc>
          <w:tcPr>
            <w:tcW w:w="0" w:type="dxa"/>
            <w:vAlign w:val="bottom"/>
          </w:tcPr>
          <w:p>
            <w:pPr>
              <w:spacing w:after="0"/>
              <w:rPr>
                <w:sz w:val="1"/>
                <w:szCs w:val="1"/>
                <w:color w:val="auto"/>
              </w:rPr>
            </w:pPr>
          </w:p>
        </w:tc>
      </w:tr>
      <w:tr>
        <w:trPr>
          <w:trHeight w:val="225"/>
        </w:trPr>
        <w:tc>
          <w:tcPr>
            <w:tcW w:w="7940" w:type="dxa"/>
            <w:vAlign w:val="bottom"/>
          </w:tcPr>
          <w:p>
            <w:pPr>
              <w:ind w:left="30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3,039</w:t>
            </w:r>
          </w:p>
        </w:tc>
        <w:tc>
          <w:tcPr>
            <w:tcW w:w="0" w:type="dxa"/>
            <w:vAlign w:val="bottom"/>
          </w:tcPr>
          <w:p>
            <w:pPr>
              <w:spacing w:after="0"/>
              <w:rPr>
                <w:sz w:val="1"/>
                <w:szCs w:val="1"/>
                <w:color w:val="auto"/>
              </w:rPr>
            </w:pPr>
          </w:p>
        </w:tc>
      </w:tr>
      <w:tr>
        <w:trPr>
          <w:trHeight w:val="197"/>
        </w:trPr>
        <w:tc>
          <w:tcPr>
            <w:tcW w:w="7940" w:type="dxa"/>
            <w:vAlign w:val="bottom"/>
          </w:tcPr>
          <w:p>
            <w:pPr>
              <w:ind w:left="420"/>
              <w:spacing w:after="0" w:line="197" w:lineRule="exact"/>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21,993</w:t>
            </w:r>
          </w:p>
        </w:tc>
        <w:tc>
          <w:tcPr>
            <w:tcW w:w="280" w:type="dxa"/>
            <w:vAlign w:val="bottom"/>
          </w:tcPr>
          <w:p>
            <w:pPr>
              <w:spacing w:after="0"/>
              <w:rPr>
                <w:sz w:val="17"/>
                <w:szCs w:val="17"/>
                <w:color w:val="auto"/>
              </w:rPr>
            </w:pPr>
          </w:p>
        </w:tc>
        <w:tc>
          <w:tcPr>
            <w:tcW w:w="160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19,179</w:t>
            </w:r>
          </w:p>
        </w:tc>
        <w:tc>
          <w:tcPr>
            <w:tcW w:w="0" w:type="dxa"/>
            <w:vAlign w:val="bottom"/>
          </w:tcPr>
          <w:p>
            <w:pPr>
              <w:spacing w:after="0"/>
              <w:rPr>
                <w:sz w:val="1"/>
                <w:szCs w:val="1"/>
                <w:color w:val="auto"/>
              </w:rPr>
            </w:pPr>
          </w:p>
        </w:tc>
      </w:tr>
      <w:tr>
        <w:trPr>
          <w:trHeight w:val="412"/>
        </w:trPr>
        <w:tc>
          <w:tcPr>
            <w:tcW w:w="79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color w:val="auto"/>
              </w:rPr>
              <w:t>59,422</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63,678</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color w:val="auto"/>
              </w:rPr>
              <w:t>24,259</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24,702</w:t>
            </w:r>
          </w:p>
        </w:tc>
        <w:tc>
          <w:tcPr>
            <w:tcW w:w="0" w:type="dxa"/>
            <w:vAlign w:val="bottom"/>
          </w:tcPr>
          <w:p>
            <w:pPr>
              <w:spacing w:after="0"/>
              <w:rPr>
                <w:sz w:val="1"/>
                <w:szCs w:val="1"/>
                <w:color w:val="auto"/>
              </w:rPr>
            </w:pPr>
          </w:p>
        </w:tc>
      </w:tr>
      <w:tr>
        <w:trPr>
          <w:trHeight w:val="405"/>
        </w:trPr>
        <w:tc>
          <w:tcPr>
            <w:tcW w:w="7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color w:val="auto"/>
              </w:rPr>
              <w:t>10,972</w:t>
            </w:r>
          </w:p>
        </w:tc>
        <w:tc>
          <w:tcPr>
            <w:tcW w:w="28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11,253</w:t>
            </w:r>
          </w:p>
        </w:tc>
        <w:tc>
          <w:tcPr>
            <w:tcW w:w="0" w:type="dxa"/>
            <w:vAlign w:val="bottom"/>
          </w:tcPr>
          <w:p>
            <w:pPr>
              <w:spacing w:after="0"/>
              <w:rPr>
                <w:sz w:val="1"/>
                <w:szCs w:val="1"/>
                <w:color w:val="auto"/>
              </w:rPr>
            </w:pPr>
          </w:p>
        </w:tc>
      </w:tr>
    </w:tbl>
    <w:p>
      <w:pPr>
        <w:sectPr>
          <w:pgSz w:w="11900" w:h="16884" w:orient="portrait"/>
          <w:cols w:equalWidth="0" w:num="1">
            <w:col w:w="11460"/>
          </w:cols>
          <w:pgMar w:left="240" w:top="121" w:right="199" w:bottom="0" w:gutter="0" w:footer="0" w:header="0"/>
        </w:sectPr>
      </w:pPr>
    </w:p>
    <w:bookmarkStart w:id="8" w:name="page9"/>
    <w:bookmarkEnd w:id="8"/>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1,354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4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69,482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940" w:type="dxa"/>
            <w:vAlign w:val="bottom"/>
          </w:tcPr>
          <w:p>
            <w:pPr>
              <w:ind w:left="300"/>
              <w:spacing w:after="0" w:line="181" w:lineRule="exact"/>
              <w:rPr>
                <w:sz w:val="20"/>
                <w:szCs w:val="20"/>
                <w:color w:val="auto"/>
              </w:rPr>
            </w:pPr>
            <w:r>
              <w:rPr>
                <w:rFonts w:ascii="Arial" w:cs="Arial" w:eastAsia="Arial" w:hAnsi="Arial"/>
                <w:sz w:val="18"/>
                <w:szCs w:val="18"/>
                <w:color w:val="auto"/>
              </w:rPr>
              <w:t>Comcast Corporation shareholders’ equity</w:t>
            </w:r>
          </w:p>
        </w:tc>
        <w:tc>
          <w:tcPr>
            <w:tcW w:w="1600" w:type="dxa"/>
            <w:vAlign w:val="bottom"/>
          </w:tcPr>
          <w:p>
            <w:pPr>
              <w:jc w:val="right"/>
              <w:spacing w:after="0" w:line="181" w:lineRule="exact"/>
              <w:rPr>
                <w:sz w:val="20"/>
                <w:szCs w:val="20"/>
                <w:color w:val="auto"/>
              </w:rPr>
            </w:pPr>
            <w:r>
              <w:rPr>
                <w:rFonts w:ascii="Arial" w:cs="Arial" w:eastAsia="Arial" w:hAnsi="Arial"/>
                <w:sz w:val="18"/>
                <w:szCs w:val="18"/>
                <w:color w:val="auto"/>
              </w:rPr>
              <w:t>68,616</w:t>
            </w:r>
          </w:p>
        </w:tc>
        <w:tc>
          <w:tcPr>
            <w:tcW w:w="2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30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940" w:type="dxa"/>
            <w:vAlign w:val="bottom"/>
          </w:tcPr>
          <w:p>
            <w:pPr>
              <w:ind w:left="420"/>
              <w:spacing w:after="0" w:line="197" w:lineRule="exact"/>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69,459</w:t>
            </w:r>
          </w:p>
        </w:tc>
        <w:tc>
          <w:tcPr>
            <w:tcW w:w="280" w:type="dxa"/>
            <w:vAlign w:val="bottom"/>
          </w:tcPr>
          <w:p>
            <w:pPr>
              <w:spacing w:after="0"/>
              <w:rPr>
                <w:sz w:val="17"/>
                <w:szCs w:val="17"/>
                <w:color w:val="auto"/>
              </w:rPr>
            </w:pPr>
          </w:p>
        </w:tc>
        <w:tc>
          <w:tcPr>
            <w:tcW w:w="160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70,710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9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$187,462</w:t>
            </w:r>
          </w:p>
        </w:tc>
        <w:tc>
          <w:tcPr>
            <w:tcW w:w="280" w:type="dxa"/>
            <w:vAlign w:val="bottom"/>
          </w:tcPr>
          <w:p>
            <w:pPr>
              <w:spacing w:after="0"/>
              <w:rPr>
                <w:sz w:val="24"/>
                <w:szCs w:val="24"/>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$190,876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94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71120</wp:posOffset>
            </wp:positionV>
            <wp:extent cx="1029335"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89" w:lineRule="exact"/>
        <w:rPr>
          <w:sz w:val="20"/>
          <w:szCs w:val="20"/>
          <w:color w:val="auto"/>
        </w:rPr>
      </w:pPr>
    </w:p>
    <w:p>
      <w:pPr>
        <w:ind w:right="3160"/>
        <w:spacing w:after="0" w:line="261" w:lineRule="auto"/>
        <w:rPr>
          <w:sz w:val="20"/>
          <w:szCs w:val="20"/>
          <w:color w:val="auto"/>
        </w:rPr>
      </w:pPr>
      <w:r>
        <w:rPr>
          <w:rFonts w:ascii="Arial" w:cs="Arial" w:eastAsia="Arial" w:hAnsi="Arial"/>
          <w:sz w:val="22"/>
          <w:szCs w:val="22"/>
          <w:b w:val="1"/>
          <w:bCs w:val="1"/>
          <w:color w:val="C9C9C9"/>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620" w:type="dxa"/>
            <w:vAlign w:val="bottom"/>
          </w:tcPr>
          <w:p>
            <w:pPr>
              <w:spacing w:after="0"/>
              <w:rPr>
                <w:sz w:val="16"/>
                <w:szCs w:val="16"/>
                <w:color w:val="auto"/>
              </w:rPr>
            </w:pPr>
          </w:p>
        </w:tc>
        <w:tc>
          <w:tcPr>
            <w:tcW w:w="16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March 31,</w:t>
            </w:r>
          </w:p>
        </w:tc>
        <w:tc>
          <w:tcPr>
            <w:tcW w:w="8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20"/>
                <w:szCs w:val="20"/>
                <w:color w:val="auto"/>
              </w:rPr>
            </w:pPr>
            <w:r>
              <w:rPr>
                <w:rFonts w:ascii="Arial" w:cs="Arial" w:eastAsia="Arial" w:hAnsi="Arial"/>
                <w:sz w:val="14"/>
                <w:szCs w:val="14"/>
                <w:color w:val="auto"/>
              </w:rPr>
              <w:t>(in millions)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$2,573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$3,118</w:t>
            </w:r>
          </w:p>
        </w:tc>
        <w:tc>
          <w:tcPr>
            <w:tcW w:w="0" w:type="dxa"/>
            <w:vAlign w:val="bottom"/>
          </w:tcPr>
          <w:p>
            <w:pPr>
              <w:spacing w:after="0"/>
              <w:rPr>
                <w:sz w:val="1"/>
                <w:szCs w:val="1"/>
                <w:color w:val="auto"/>
              </w:rPr>
            </w:pPr>
          </w:p>
        </w:tc>
      </w:tr>
      <w:tr>
        <w:trPr>
          <w:trHeight w:val="176"/>
        </w:trPr>
        <w:tc>
          <w:tcPr>
            <w:tcW w:w="8620" w:type="dxa"/>
            <w:vAlign w:val="bottom"/>
          </w:tcPr>
          <w:p>
            <w:pPr>
              <w:spacing w:after="0"/>
              <w:rPr>
                <w:sz w:val="20"/>
                <w:szCs w:val="20"/>
                <w:color w:val="auto"/>
              </w:rPr>
            </w:pPr>
            <w:r>
              <w:rPr>
                <w:rFonts w:ascii="Arial" w:cs="Arial" w:eastAsia="Arial" w:hAnsi="Arial"/>
                <w:sz w:val="14"/>
                <w:szCs w:val="14"/>
                <w:color w:val="auto"/>
              </w:rPr>
              <w:t>Net income attributable to noncontrolling interests and redeemable subsidiary preferred stock</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76"/>
        </w:trPr>
        <w:tc>
          <w:tcPr>
            <w:tcW w:w="862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1,262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818</w:t>
            </w:r>
          </w:p>
        </w:tc>
        <w:tc>
          <w:tcPr>
            <w:tcW w:w="0" w:type="dxa"/>
            <w:vAlign w:val="bottom"/>
          </w:tcPr>
          <w:p>
            <w:pPr>
              <w:spacing w:after="0"/>
              <w:rPr>
                <w:sz w:val="1"/>
                <w:szCs w:val="1"/>
                <w:color w:val="auto"/>
              </w:rPr>
            </w:pPr>
          </w:p>
        </w:tc>
      </w:tr>
      <w:tr>
        <w:trPr>
          <w:trHeight w:val="159"/>
        </w:trPr>
        <w:tc>
          <w:tcPr>
            <w:tcW w:w="8620" w:type="dxa"/>
            <w:vAlign w:val="bottom"/>
          </w:tcPr>
          <w:p>
            <w:pPr>
              <w:spacing w:after="0" w:line="159" w:lineRule="exact"/>
              <w:rPr>
                <w:sz w:val="20"/>
                <w:szCs w:val="20"/>
                <w:color w:val="auto"/>
              </w:rPr>
            </w:pPr>
            <w:r>
              <w:rPr>
                <w:rFonts w:ascii="Arial" w:cs="Arial" w:eastAsia="Arial" w:hAnsi="Arial"/>
                <w:sz w:val="14"/>
                <w:szCs w:val="14"/>
                <w:color w:val="auto"/>
              </w:rPr>
              <w:t>Interest expense</w:t>
            </w:r>
          </w:p>
        </w:tc>
        <w:tc>
          <w:tcPr>
            <w:tcW w:w="1140" w:type="dxa"/>
            <w:vAlign w:val="bottom"/>
          </w:tcPr>
          <w:p>
            <w:pPr>
              <w:jc w:val="right"/>
              <w:ind w:right="8"/>
              <w:spacing w:after="0" w:line="159" w:lineRule="exact"/>
              <w:rPr>
                <w:sz w:val="20"/>
                <w:szCs w:val="20"/>
                <w:color w:val="auto"/>
              </w:rPr>
            </w:pPr>
            <w:r>
              <w:rPr>
                <w:rFonts w:ascii="Arial" w:cs="Arial" w:eastAsia="Arial" w:hAnsi="Arial"/>
                <w:sz w:val="14"/>
                <w:szCs w:val="14"/>
                <w:color w:val="auto"/>
              </w:rPr>
              <w:t>755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auto"/>
              </w:rPr>
              <w:t>777</w:t>
            </w:r>
          </w:p>
        </w:tc>
        <w:tc>
          <w:tcPr>
            <w:tcW w:w="0" w:type="dxa"/>
            <w:vAlign w:val="bottom"/>
          </w:tcPr>
          <w:p>
            <w:pPr>
              <w:spacing w:after="0"/>
              <w:rPr>
                <w:sz w:val="1"/>
                <w:szCs w:val="1"/>
                <w:color w:val="auto"/>
              </w:rPr>
            </w:pPr>
          </w:p>
        </w:tc>
      </w:tr>
      <w:tr>
        <w:trPr>
          <w:trHeight w:val="193"/>
        </w:trPr>
        <w:tc>
          <w:tcPr>
            <w:tcW w:w="8620" w:type="dxa"/>
            <w:vAlign w:val="bottom"/>
          </w:tcPr>
          <w:p>
            <w:pPr>
              <w:spacing w:after="0" w:line="193" w:lineRule="exact"/>
              <w:rPr>
                <w:sz w:val="20"/>
                <w:szCs w:val="20"/>
                <w:color w:val="auto"/>
              </w:rPr>
            </w:pPr>
            <w:r>
              <w:rPr>
                <w:rFonts w:ascii="Arial" w:cs="Arial" w:eastAsia="Arial" w:hAnsi="Arial"/>
                <w:sz w:val="14"/>
                <w:szCs w:val="14"/>
                <w:color w:val="auto"/>
              </w:rPr>
              <w:t xml:space="preserve">Investment and other (income) loss, net </w:t>
            </w:r>
            <w:r>
              <w:rPr>
                <w:rFonts w:ascii="Arial" w:cs="Arial" w:eastAsia="Arial" w:hAnsi="Arial"/>
                <w:sz w:val="21"/>
                <w:szCs w:val="21"/>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175"/>
        </w:trPr>
        <w:tc>
          <w:tcPr>
            <w:tcW w:w="8620" w:type="dxa"/>
            <w:vAlign w:val="bottom"/>
          </w:tcPr>
          <w:p>
            <w:pPr>
              <w:spacing w:after="0"/>
              <w:rPr>
                <w:sz w:val="20"/>
                <w:szCs w:val="20"/>
                <w:color w:val="auto"/>
              </w:rPr>
            </w:pPr>
            <w:r>
              <w:rPr>
                <w:rFonts w:ascii="Arial" w:cs="Arial" w:eastAsia="Arial" w:hAnsi="Arial"/>
                <w:sz w:val="14"/>
                <w:szCs w:val="14"/>
                <w:color w:val="auto"/>
              </w:rPr>
              <w:t>Depreciation and amortization expense</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2,468</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2,599</w:t>
            </w:r>
          </w:p>
        </w:tc>
        <w:tc>
          <w:tcPr>
            <w:tcW w:w="0" w:type="dxa"/>
            <w:vAlign w:val="bottom"/>
          </w:tcPr>
          <w:p>
            <w:pPr>
              <w:spacing w:after="0"/>
              <w:rPr>
                <w:sz w:val="1"/>
                <w:szCs w:val="1"/>
                <w:color w:val="auto"/>
              </w:rPr>
            </w:pPr>
          </w:p>
        </w:tc>
      </w:tr>
      <w:tr>
        <w:trPr>
          <w:trHeight w:val="169"/>
        </w:trPr>
        <w:tc>
          <w:tcPr>
            <w:tcW w:w="86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$7,010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$7,244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000" w:type="dxa"/>
            <w:vAlign w:val="bottom"/>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11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120"/>
              <w:spacing w:after="0"/>
              <w:rPr>
                <w:sz w:val="20"/>
                <w:szCs w:val="20"/>
                <w:color w:val="auto"/>
              </w:rPr>
            </w:pPr>
            <w:r>
              <w:rPr>
                <w:rFonts w:ascii="Arial" w:cs="Arial" w:eastAsia="Arial" w:hAnsi="Arial"/>
                <w:sz w:val="14"/>
                <w:szCs w:val="14"/>
                <w:color w:val="auto"/>
              </w:rPr>
              <w:t>EPS</w:t>
            </w:r>
          </w:p>
        </w:tc>
        <w:tc>
          <w:tcPr>
            <w:tcW w:w="8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70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16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$2,573</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$0.53</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$3,118</w:t>
            </w:r>
          </w:p>
        </w:tc>
        <w:tc>
          <w:tcPr>
            <w:tcW w:w="72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$0.66</w:t>
            </w: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i w:val="1"/>
                <w:iCs w:val="1"/>
                <w:color w:val="auto"/>
              </w:rPr>
              <w:t>21.2%</w:t>
            </w:r>
          </w:p>
        </w:tc>
        <w:tc>
          <w:tcPr>
            <w:tcW w:w="720" w:type="dxa"/>
            <w:vAlign w:val="bottom"/>
          </w:tcPr>
          <w:p>
            <w:pPr>
              <w:ind w:left="320"/>
              <w:spacing w:after="0"/>
              <w:rPr>
                <w:sz w:val="20"/>
                <w:szCs w:val="20"/>
                <w:color w:val="auto"/>
              </w:rPr>
            </w:pPr>
            <w:r>
              <w:rPr>
                <w:rFonts w:ascii="Arial" w:cs="Arial" w:eastAsia="Arial" w:hAnsi="Arial"/>
                <w:sz w:val="14"/>
                <w:szCs w:val="14"/>
                <w:i w:val="1"/>
                <w:iCs w:val="1"/>
                <w:color w:val="auto"/>
                <w:w w:val="95"/>
              </w:rPr>
              <w:t>24.5%</w:t>
            </w:r>
          </w:p>
        </w:tc>
        <w:tc>
          <w:tcPr>
            <w:tcW w:w="0" w:type="dxa"/>
            <w:vAlign w:val="bottom"/>
          </w:tcPr>
          <w:p>
            <w:pPr>
              <w:spacing w:after="0"/>
              <w:rPr>
                <w:sz w:val="1"/>
                <w:szCs w:val="1"/>
                <w:color w:val="auto"/>
              </w:rPr>
            </w:pPr>
          </w:p>
        </w:tc>
      </w:tr>
      <w:tr>
        <w:trPr>
          <w:trHeight w:val="441"/>
        </w:trPr>
        <w:tc>
          <w:tcPr>
            <w:tcW w:w="7000" w:type="dxa"/>
            <w:vAlign w:val="bottom"/>
          </w:tcPr>
          <w:p>
            <w:pPr>
              <w:spacing w:after="0"/>
              <w:rPr>
                <w:sz w:val="20"/>
                <w:szCs w:val="20"/>
                <w:color w:val="auto"/>
              </w:rPr>
            </w:pPr>
            <w:r>
              <w:rPr>
                <w:rFonts w:ascii="Arial" w:cs="Arial" w:eastAsia="Arial" w:hAnsi="Arial"/>
                <w:sz w:val="14"/>
                <w:szCs w:val="14"/>
                <w:color w:val="auto"/>
              </w:rPr>
              <w:t xml:space="preserve">Fair value investments </w:t>
            </w:r>
            <w:r>
              <w:rPr>
                <w:rFonts w:ascii="Arial" w:cs="Arial" w:eastAsia="Arial" w:hAnsi="Arial"/>
                <w:sz w:val="21"/>
                <w:szCs w:val="21"/>
                <w:color w:val="auto"/>
                <w:vertAlign w:val="superscript"/>
              </w:rPr>
              <w:t>(2)</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(31)</w:t>
            </w:r>
          </w:p>
        </w:tc>
        <w:tc>
          <w:tcPr>
            <w:tcW w:w="118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(47)</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1"/>
                <w:szCs w:val="21"/>
                <w:color w:val="auto"/>
                <w:vertAlign w:val="superscript"/>
              </w:rPr>
              <w:t>(3)</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(128)</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206"/>
        </w:trPr>
        <w:tc>
          <w:tcPr>
            <w:tcW w:w="7000" w:type="dxa"/>
            <w:vAlign w:val="bottom"/>
          </w:tcPr>
          <w:p>
            <w:pPr>
              <w:spacing w:after="0" w:line="206" w:lineRule="exact"/>
              <w:rPr>
                <w:sz w:val="20"/>
                <w:szCs w:val="20"/>
                <w:color w:val="auto"/>
              </w:rPr>
            </w:pPr>
            <w:r>
              <w:rPr>
                <w:rFonts w:ascii="Arial" w:cs="Arial" w:eastAsia="Arial" w:hAnsi="Arial"/>
                <w:sz w:val="14"/>
                <w:szCs w:val="14"/>
                <w:color w:val="auto"/>
              </w:rPr>
              <w:t>Gain on the sale of investment</w:t>
            </w:r>
            <w:r>
              <w:rPr>
                <w:rFonts w:ascii="Arial" w:cs="Arial" w:eastAsia="Arial" w:hAnsi="Arial"/>
                <w:sz w:val="21"/>
                <w:szCs w:val="21"/>
                <w:color w:val="auto"/>
                <w:vertAlign w:val="superscript"/>
              </w:rPr>
              <w:t>(4)</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(48)</w:t>
            </w:r>
          </w:p>
        </w:tc>
        <w:tc>
          <w:tcPr>
            <w:tcW w:w="720" w:type="dxa"/>
            <w:vAlign w:val="bottom"/>
          </w:tcPr>
          <w:p>
            <w:pPr>
              <w:ind w:left="300"/>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96"/>
        </w:trPr>
        <w:tc>
          <w:tcPr>
            <w:tcW w:w="70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 adjustments)</w:t>
            </w:r>
          </w:p>
        </w:tc>
        <w:tc>
          <w:tcPr>
            <w:tcW w:w="11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$2,542</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$0.53</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$2,895</w:t>
            </w:r>
          </w:p>
        </w:tc>
        <w:tc>
          <w:tcPr>
            <w:tcW w:w="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$0.62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0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i w:val="1"/>
                <w:iCs w:val="1"/>
                <w:color w:val="auto"/>
              </w:rPr>
              <w:t>13.9%</w:t>
            </w:r>
          </w:p>
        </w:tc>
        <w:tc>
          <w:tcPr>
            <w:tcW w:w="720" w:type="dxa"/>
            <w:vAlign w:val="bottom"/>
          </w:tcPr>
          <w:p>
            <w:pPr>
              <w:ind w:left="320"/>
              <w:spacing w:after="0"/>
              <w:rPr>
                <w:sz w:val="20"/>
                <w:szCs w:val="20"/>
                <w:color w:val="auto"/>
              </w:rPr>
            </w:pPr>
            <w:r>
              <w:rPr>
                <w:rFonts w:ascii="Arial" w:cs="Arial" w:eastAsia="Arial" w:hAnsi="Arial"/>
                <w:sz w:val="14"/>
                <w:szCs w:val="14"/>
                <w:i w:val="1"/>
                <w:iCs w:val="1"/>
                <w:color w:val="auto"/>
                <w:w w:val="95"/>
              </w:rPr>
              <w:t>17.0%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right="40" w:hanging="252"/>
        <w:spacing w:after="0" w:line="258" w:lineRule="auto"/>
        <w:tabs>
          <w:tab w:leader="none" w:pos="253"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realized and unrealized (gains) losses on equity securities, net, and other (income) expense, net.</w:t>
      </w:r>
    </w:p>
    <w:p>
      <w:pPr>
        <w:spacing w:after="0" w:line="59" w:lineRule="exact"/>
        <w:rPr>
          <w:rFonts w:ascii="Arial" w:cs="Arial" w:eastAsia="Arial" w:hAnsi="Arial"/>
          <w:sz w:val="14"/>
          <w:szCs w:val="14"/>
          <w:color w:val="auto"/>
        </w:rPr>
      </w:pPr>
    </w:p>
    <w:p>
      <w:pPr>
        <w:ind w:left="260" w:right="40" w:hanging="252"/>
        <w:spacing w:after="0" w:line="258" w:lineRule="auto"/>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Fair value investments include realized and unrealized (gains) losses on equity securities, net (as stated in Table 1), as well as the equity in net (income) losses, net for our investment in Atairos.</w:t>
      </w:r>
    </w:p>
    <w:p>
      <w:pPr>
        <w:sectPr>
          <w:pgSz w:w="11900" w:h="16915" w:orient="portrait"/>
          <w:cols w:equalWidth="0" w:num="1">
            <w:col w:w="11460"/>
          </w:cols>
          <w:pgMar w:left="240" w:top="319"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right="1420"/>
        <w:spacing w:after="0" w:line="275" w:lineRule="auto"/>
        <w:rPr>
          <w:sz w:val="20"/>
          <w:szCs w:val="20"/>
          <w:color w:val="auto"/>
        </w:rPr>
      </w:pPr>
      <w:r>
        <w:rPr>
          <w:rFonts w:ascii="Arial" w:cs="Arial" w:eastAsia="Arial" w:hAnsi="Arial"/>
          <w:sz w:val="14"/>
          <w:szCs w:val="14"/>
          <w:color w:val="auto"/>
        </w:rPr>
        <w:t>Realized and unrealized (gains) losses on equity securities, net Equity in net (income) losses, net for investment in Atairos Fair value investments before income taxes</w:t>
      </w:r>
    </w:p>
    <w:p>
      <w:pPr>
        <w:ind w:left="260"/>
        <w:spacing w:after="0"/>
        <w:rPr>
          <w:sz w:val="20"/>
          <w:szCs w:val="20"/>
          <w:color w:val="auto"/>
        </w:rPr>
      </w:pPr>
      <w:r>
        <w:rPr>
          <w:rFonts w:ascii="Arial" w:cs="Arial" w:eastAsia="Arial" w:hAnsi="Arial"/>
          <w:sz w:val="14"/>
          <w:szCs w:val="14"/>
          <w:color w:val="auto"/>
        </w:rPr>
        <w:t>Fair value investments, net of tax</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March 31,</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-1905</wp:posOffset>
            </wp:positionV>
            <wp:extent cx="13550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5</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-1905</wp:posOffset>
            </wp:positionV>
            <wp:extent cx="13550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(52)</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-1905</wp:posOffset>
            </wp:positionV>
            <wp:extent cx="13550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5090" cy="8890"/>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14605</wp:posOffset>
            </wp:positionV>
            <wp:extent cx="13550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24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right="1240"/>
        <w:spacing w:after="0"/>
        <w:rPr>
          <w:sz w:val="20"/>
          <w:szCs w:val="20"/>
          <w:color w:val="auto"/>
        </w:rPr>
      </w:pPr>
      <w:r>
        <w:rPr>
          <w:rFonts w:ascii="Arial" w:cs="Arial" w:eastAsia="Arial" w:hAnsi="Arial"/>
          <w:sz w:val="14"/>
          <w:szCs w:val="14"/>
          <w:color w:val="auto"/>
        </w:rPr>
        <w:t>March 31,</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-1905</wp:posOffset>
            </wp:positionV>
            <wp:extent cx="1346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 w:lineRule="exact"/>
        <w:rPr>
          <w:sz w:val="20"/>
          <w:szCs w:val="20"/>
          <w:color w:val="auto"/>
        </w:rPr>
      </w:pPr>
    </w:p>
    <w:p>
      <w:pPr>
        <w:jc w:val="right"/>
        <w:ind w:right="880"/>
        <w:spacing w:after="0"/>
        <w:rPr>
          <w:sz w:val="20"/>
          <w:szCs w:val="20"/>
          <w:color w:val="auto"/>
        </w:rPr>
      </w:pPr>
      <w:r>
        <w:rPr>
          <w:rFonts w:ascii="Arial" w:cs="Arial" w:eastAsia="Arial" w:hAnsi="Arial"/>
          <w:sz w:val="14"/>
          <w:szCs w:val="14"/>
          <w:color w:val="auto"/>
        </w:rPr>
        <w:t>(28)</w:t>
      </w:r>
    </w:p>
    <w:p>
      <w:pPr>
        <w:spacing w:after="0" w:line="15" w:lineRule="exact"/>
        <w:rPr>
          <w:sz w:val="20"/>
          <w:szCs w:val="20"/>
          <w:color w:val="auto"/>
        </w:rPr>
      </w:pPr>
    </w:p>
    <w:p>
      <w:pPr>
        <w:jc w:val="right"/>
        <w:ind w:right="8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-1905</wp:posOffset>
            </wp:positionV>
            <wp:extent cx="1346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8" w:lineRule="exact"/>
        <w:rPr>
          <w:sz w:val="20"/>
          <w:szCs w:val="20"/>
          <w:color w:val="auto"/>
        </w:rPr>
      </w:pPr>
    </w:p>
    <w:p>
      <w:pPr>
        <w:jc w:val="right"/>
        <w:ind w:right="880"/>
        <w:spacing w:after="0"/>
        <w:rPr>
          <w:sz w:val="20"/>
          <w:szCs w:val="20"/>
          <w:color w:val="auto"/>
        </w:rPr>
      </w:pPr>
      <w:r>
        <w:rPr>
          <w:rFonts w:ascii="Arial" w:cs="Arial" w:eastAsia="Arial" w:hAnsi="Arial"/>
          <w:sz w:val="14"/>
          <w:szCs w:val="14"/>
          <w:color w:val="auto"/>
        </w:rPr>
        <w:t>(63)</w:t>
      </w:r>
    </w:p>
    <w:p>
      <w:pPr>
        <w:spacing w:after="0" w:line="15" w:lineRule="exact"/>
        <w:rPr>
          <w:sz w:val="20"/>
          <w:szCs w:val="20"/>
          <w:color w:val="auto"/>
        </w:rPr>
      </w:pPr>
    </w:p>
    <w:p>
      <w:pPr>
        <w:jc w:val="right"/>
        <w:ind w:right="88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-1905</wp:posOffset>
            </wp:positionV>
            <wp:extent cx="1346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14605</wp:posOffset>
            </wp:positionV>
            <wp:extent cx="1346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ectPr>
          <w:pgSz w:w="11900" w:h="16915" w:orient="portrait"/>
          <w:cols w:equalWidth="0" w:num="3">
            <w:col w:w="5720" w:space="720"/>
            <w:col w:w="1720" w:space="720"/>
            <w:col w:w="2580"/>
          </w:cols>
          <w:pgMar w:left="240" w:top="319" w:right="199" w:bottom="0" w:gutter="0" w:footer="0" w:header="0"/>
          <w:type w:val="continuous"/>
        </w:sectPr>
      </w:pPr>
    </w:p>
    <w:p>
      <w:pPr>
        <w:spacing w:after="0" w:line="44"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1st quarter 2018 net income attributable to Comcast Corporation includes a $128 million net income tax benefit as a result of federal tax legislation enacted in 2018.</w:t>
      </w:r>
    </w:p>
    <w:p>
      <w:pPr>
        <w:spacing w:after="0" w:line="82" w:lineRule="exact"/>
        <w:rPr>
          <w:rFonts w:ascii="Arial" w:cs="Arial" w:eastAsia="Arial" w:hAnsi="Arial"/>
          <w:sz w:val="14"/>
          <w:szCs w:val="14"/>
          <w:color w:val="auto"/>
        </w:rPr>
      </w:pPr>
    </w:p>
    <w:p>
      <w:pPr>
        <w:ind w:left="260" w:right="40" w:hanging="252"/>
        <w:spacing w:after="0" w:line="258" w:lineRule="auto"/>
        <w:tabs>
          <w:tab w:leader="none" w:pos="253" w:val="left"/>
        </w:tabs>
        <w:numPr>
          <w:ilvl w:val="0"/>
          <w:numId w:val="9"/>
        </w:numPr>
        <w:rPr>
          <w:rFonts w:ascii="Arial" w:cs="Arial" w:eastAsia="Arial" w:hAnsi="Arial"/>
          <w:sz w:val="14"/>
          <w:szCs w:val="14"/>
          <w:color w:val="auto"/>
        </w:rPr>
      </w:pPr>
      <w:r>
        <w:rPr>
          <w:rFonts w:ascii="Arial" w:cs="Arial" w:eastAsia="Arial" w:hAnsi="Arial"/>
          <w:sz w:val="14"/>
          <w:szCs w:val="14"/>
          <w:color w:val="auto"/>
        </w:rPr>
        <w:t>1st quarter 2018 net income attributable to Comcast Corporation includes $64 million of other income, $48 million net of tax, resulting from a gain on the sale of our investment in The Weather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71120</wp:posOffset>
            </wp:positionV>
            <wp:extent cx="1029335"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89" w:lineRule="exact"/>
        <w:rPr>
          <w:sz w:val="20"/>
          <w:szCs w:val="20"/>
          <w:color w:val="auto"/>
        </w:rPr>
      </w:pPr>
    </w:p>
    <w:p>
      <w:pPr>
        <w:ind w:right="3680"/>
        <w:spacing w:after="0" w:line="267" w:lineRule="auto"/>
        <w:rPr>
          <w:sz w:val="20"/>
          <w:szCs w:val="20"/>
          <w:color w:val="auto"/>
        </w:rPr>
      </w:pPr>
      <w:r>
        <w:rPr>
          <w:rFonts w:ascii="Arial" w:cs="Arial" w:eastAsia="Arial" w:hAnsi="Arial"/>
          <w:sz w:val="22"/>
          <w:szCs w:val="22"/>
          <w:b w:val="1"/>
          <w:bCs w:val="1"/>
          <w:color w:val="C9C9C9"/>
        </w:rPr>
        <w:t>Reconciliation from Net Cash Provided by Operating Activities to Free Cash Flow</w:t>
      </w:r>
      <w:r>
        <w:rPr>
          <w:rFonts w:ascii="Arial" w:cs="Arial" w:eastAsia="Arial" w:hAnsi="Arial"/>
          <w:sz w:val="22"/>
          <w:szCs w:val="22"/>
          <w:b w:val="1"/>
          <w:bCs w:val="1"/>
          <w:color w:val="C9C9C9"/>
          <w:vertAlign w:val="superscript"/>
        </w:rPr>
        <w:t>1</w:t>
      </w:r>
      <w:r>
        <w:rPr>
          <w:rFonts w:ascii="Arial" w:cs="Arial" w:eastAsia="Arial" w:hAnsi="Arial"/>
          <w:sz w:val="22"/>
          <w:szCs w:val="22"/>
          <w:b w:val="1"/>
          <w:bCs w:val="1"/>
          <w:color w:val="C9C9C9"/>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915" w:orient="portrait"/>
          <w:cols w:equalWidth="0" w:num="1">
            <w:col w:w="11460"/>
          </w:cols>
          <w:pgMar w:left="240" w:top="319" w:right="1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(in millions)</w:t>
            </w: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8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Net cash provided by operating activities</w:t>
            </w: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860" w:type="dxa"/>
            <w:vAlign w:val="bottom"/>
            <w:gridSpan w:val="2"/>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$5,474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Capital expenditures</w:t>
            </w: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(2,078)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(1,973)</w:t>
            </w: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Cash paid for capitalized software and other intangible assets</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(385)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(419)</w:t>
            </w:r>
          </w:p>
        </w:tc>
        <w:tc>
          <w:tcPr>
            <w:tcW w:w="0" w:type="dxa"/>
            <w:vAlign w:val="bottom"/>
          </w:tcPr>
          <w:p>
            <w:pPr>
              <w:spacing w:after="0"/>
              <w:rPr>
                <w:sz w:val="1"/>
                <w:szCs w:val="1"/>
                <w:color w:val="auto"/>
              </w:rPr>
            </w:pPr>
          </w:p>
        </w:tc>
      </w:tr>
      <w:tr>
        <w:trPr>
          <w:trHeight w:val="26"/>
        </w:trPr>
        <w:tc>
          <w:tcPr>
            <w:tcW w:w="8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 free cash flow</w:t>
            </w: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860" w:type="dxa"/>
            <w:vAlign w:val="bottom"/>
            <w:gridSpan w:val="2"/>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60" w:type="dxa"/>
            <w:vAlign w:val="bottom"/>
            <w:gridSpan w:val="2"/>
            <w:vMerge w:val="restart"/>
          </w:tcPr>
          <w:p>
            <w:pPr>
              <w:spacing w:after="0"/>
              <w:rPr>
                <w:sz w:val="20"/>
                <w:szCs w:val="20"/>
                <w:color w:val="auto"/>
              </w:rPr>
            </w:pPr>
            <w:r>
              <w:rPr>
                <w:rFonts w:ascii="Arial" w:cs="Arial" w:eastAsia="Arial" w:hAnsi="Arial"/>
                <w:sz w:val="22"/>
                <w:szCs w:val="22"/>
                <w:b w:val="1"/>
                <w:bCs w:val="1"/>
                <w:color w:val="C9C9C9"/>
              </w:rPr>
              <w:t>Alternate Presentation of Free Cash Flow</w:t>
            </w:r>
            <w:r>
              <w:rPr>
                <w:rFonts w:ascii="Arial" w:cs="Arial" w:eastAsia="Arial" w:hAnsi="Arial"/>
                <w:sz w:val="22"/>
                <w:szCs w:val="22"/>
                <w:b w:val="1"/>
                <w:bCs w:val="1"/>
                <w:color w:val="C9C9C9"/>
                <w:vertAlign w:val="superscript"/>
              </w:rPr>
              <w:t>1</w:t>
            </w:r>
            <w:r>
              <w:rPr>
                <w:rFonts w:ascii="Arial" w:cs="Arial" w:eastAsia="Arial" w:hAnsi="Arial"/>
                <w:sz w:val="22"/>
                <w:szCs w:val="22"/>
                <w:b w:val="1"/>
                <w:bCs w:val="1"/>
                <w:color w:val="C9C9C9"/>
              </w:rPr>
              <w:t xml:space="preserve"> (Unaudited)</w:t>
            </w: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860" w:type="dxa"/>
            <w:vAlign w:val="bottom"/>
            <w:tcBorders>
              <w:bottom w:val="single" w:sz="8" w:color="0050B9"/>
            </w:tcBorders>
            <w:gridSpan w:val="2"/>
            <w:vMerge w:val="continue"/>
          </w:tcPr>
          <w:p>
            <w:pPr>
              <w:spacing w:after="0"/>
              <w:rPr>
                <w:sz w:val="24"/>
                <w:szCs w:val="24"/>
                <w:color w:val="auto"/>
              </w:rPr>
            </w:pPr>
          </w:p>
        </w:tc>
        <w:tc>
          <w:tcPr>
            <w:tcW w:w="1120" w:type="dxa"/>
            <w:vAlign w:val="bottom"/>
            <w:tcBorders>
              <w:bottom w:val="single" w:sz="8" w:color="0050B9"/>
            </w:tcBorders>
          </w:tcPr>
          <w:p>
            <w:pPr>
              <w:spacing w:after="0"/>
              <w:rPr>
                <w:sz w:val="24"/>
                <w:szCs w:val="24"/>
                <w:color w:val="auto"/>
              </w:rPr>
            </w:pPr>
          </w:p>
        </w:tc>
        <w:tc>
          <w:tcPr>
            <w:tcW w:w="40" w:type="dxa"/>
            <w:vAlign w:val="bottom"/>
            <w:tcBorders>
              <w:bottom w:val="single" w:sz="8" w:color="0050B9"/>
            </w:tcBorders>
          </w:tcPr>
          <w:p>
            <w:pPr>
              <w:spacing w:after="0"/>
              <w:rPr>
                <w:sz w:val="24"/>
                <w:szCs w:val="24"/>
                <w:color w:val="auto"/>
              </w:rPr>
            </w:pPr>
          </w:p>
        </w:tc>
        <w:tc>
          <w:tcPr>
            <w:tcW w:w="140" w:type="dxa"/>
            <w:vAlign w:val="bottom"/>
            <w:tcBorders>
              <w:bottom w:val="single" w:sz="8" w:color="0050B9"/>
            </w:tcBorders>
          </w:tcPr>
          <w:p>
            <w:pPr>
              <w:spacing w:after="0"/>
              <w:rPr>
                <w:sz w:val="24"/>
                <w:szCs w:val="24"/>
                <w:color w:val="auto"/>
              </w:rPr>
            </w:pPr>
          </w:p>
        </w:tc>
        <w:tc>
          <w:tcPr>
            <w:tcW w:w="20" w:type="dxa"/>
            <w:vAlign w:val="bottom"/>
            <w:tcBorders>
              <w:bottom w:val="single" w:sz="8" w:color="0050B9"/>
            </w:tcBorders>
          </w:tcPr>
          <w:p>
            <w:pPr>
              <w:spacing w:after="0"/>
              <w:rPr>
                <w:sz w:val="24"/>
                <w:szCs w:val="24"/>
                <w:color w:val="auto"/>
              </w:rPr>
            </w:pPr>
          </w:p>
        </w:tc>
        <w:tc>
          <w:tcPr>
            <w:tcW w:w="320" w:type="dxa"/>
            <w:vAlign w:val="bottom"/>
            <w:tcBorders>
              <w:bottom w:val="single" w:sz="8" w:color="0050B9"/>
            </w:tcBorders>
          </w:tcPr>
          <w:p>
            <w:pPr>
              <w:spacing w:after="0"/>
              <w:rPr>
                <w:sz w:val="24"/>
                <w:szCs w:val="24"/>
                <w:color w:val="auto"/>
              </w:rPr>
            </w:pPr>
          </w:p>
        </w:tc>
        <w:tc>
          <w:tcPr>
            <w:tcW w:w="800" w:type="dxa"/>
            <w:vAlign w:val="bottom"/>
            <w:tcBorders>
              <w:bottom w:val="single" w:sz="8" w:color="0050B9"/>
            </w:tcBorders>
          </w:tcPr>
          <w:p>
            <w:pPr>
              <w:spacing w:after="0"/>
              <w:rPr>
                <w:sz w:val="24"/>
                <w:szCs w:val="24"/>
                <w:color w:val="auto"/>
              </w:rPr>
            </w:pPr>
          </w:p>
        </w:tc>
        <w:tc>
          <w:tcPr>
            <w:tcW w:w="20" w:type="dxa"/>
            <w:vAlign w:val="bottom"/>
            <w:tcBorders>
              <w:bottom w:val="single" w:sz="8" w:color="0050B9"/>
            </w:tcBorders>
          </w:tcPr>
          <w:p>
            <w:pPr>
              <w:spacing w:after="0"/>
              <w:rPr>
                <w:sz w:val="24"/>
                <w:szCs w:val="24"/>
                <w:color w:val="auto"/>
              </w:rPr>
            </w:pPr>
          </w:p>
        </w:tc>
        <w:tc>
          <w:tcPr>
            <w:tcW w:w="10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5"/>
          </w:tcPr>
          <w:p>
            <w:pPr>
              <w:jc w:val="center"/>
              <w:ind w:left="708"/>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(in millions)</w:t>
            </w: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8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860" w:type="dxa"/>
            <w:vAlign w:val="bottom"/>
            <w:gridSpan w:val="2"/>
          </w:tcPr>
          <w:p>
            <w:pPr>
              <w:ind w:left="360"/>
              <w:spacing w:after="0"/>
              <w:rPr>
                <w:sz w:val="20"/>
                <w:szCs w:val="20"/>
                <w:color w:val="auto"/>
              </w:rPr>
            </w:pPr>
            <w:r>
              <w:rPr>
                <w:rFonts w:ascii="Arial" w:cs="Arial" w:eastAsia="Arial" w:hAnsi="Arial"/>
                <w:sz w:val="14"/>
                <w:szCs w:val="14"/>
                <w:b w:val="1"/>
                <w:bCs w:val="1"/>
                <w:color w:val="auto"/>
              </w:rPr>
              <w:t>Adjusted EBITDA</w:t>
            </w:r>
          </w:p>
        </w:tc>
        <w:tc>
          <w:tcPr>
            <w:tcW w:w="1120" w:type="dxa"/>
            <w:vAlign w:val="bottom"/>
          </w:tcPr>
          <w:p>
            <w:pPr>
              <w:jc w:val="right"/>
              <w:spacing w:after="0"/>
              <w:rPr>
                <w:sz w:val="20"/>
                <w:szCs w:val="20"/>
                <w:color w:val="auto"/>
              </w:rPr>
            </w:pPr>
            <w:r>
              <w:rPr>
                <w:rFonts w:ascii="Arial" w:cs="Arial" w:eastAsia="Arial" w:hAnsi="Arial"/>
                <w:sz w:val="14"/>
                <w:szCs w:val="14"/>
                <w:color w:val="auto"/>
              </w:rPr>
              <w:t>$7,010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$7,244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Capital expenditures</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color w:val="auto"/>
              </w:rPr>
              <w:t>(2,078)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Cash paid for capitalized software and other intangible assets</w:t>
            </w:r>
          </w:p>
        </w:tc>
        <w:tc>
          <w:tcPr>
            <w:tcW w:w="1120" w:type="dxa"/>
            <w:vAlign w:val="bottom"/>
          </w:tcPr>
          <w:p>
            <w:pPr>
              <w:jc w:val="right"/>
              <w:spacing w:after="0"/>
              <w:rPr>
                <w:sz w:val="20"/>
                <w:szCs w:val="20"/>
                <w:color w:val="auto"/>
              </w:rPr>
            </w:pPr>
            <w:r>
              <w:rPr>
                <w:rFonts w:ascii="Arial" w:cs="Arial" w:eastAsia="Arial" w:hAnsi="Arial"/>
                <w:sz w:val="14"/>
                <w:szCs w:val="14"/>
                <w:color w:val="auto"/>
              </w:rPr>
              <w:t>(385)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Cash interest expense</w:t>
            </w:r>
          </w:p>
        </w:tc>
        <w:tc>
          <w:tcPr>
            <w:tcW w:w="1120" w:type="dxa"/>
            <w:vAlign w:val="bottom"/>
          </w:tcPr>
          <w:p>
            <w:pPr>
              <w:jc w:val="right"/>
              <w:spacing w:after="0"/>
              <w:rPr>
                <w:sz w:val="20"/>
                <w:szCs w:val="20"/>
                <w:color w:val="auto"/>
              </w:rPr>
            </w:pPr>
            <w:r>
              <w:rPr>
                <w:rFonts w:ascii="Arial" w:cs="Arial" w:eastAsia="Arial" w:hAnsi="Arial"/>
                <w:sz w:val="14"/>
                <w:szCs w:val="14"/>
                <w:color w:val="auto"/>
              </w:rPr>
              <w:t>(895)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Cash taxes</w:t>
            </w:r>
          </w:p>
        </w:tc>
        <w:tc>
          <w:tcPr>
            <w:tcW w:w="1120" w:type="dxa"/>
            <w:vAlign w:val="bottom"/>
          </w:tcPr>
          <w:p>
            <w:pPr>
              <w:jc w:val="right"/>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120" w:type="dxa"/>
            <w:vAlign w:val="bottom"/>
          </w:tcPr>
          <w:p>
            <w:pPr>
              <w:jc w:val="right"/>
              <w:spacing w:after="0"/>
              <w:rPr>
                <w:sz w:val="20"/>
                <w:szCs w:val="20"/>
                <w:color w:val="auto"/>
              </w:rPr>
            </w:pPr>
            <w:r>
              <w:rPr>
                <w:rFonts w:ascii="Arial" w:cs="Arial" w:eastAsia="Arial" w:hAnsi="Arial"/>
                <w:sz w:val="14"/>
                <w:szCs w:val="14"/>
                <w:color w:val="auto"/>
              </w:rPr>
              <w:t>(589)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Noncash share-based compensation</w:t>
            </w:r>
          </w:p>
        </w:tc>
        <w:tc>
          <w:tcPr>
            <w:tcW w:w="1120" w:type="dxa"/>
            <w:vAlign w:val="bottom"/>
          </w:tcPr>
          <w:p>
            <w:pPr>
              <w:jc w:val="right"/>
              <w:spacing w:after="0"/>
              <w:rPr>
                <w:sz w:val="20"/>
                <w:szCs w:val="20"/>
                <w:color w:val="auto"/>
              </w:rPr>
            </w:pPr>
            <w:r>
              <w:rPr>
                <w:rFonts w:ascii="Arial" w:cs="Arial" w:eastAsia="Arial" w:hAnsi="Arial"/>
                <w:sz w:val="14"/>
                <w:szCs w:val="14"/>
                <w:color w:val="auto"/>
              </w:rPr>
              <w:t>173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60" w:type="dxa"/>
            <w:vAlign w:val="bottom"/>
            <w:gridSpan w:val="2"/>
          </w:tcPr>
          <w:p>
            <w:pPr>
              <w:ind w:left="360"/>
              <w:spacing w:after="0"/>
              <w:rPr>
                <w:sz w:val="20"/>
                <w:szCs w:val="20"/>
                <w:color w:val="auto"/>
              </w:rPr>
            </w:pPr>
            <w:r>
              <w:rPr>
                <w:rFonts w:ascii="Arial" w:cs="Arial" w:eastAsia="Arial" w:hAnsi="Arial"/>
                <w:sz w:val="14"/>
                <w:szCs w:val="14"/>
                <w:color w:val="auto"/>
              </w:rPr>
              <w:t>Other</w:t>
            </w: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8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86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 free cash flow</w:t>
            </w:r>
          </w:p>
        </w:tc>
        <w:tc>
          <w:tcPr>
            <w:tcW w:w="1120" w:type="dxa"/>
            <w:vAlign w:val="bottom"/>
          </w:tcPr>
          <w:p>
            <w:pPr>
              <w:jc w:val="right"/>
              <w:spacing w:after="0"/>
              <w:rPr>
                <w:sz w:val="20"/>
                <w:szCs w:val="20"/>
                <w:color w:val="auto"/>
              </w:rPr>
            </w:pPr>
            <w:r>
              <w:rPr>
                <w:rFonts w:ascii="Arial" w:cs="Arial" w:eastAsia="Arial" w:hAnsi="Arial"/>
                <w:sz w:val="14"/>
                <w:szCs w:val="14"/>
                <w:color w:val="auto"/>
              </w:rPr>
              <w:t>$3,162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80" w:hanging="332"/>
        <w:spacing w:after="0" w:line="244" w:lineRule="auto"/>
        <w:tabs>
          <w:tab w:leader="none" w:pos="358" w:val="left"/>
        </w:tabs>
        <w:numPr>
          <w:ilvl w:val="0"/>
          <w:numId w:val="10"/>
        </w:numPr>
        <w:rPr>
          <w:rFonts w:ascii="Arial" w:cs="Arial" w:eastAsia="Arial" w:hAnsi="Arial"/>
          <w:sz w:val="11"/>
          <w:szCs w:val="11"/>
          <w:color w:val="auto"/>
        </w:rPr>
      </w:pPr>
      <w:r>
        <w:rPr>
          <w:rFonts w:ascii="Arial" w:cs="Arial" w:eastAsia="Arial" w:hAnsi="Arial"/>
          <w:sz w:val="14"/>
          <w:szCs w:val="14"/>
          <w:color w:val="auto"/>
        </w:rPr>
        <w:t>Beginning in the first quarter 2018, we have implemented changes that simplify our definition of Free Cash Flow to the following: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Consistent with our previous definition, cash payments for acquisitions and construction of real estate properties are presented separately in our Consolidated Statement of Cash Flows and are therefore excluded from capital expenditures for Free Cash Flow. Following this change, our new definition of Free Cash Flow no longer adjusts for, among other things, the effects of economic stimulus packages, distributions to noncontrolling interests and dividends for redeemable preferred stock and certain nonoperating items. The prior period amounts have been adjusted to reflect this change.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-99695</wp:posOffset>
            </wp:positionV>
            <wp:extent cx="1029335"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C9C9C9"/>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March 31,</w:t>
            </w:r>
          </w:p>
        </w:tc>
        <w:tc>
          <w:tcPr>
            <w:tcW w:w="70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98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7860" w:type="dxa"/>
            <w:vAlign w:val="bottom"/>
          </w:tcPr>
          <w:p>
            <w:pPr>
              <w:spacing w:after="0"/>
              <w:rPr>
                <w:sz w:val="20"/>
                <w:szCs w:val="20"/>
                <w:color w:val="auto"/>
              </w:rPr>
            </w:pPr>
            <w:r>
              <w:rPr>
                <w:rFonts w:ascii="Arial" w:cs="Arial" w:eastAsia="Arial" w:hAnsi="Arial"/>
                <w:sz w:val="16"/>
                <w:szCs w:val="16"/>
                <w:color w:val="auto"/>
              </w:rPr>
              <w:t>Revenue</w:t>
            </w:r>
          </w:p>
        </w:tc>
        <w:tc>
          <w:tcPr>
            <w:tcW w:w="980" w:type="dxa"/>
            <w:vAlign w:val="bottom"/>
          </w:tcPr>
          <w:p>
            <w:pPr>
              <w:jc w:val="right"/>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$3,194</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6"/>
                <w:szCs w:val="16"/>
                <w:color w:val="auto"/>
              </w:rPr>
              <w:t>2018 Olympics</w:t>
            </w:r>
          </w:p>
        </w:tc>
        <w:tc>
          <w:tcPr>
            <w:tcW w:w="140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Revenue excluding 2018 Olympics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420"/>
        <w:spacing w:after="0" w:line="258" w:lineRule="auto"/>
        <w:rPr>
          <w:sz w:val="20"/>
          <w:szCs w:val="20"/>
          <w:color w:val="auto"/>
        </w:rPr>
      </w:pPr>
      <w:r>
        <w:rPr>
          <w:rFonts w:ascii="Arial" w:cs="Arial" w:eastAsia="Arial" w:hAnsi="Arial"/>
          <w:sz w:val="20"/>
          <w:szCs w:val="20"/>
          <w:b w:val="1"/>
          <w:bCs w:val="1"/>
          <w:color w:val="C9C9C9"/>
        </w:rPr>
        <w:t>Reconciliation of Broadcast Television Revenue Excluding 2018 Olympics and 2018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r>
      <w:tr>
        <w:trPr>
          <w:trHeight w:val="189"/>
        </w:trPr>
        <w:tc>
          <w:tcPr>
            <w:tcW w:w="7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Growth %</w:t>
            </w:r>
          </w:p>
        </w:tc>
      </w:tr>
    </w:tbl>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Revenue</w:t>
            </w:r>
          </w:p>
        </w:tc>
        <w:tc>
          <w:tcPr>
            <w:tcW w:w="980" w:type="dxa"/>
            <w:vAlign w:val="bottom"/>
          </w:tcPr>
          <w:p>
            <w:pPr>
              <w:jc w:val="right"/>
              <w:spacing w:after="0"/>
              <w:rPr>
                <w:sz w:val="20"/>
                <w:szCs w:val="20"/>
                <w:color w:val="auto"/>
              </w:rPr>
            </w:pPr>
            <w:r>
              <w:rPr>
                <w:rFonts w:ascii="Arial" w:cs="Arial" w:eastAsia="Arial" w:hAnsi="Arial"/>
                <w:sz w:val="16"/>
                <w:szCs w:val="16"/>
                <w:color w:val="auto"/>
              </w:rPr>
              <w:t>$2,208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$3,497</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311"/>
        </w:trPr>
        <w:tc>
          <w:tcPr>
            <w:tcW w:w="7860" w:type="dxa"/>
            <w:vAlign w:val="bottom"/>
          </w:tcPr>
          <w:p>
            <w:pPr>
              <w:spacing w:after="0"/>
              <w:rPr>
                <w:sz w:val="20"/>
                <w:szCs w:val="20"/>
                <w:color w:val="auto"/>
              </w:rPr>
            </w:pPr>
            <w:r>
              <w:rPr>
                <w:rFonts w:ascii="Arial" w:cs="Arial" w:eastAsia="Arial" w:hAnsi="Arial"/>
                <w:sz w:val="16"/>
                <w:szCs w:val="16"/>
                <w:color w:val="auto"/>
              </w:rPr>
              <w:t>2018 Olympics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(770)</w:t>
            </w:r>
          </w:p>
        </w:tc>
        <w:tc>
          <w:tcPr>
            <w:tcW w:w="740" w:type="dxa"/>
            <w:vAlign w:val="bottom"/>
          </w:tcPr>
          <w:p>
            <w:pPr>
              <w:spacing w:after="0"/>
              <w:rPr>
                <w:sz w:val="24"/>
                <w:szCs w:val="24"/>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6"/>
                <w:szCs w:val="16"/>
                <w:color w:val="auto"/>
              </w:rPr>
              <w:t>2018 Super Bowl</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(423)</w:t>
            </w:r>
          </w:p>
        </w:tc>
        <w:tc>
          <w:tcPr>
            <w:tcW w:w="740" w:type="dxa"/>
            <w:vAlign w:val="bottom"/>
          </w:tcPr>
          <w:p>
            <w:pPr>
              <w:spacing w:after="0"/>
              <w:rPr>
                <w:sz w:val="19"/>
                <w:szCs w:val="19"/>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Revenue excluding 2018 Olympics and 2018 Super Bowl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64" w:right="239" w:bottom="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define Adjusted EBITDA as net income attributable to Comcast Corporation before net income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Adjusted EPS is a non-GAAP financial measure that presents the earnings generated by our ongoing core operations on a per share basis. We believe Adjusted EPS is helpful to investors in evaluating our ongoing core operations and can assist in making meaningful period-over-period comparisons. Our presentation of Adjusted EPS is our diluted earnings per common share attributable to Comcast Corporation shareholders adjusted to exclude the effects of fair value investments, as well as the impact of certain events, gains, losses or other charges (such as from the sales of investments). For Adjusted EPS, the effects of fair value investments include realized and unrealized gains and losses,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are presented separately in our Statement of Cash Flows and are therefore excluded from capital expenditures for Free Cash Flow.</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6" w:right="239" w:bottom="2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2019-12-28T23:06:47Z</dcterms:created>
  <dcterms:modified xsi:type="dcterms:W3CDTF">2019-12-28T23:06:47Z</dcterms:modified>
</cp:coreProperties>
</file>